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12/11/2022 –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630"/>
        <w:gridCol w:w="1500"/>
        <w:gridCol w:w="2625"/>
        <w:gridCol w:w="1515"/>
        <w:tblGridChange w:id="0">
          <w:tblGrid>
            <w:gridCol w:w="675"/>
            <w:gridCol w:w="363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for meeting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Previse project plan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vision document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model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specification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20/11/2022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code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19/11/2022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PA02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21/11/20222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Previse project plan take a lot of time, all members don’t know how to fix content about 4.2.1 to 4.2.5 and 4.3.1  (Responsible: all members , Action date: November 21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2022 )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PA02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knowledge about code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revised project plan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Phong, Ngân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use-case specification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Vinh, Ngân, Phát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7vuN+ZZxM/Bdcrxmjx6o7X5R4A==">AMUW2mUS83oLVQsGPUeobCnm4OEPK9/j083nixwOxeR7m56LzXPhyIQh6BXkhju0Bf32KbhukyrsC/3PDP9ml1yWuqoVn/CA7QQXbuhBiL/rGzQ+erqguWw5EtiJoWZKv5t/zy6rCoPP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