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exp01-exp20 with post-audit corrections, the Sen1Floods11 expert-label result, and a first assessment of a served production output. 2026-09-02.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The production model has not been run here; one of its served outputs, the published land cover change rasters, is assessed as served in section 3.7. The output is a ranked audit scored by risk-coverage curves, not an accuracy estimate.</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reading that follows is the report's central conclusion: the WorldCover-referenced advantages of tiling instability (26 of 27 scenes) and band-set disagreement (21 of 27) do not transfer to expert truth. The parsimonious explanation is that under WorldCover a large share of the counted errors were reference errors, which are boundary-structured and therefore detectable by boundary-type signals, whereas the model's own errors on hand-labelled data are ranked best by its own confidence.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2"/>
        <w:spacing w:after="120" w:before="240"/>
      </w:pPr>
      <w:r>
        <w:t xml:space="preserve">3.7 A served production output: the land cover change rasters</w:t>
      </w:r>
    </w:p>
    <w:p>
      <w:pPr>
        <w:spacing w:after="120"/>
      </w:pPr>
      <w:r>
        <w:t xml:space="preserve">The published allenai/olmoearth_lcc rasters (encoder v1.2-Base fine-tuned; 9-band uint8 BigTIFFs served in EPSG:3857 at about 9.55 m) were read over HTTP range requests at ten 512-px windows in the Zambezi, Chobe and Barotse region and assessed with the recipe the earlier experiments support (exp20). Per the dataset card, band 1 is the change probability, bands 4-5 the source and destination land cover classes, and bands 6-7 the probabilities of the change-category heads. The product exports no confidence for the land cover classes, so the model's own confidence, the best signal on every expert-labelled testbed above, cannot be run on its class map; bands 6-7 are not a substitute, since they sit at 255 on 80 to 100% of pixels because the category head answers "none" wherever no change is predicted.</w:t>
      </w:r>
    </w:p>
    <w:p>
      <w:pPr>
        <w:spacing w:after="120"/>
      </w:pPr>
      <w:r>
        <w:t xml:space="preserve">Boundary proximity, the one label-free cue the product allows, was scored on its water map against ESA WorldCover 2021 water, the one class whose legends coincide. Six of the ten windows contain water; disagreement is 0.2 to 2.4% of 4-px windows. The boundary fraction ranks disagreements below random on 6 of 6 (Kazungula AURC 0.0013 against 0.0156 random and 0.0001 oracle); a 5% review budget by boundary captures a median 0.88 of disagreements (0.61 to 0.98); the boundary share is 0.92 among disagreements against 0.01 among agreements. Legends and dates differ (the reference is three years older than the product), so these are reference disagreements rather than counted model errors; full-legend disagreement with WorldCover is a median 49%, dominated by tree, shrub, grass and built-up semantics, and is reported as context only.</w:t>
      </w:r>
    </w:p>
    <w:p>
      <w:pPr>
        <w:spacing w:after="120"/>
      </w:pPr>
      <w:r>
        <w:t xml:space="preserve">The change probability itself is sharply separated: a median 2.7% of pixels are flagged at 0.5 and a median 1.2% fall between 0.25 and 0.75. Its ambiguity concentrates on the edges of flagged regions, 2.7% of edge windows against 0.08% of interior windows, so the boundary finding replicates label-free on the product. Where change is flagged, the predicted transitions are plausible for the region (tree to grassland or built-up at Kazungula and Katima, grassland to crops at Barotse, water to wetland at Linyanti); no change reference was available, so these are sanity checks. Two errors were caught during this experiment: an early run treated band 6 as a class confidence, and the assessor's oracle had the wrong sign; both are corrected in the repository.</w:t>
      </w:r>
    </w:p>
    <w:p>
      <w:pPr>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00"/>
        <w:jc w:val="center"/>
      </w:pPr>
      <w:r>
        <w:rPr>
          <w:i/>
          <w:iCs/>
          <w:sz w:val="18"/>
          <w:szCs w:val="18"/>
        </w:rPr>
        <w:t xml:space="preserve">Figure 4. Kazungula window of the served product (exp20): source land cover, WorldCover 2021, the change probability, the water-map boundary fraction, water disagreements with the 5% review set chosen by boundary, and the risk-coverage curve against WorldCover.</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One task family (water), one region (southern African rivers), one training scene, and linear probes rather than the production model.</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ListParagraph"/>
        <w:numPr>
          <w:ilvl w:val="0"/>
          <w:numId w:val="2"/>
        </w:numPr>
        <w:spacing w:after="80"/>
      </w:pPr>
      <w:r>
        <w:t xml:space="preserve">The served production output was assessed against WorldCover and label-free only; the olmoearth_lcc dataset's own annotated change points, which would be expert labels on the production model's output, have not been used yet.</w:t>
      </w:r>
    </w:p>
    <w:p>
      <w:pPr>
        <w:pStyle w:val="Heading1"/>
        <w:spacing w:after="120" w:before="240"/>
      </w:pPr>
      <w:r>
        <w:t xml:space="preserve">7. Next</w:t>
      </w:r>
    </w:p>
    <w:p>
      <w:pPr>
        <w:pStyle w:val="ListParagraph"/>
        <w:numPr>
          <w:ilvl w:val="0"/>
          <w:numId w:val="2"/>
        </w:numPr>
        <w:spacing w:after="80"/>
      </w:pPr>
      <w:r>
        <w:t xml:space="preserve">Score the served change product's band 1 against the dataset's annotated change points: expert labels on the production model's own output.</w:t>
      </w:r>
    </w:p>
    <w:p>
      <w:pPr>
        <w:pStyle w:val="ListParagraph"/>
        <w:numPr>
          <w:ilvl w:val="0"/>
          <w:numId w:val="2"/>
        </w:numPr>
        <w:spacing w:after="80"/>
      </w:pPr>
      <w:r>
        <w:t xml:space="preserve">Ask for a class-head confidence (top-1 minus top-2 logit) in the LCC export alongside bands 4-5; without it the recipe's primary signal cannot run on the product.</w:t>
      </w:r>
    </w:p>
    <w:p>
      <w:pPr>
        <w:pStyle w:val="ListParagraph"/>
        <w:numPr>
          <w:ilvl w:val="0"/>
          <w:numId w:val="2"/>
        </w:numPr>
        <w:spacing w:after="80"/>
      </w:pPr>
      <w:r>
        <w:t xml:space="preserve">Measure striping at production-tile scale on the served rasters; exp19 measured only sub-patch instability.</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image" Target="media/a3a413e0477498eda02aec372d067268088da7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2026-09-02T16:31:36.068Z</dcterms:created>
  <dcterms:modified xsi:type="dcterms:W3CDTF">2026-09-02T16:31:36.069Z</dcterms:modified>
</cp:coreProperties>
</file>

<file path=docProps/custom.xml><?xml version="1.0" encoding="utf-8"?>
<Properties xmlns="http://schemas.openxmlformats.org/officeDocument/2006/custom-properties" xmlns:vt="http://schemas.openxmlformats.org/officeDocument/2006/docPropsVTypes"/>
</file>