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exp01-exp23 with post-audit corrections, the Sen1Floods11 expert-label result, Ai2's fine-tuned AWF model run end to end, assessments of a served production output, and a test of the reference-error reading. 2026-09-02.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Ai2's published fine-tuned AWF model is run end to end in section 3.8, and one served output, the published land cover change rasters, is assessed as served in section 3.7. The output is a ranked audit scored by risk-coverage curves; section 3.8 also states accuracy with its coverage and calibration.</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Dense expert labels: Sen1Floods11</w:t>
      </w:r>
    </w:p>
    <w:p>
      <w:pPr>
        <w:spacing w:after="120"/>
      </w:pPr>
      <w:r>
        <w:t xml:space="preserve">All water-task comparisons above score against ESA WorldCover, a weak reference. Sen1Floods11, Ai2's own flood evaluation set, provides hand-labelled flood-water masks; a water head was trained on 600 tiles of its validation split and the signals were scored on Bolivia, a geographically held-out region (441 tiles, 351 with enough errors to score), and on 800 test tiles (exp18). Against these labels the model's own confidence is the best signal. On Bolivia, aligned tiling instability is better on 163 tiles and worse on 187 (sign test p = 0.22); band-set disagreement 111 versus 239 (p = 7e-12); the boundary indicator 134 versus 217 (p = 1e-5); two-model disagreement 84 versus 265; embedding distance 22 versus 329; the pixel control 79 versus 271. On the test split tiling instability is significantly worse (173 versus 305, p = 2e-9). Pooled over all patches, confidence has the lowest excess AURC on both splits (0.0105 and 0.0096). Errors still concentrate at prediction boundaries (75% of error patches versus 21% of correct ones), but confidence ranks them better than boundary proximity or instability.</w:t>
      </w:r>
    </w:p>
    <w:p>
      <w:pPr>
        <w:spacing w:after="120"/>
      </w:pPr>
      <w:r>
        <w:t xml:space="preserve">The central conclusion: the WorldCover-referenced advantages of tiling instability (26 of 27 scenes) and band-set disagreement (21 of 27) do not transfer to expert truth. The explanation first proposed, that a large share of the counted errors were reference errors detectable by boundary-type signals, was tested in exp23 (section 3.9) with the measurable component of reference error and is not supported; why the reference-defined wins do not transfer is open. Until a signal beats confidence on expert-labelled dense maps, the repository's positive water-task claims are claims about detecting disagreement with a weak reference, not about detecting model error. Caveats: Sentinel-2 Level-1C chips were fed through the encoder's L2A path; the task is flood water rather than permanent water; the head is trained on tiles from the same regions as the test split, with Bolivia as the clean spatial hold-out. None plausibly favours confidence over the other signals.</w:t>
      </w:r>
    </w:p>
    <w:p>
      <w:pPr>
        <w:pStyle w:val="Heading2"/>
        <w:spacing w:after="120" w:before="240"/>
      </w:pPr>
      <w:r>
        <w:t xml:space="preserve">3.5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2"/>
        <w:spacing w:after="120" w:before="240"/>
      </w:pPr>
      <w:r>
        <w:t xml:space="preserve">3.6 OlmoEarth v1 versus v1.2</w:t>
      </w:r>
    </w:p>
    <w:p>
      <w:pPr>
        <w:spacing w:after="120"/>
      </w:pPr>
      <w:r>
        <w:t xml:space="preserve">v1.2-Base was loaded on the current olmoearth_pretrain code in an isolated environment (exp19); v1 features recomputed with that code match the cached ones exactly. v1.2 uses rotary position encodings (rope_3d_mixed) and tokenizes Sentinel-2 as a single band-set token per patch, so the band-set signal has no v1.2 counterpart. Rotary encoding does not reduce sub-patch tiling instability: the mean per-patch spread across 0-3 px shifts is 0.046 for v1.2 against 0.032 for v1, smaller for v1.2 on only 6 of 31 scenes. Against WorldCover, tiling instability ranks each version's own errors better than its confidence (v1 26 of 27, v1.2 25 of 27), which the Sen1Floods11 result reads as detection of reference error; cross-version disagreement is worse than confidence for v1's errors and not significant for v1.2's.</w:t>
      </w:r>
    </w:p>
    <w:p>
      <w:pPr>
        <w:pStyle w:val="Heading2"/>
        <w:spacing w:after="120" w:before="240"/>
      </w:pPr>
      <w:r>
        <w:t xml:space="preserve">3.7 A served production output: the land cover change rasters</w:t>
      </w:r>
    </w:p>
    <w:p>
      <w:pPr>
        <w:spacing w:after="120"/>
      </w:pPr>
      <w:r>
        <w:t xml:space="preserve">The published allenai/olmoearth_lcc rasters (encoder v1.2-Base fine-tuned; 9-band uint8 BigTIFFs served in EPSG:3857 at about 9.55 m) were read over HTTP range requests at ten 512-px windows in the Zambezi, Chobe and Barotse region and assessed with the recipe the earlier experiments support (exp20). Per the dataset card, band 1 is the change probability, bands 4-5 the source and destination land cover classes, and bands 6-7 the probabilities of the change-category heads. The product exports no confidence for the land cover classes, so the model's own confidence, the best signal on every expert-labelled testbed above, cannot be run on its class map; bands 6-7 are not a substitute, since they sit at 255 on 80 to 99% of pixels because the category head answers "none" wherever no change is predicted.</w:t>
      </w:r>
    </w:p>
    <w:p>
      <w:pPr>
        <w:spacing w:after="120"/>
      </w:pPr>
      <w:r>
        <w:t xml:space="preserve">Boundary proximity, the one label-free cue the product allows, was scored on its water map against ESA WorldCover 2021 water, the one class whose legends coincide. Six of the ten windows contain water; disagreement is 0.2 to 2.4% of 4-px windows. The boundary fraction ranks disagreements below random on 6 of 6 (Kazungula AURC 0.0013 against 0.0156 random and 0.0001 oracle); a 5% review budget by boundary captures a median 0.88 of disagreements (0.61 to 0.98); the boundary share is 0.92 among disagreements against 0.01 among agreements. Legends and dates differ (the reference is three years older than the product), so these are reference disagreements rather than counted model errors; full-legend disagreement with WorldCover is a median 49%, dominated by tree, shrub, grass and built-up semantics, and is reported as context only.</w:t>
      </w:r>
    </w:p>
    <w:p>
      <w:pPr>
        <w:spacing w:after="120"/>
      </w:pPr>
      <w:r>
        <w:t xml:space="preserve">The change probability itself is sharply separated: a median 2.7% of pixels are flagged at 0.5 and a median 1.2% fall between 0.25 and 0.75. Its ambiguity concentrates on the edges of flagged regions, 2.7% of edge windows against 0.08% of interior windows, so the boundary finding replicates label-free on the product. Where change is flagged, the predicted transitions are plausible for the region (tree to grassland or built-up at Kazungula and Katima, grassland to crops at Barotse, water to wetland at Linyanti); no change reference was available, so these are sanity checks. Two errors were caught during this experiment: an early run treated band 6 as a class confidence, and the assessor's oracle had the wrong sign; both are corrected in the repository.</w:t>
      </w:r>
    </w:p>
    <w:p>
      <w:pPr>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spacing w:after="200"/>
        <w:jc w:val="center"/>
      </w:pPr>
      <w:r>
        <w:rPr>
          <w:i/>
          <w:iCs/>
          <w:sz w:val="18"/>
          <w:szCs w:val="18"/>
        </w:rPr>
        <w:t xml:space="preserve">Figure 4. Kazungula window of the served product (exp20): source land cover, WorldCover 2021, the change probability, the water-map boundary fraction, water disagreements with the 5% review set chosen by boundary, and the risk-coverage curve against WorldCover.</w:t>
      </w:r>
    </w:p>
    <w:p>
      <w:pPr>
        <w:pStyle w:val="Heading2"/>
        <w:spacing w:after="120" w:before="240"/>
      </w:pPr>
      <w:r>
        <w:t xml:space="preserve">3.8 Periodic artifacts in the served product</w:t>
      </w:r>
    </w:p>
    <w:p>
      <w:pPr>
        <w:spacing w:after="120"/>
      </w:pPr>
      <w:r>
        <w:t xml:space="preserve">The served rasters are the Web Mercator zoom-14 grid warped from the 10 m UTM inference grid, so any grid-imposed artifact appears at a period predictable from each window's geometry: an encoder patch of 4 UTM px maps to 4.34 to 4.42 served px, an inference window of 128 UTM px to about 140 served px. Column and row profiles of the class-map boundary indicator, of the change-probability gradient, and of WorldCover 2021 warped to the same grid (a control with no model grid) were computed over 5 windows of 4096 served px after correcting the shear of the UTM grid lines, and tested with whitened periodograms: confirmatory tests at the predicted periods and an exploratory Bonferroni-corrected scan (exp22). The test was validated on lattice-free synthetic maps before use (no false positives in ten null maps; seams affecting 5 to 10% of rows detectable), and one earlier synthetic generator that carried a lattice of its own was discarded.</w:t>
      </w:r>
    </w:p>
    <w:p>
      <w:pPr>
        <w:spacing w:after="120"/>
      </w:pPr>
      <w:r>
        <w:t xml:space="preserve">Result: the largest peak of 19 of 20 product profiles lies on the encoder patch lattice (1, 2 or 4 patches), with Bonferroni p at most 6e-08, and the observed periods track each window's UTM-to-Mercator ratio; the control's largest peak never reaches p = 0.006. The product's class boundaries and change probabilities are quantized to the 40 m patch grid. At the inference-window periods (64 to 512 UTM px), judged on the fundamental ordinate, the product profiles reach p &lt; 0.01 at the rate expected under the null (class map: none of ten profiles at any window period; gradient: one), and seams injected into the real maps set the detection limit at 5 to 10% of affected rows for the 128-px period and 10 to 20% for 256 px. Within those limits, the served v1.2 product shows no window-seam striping; whether rotary encoding removed a seam signal that v1 had cannot be tested without a v1 product.</w:t>
      </w:r>
    </w:p>
    <w:p>
      <w:pPr>
        <w:jc w:val="center"/>
      </w:pPr>
      <w:r>
        <w:drawing>
          <wp:inline distT="0" distB="0" distL="0" distR="0">
            <wp:extent cx="59436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33850"/>
                    </a:xfrm>
                    <a:prstGeom prst="rect">
                      <a:avLst/>
                    </a:prstGeom>
                  </pic:spPr>
                </pic:pic>
              </a:graphicData>
            </a:graphic>
          </wp:inline>
        </w:drawing>
      </w:r>
    </w:p>
    <w:p>
      <w:pPr>
        <w:spacing w:after="200"/>
        <w:jc w:val="center"/>
      </w:pPr>
      <w:r>
        <w:rPr>
          <w:i/>
          <w:iCs/>
          <w:sz w:val="18"/>
          <w:szCs w:val="18"/>
        </w:rPr>
        <w:t xml:space="preserve">Figure 5. Periodograms of the boundary and gradient profiles for one window (exp22): predicted inference-window periods (red), patch periods (green), warp beat (grey); significant peaks marked. The control (bottom row) shows no lattice.</w:t>
      </w:r>
    </w:p>
    <w:p>
      <w:pPr>
        <w:pStyle w:val="Heading2"/>
        <w:spacing w:after="120" w:before="240"/>
      </w:pPr>
      <w:r>
        <w:t xml:space="preserve">3.9 Does reference instability explain the WorldCover wins?</w:t>
      </w:r>
    </w:p>
    <w:p>
      <w:pPr>
        <w:spacing w:after="120"/>
      </w:pPr>
      <w:r>
        <w:t xml:space="preserve">The reading of section 3.4 was tested with a measurable component of reference error: patches where ESA WorldCover's own 2020 (v100) and 2021 (v200) versions disagree about water, on 24 of the 27 rule scenes (exp23; three Kafue scenes dropped because the re-read image no longer matched the cache). Three tests were fixed before looking. Enrichment: version-unstable patches are a median 10.8% of the head's disagreements against 0.8% of its agreements (17 of 24 scenes in that direction, sign p = 0.003), so reference instability is real but covers only about 10% of the disagreements. Mechanism: among disagreements, the set flagged by tiling instability is no more often reference-unstable than the set flagged by confidence (8 better, 8 worse, 8 tied). Decisive: with unstable patches removed from scoring, tiling instability still beats confidence on 21 of 23 scenes (sign p = 7e-05) against 22 of 23 on all patches of the same scenes, and the boundary indicator on 18 of 23 against 15 of 23. The advantage is unchanged.</w:t>
      </w:r>
    </w:p>
    <w:p>
      <w:pPr>
        <w:spacing w:after="120"/>
      </w:pPr>
      <w:r>
        <w:t xml:space="preserve">The explanation that the WorldCover-referenced wins were detection of reference error is therefore withdrawn as an explanation and recorded as an open question. This test cannot rule out reference errors shared by both versions (narrow and seasonal water) or genuine change between 2021 and the 2024 imagery; re-running the scenes with imagery from WorldCover's own year is the next step. The fact the reading tried to explain, that no signal beats confidence on hand-labelled data, stands.</w:t>
      </w:r>
    </w:p>
    <w:p>
      <w:pPr>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66900"/>
                    </a:xfrm>
                    <a:prstGeom prst="rect">
                      <a:avLst/>
                    </a:prstGeom>
                  </pic:spPr>
                </pic:pic>
              </a:graphicData>
            </a:graphic>
          </wp:inline>
        </w:drawing>
      </w:r>
    </w:p>
    <w:p>
      <w:pPr>
        <w:spacing w:after="200"/>
        <w:jc w:val="center"/>
      </w:pPr>
      <w:r>
        <w:rPr>
          <w:i/>
          <w:iCs/>
          <w:sz w:val="18"/>
          <w:szCs w:val="18"/>
        </w:rPr>
        <w:t xml:space="preserve">Figure 6. exp23: (a) share of version-unstable patches among disagreements and agreements per scene; (b) unstable share of the disagreements flagged by tiling instability against those flagged by confidence; (c) fraction of scenes where each signal beats confidence on all patches and on reference-stable patches only.</w:t>
      </w:r>
    </w:p>
    <w:p>
      <w:pPr>
        <w:pStyle w:val="Heading2"/>
        <w:spacing w:after="120" w:before="240"/>
      </w:pPr>
      <w:r>
        <w:t xml:space="preserve">3.8 Ai2's fine-tuned AWF model, end to end</w:t>
      </w:r>
    </w:p>
    <w:p>
      <w:pPr>
        <w:spacing w:after="120"/>
      </w:pPr>
      <w:r>
        <w:t xml:space="preserve">Ai2 publishes its fine-tuned models. allenai/OlmoEarth-v1-FT-AWF-Base is a fully fine-tuned v1-Base encoder (203 of 231 tensors changed; backbone unfrozen at epoch 20 of 55) with a 1x1 convolution head, trained by rslearn from the AWF project's model.yaml. It was replicated without rslearn (exp21): the encoder weights load strictly into olmoearth_pretrain's v1-Base encoder, tokens are mean-pooled over timesteps and band sets as rslearn's wrapper does, timestamps follow the wrapper's legacy month indices, and the pooled features are bilinearly upsampled four times before the 1x1 convolution. On the 344 expert-labelled validation points of the official spatial split the replica reaches 0.881 accuracy on 16-px crops (the training regime) and 0.878 on 32-px crops, against 0.895 reported by Ai2; the frozen-encoder probe of exp16 reaches 0.817 on the same points, and 28 of the fine-tuned model's 41 errors are also probe errors.</w:t>
      </w:r>
    </w:p>
    <w:p>
      <w:pPr>
        <w:spacing w:after="120"/>
      </w:pPr>
      <w:r>
        <w:t xml:space="preserve">The signal comparison on the fine-tuned model repeats the expert-label result. With tie-aware AURC and a cluster bootstrap over the 30 annotation tasks (16-px crops): confidence 0.0262; aligned tiling instability 0.0235 (difference interval [-0.0068, 0.0010], not significant); boundary indicator 0.0765, disagreement with the frozen probe 0.0852 and the NDVI temporal-variability control 0.0937, all significantly worse; oracle 0.0076, random 0.119. At a 20% review budget confidence captures 0.63 of the errors and tiling instability 0.71. Boundary share is 0.63 among errors against 0.34 among correct points.</w:t>
      </w:r>
    </w:p>
    <w:p>
      <w:pPr>
        <w:spacing w:after="120"/>
      </w:pPr>
      <w:r>
        <w:t xml:space="preserve">Stated for a user of the model: keeping the 80% most confident points raises accuracy from 0.881 to 0.945, and the 90% most confident to 0.919. The model is overconfident: expected calibration error 0.080 over ten bins, with the 299 points above 0.9 top-1 probability 0.93 accurate at a mean stated confidence of 0.99. Per-class recall ranges from 0.50 (herbaceous wetland, n 6) to 1.00 (urban, n 27); woodland forest is 0.73 (n 45).</w:t>
      </w:r>
    </w:p>
    <w:p>
      <w:pPr>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19275"/>
                    </a:xfrm>
                    <a:prstGeom prst="rect">
                      <a:avLst/>
                    </a:prstGeom>
                  </pic:spPr>
                </pic:pic>
              </a:graphicData>
            </a:graphic>
          </wp:inline>
        </w:drawing>
      </w:r>
    </w:p>
    <w:p>
      <w:pPr>
        <w:spacing w:after="200"/>
        <w:jc w:val="center"/>
      </w:pPr>
      <w:r>
        <w:rPr>
          <w:i/>
          <w:iCs/>
          <w:sz w:val="18"/>
          <w:szCs w:val="18"/>
        </w:rPr>
        <w:t xml:space="preserve">Figure 5. The fine-tuned AWF model on the validation split (exp21): risk-coverage of the five signals, reliability diagram with bin counts, and per-class recall.</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its own version instability accounts for about 10% of the counted disagreements (exp23), and the remaining share of reference error is unknown.</w:t>
      </w:r>
    </w:p>
    <w:p>
      <w:pPr>
        <w:pStyle w:val="ListParagraph"/>
        <w:numPr>
          <w:ilvl w:val="0"/>
          <w:numId w:val="2"/>
        </w:numPr>
        <w:spacing w:after="80"/>
      </w:pPr>
      <w:r>
        <w:t xml:space="preserve">The water results are for one task family, one region (southern African rivers), one training scene, and linear probes; only one fine-tuned model (AWF) has been run end to end, and only on point labels.</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ListParagraph"/>
        <w:numPr>
          <w:ilvl w:val="0"/>
          <w:numId w:val="2"/>
        </w:numPr>
        <w:spacing w:after="80"/>
      </w:pPr>
      <w:r>
        <w:t xml:space="preserve">The served production output was assessed against WorldCover and label-free only; the olmoearth_lcc dataset's annotated points are the model's training labels, so no held-out expert reference exists for it yet.</w:t>
      </w:r>
    </w:p>
    <w:p>
      <w:pPr>
        <w:pStyle w:val="Heading1"/>
        <w:spacing w:after="120" w:before="240"/>
      </w:pPr>
      <w:r>
        <w:t xml:space="preserve">7. Next</w:t>
      </w:r>
    </w:p>
    <w:p>
      <w:pPr>
        <w:pStyle w:val="ListParagraph"/>
        <w:numPr>
          <w:ilvl w:val="0"/>
          <w:numId w:val="2"/>
        </w:numPr>
        <w:spacing w:after="80"/>
      </w:pPr>
      <w:r>
        <w:t xml:space="preserve">Re-run the WorldCover scenes with imagery from WorldCover's own year to test whether the 2021-to-2024 gap explains the reference-defined wins (exp23 left this open).</w:t>
      </w:r>
    </w:p>
    <w:p>
      <w:pPr>
        <w:pStyle w:val="ListParagraph"/>
        <w:numPr>
          <w:ilvl w:val="0"/>
          <w:numId w:val="2"/>
        </w:numPr>
        <w:spacing w:after="80"/>
      </w:pPr>
      <w:r>
        <w:t xml:space="preserve">Find an independent expert reference for the served change product; the olmoearth_lcc annotated points are the model's training labels and cannot serve as a held-out test.</w:t>
      </w:r>
    </w:p>
    <w:p>
      <w:pPr>
        <w:pStyle w:val="ListParagraph"/>
        <w:numPr>
          <w:ilvl w:val="0"/>
          <w:numId w:val="2"/>
        </w:numPr>
        <w:spacing w:after="80"/>
      </w:pPr>
      <w:r>
        <w:t xml:space="preserve">Run the other published fine-tuned checkpoints (Mangrove, ForestLossDriver, LFMC, EcosystemTypeMapping) through the exp21 replica for generality of the confidence result and the tiling-instability tie.</w:t>
      </w:r>
    </w:p>
    <w:p>
      <w:pPr>
        <w:pStyle w:val="ListParagraph"/>
        <w:numPr>
          <w:ilvl w:val="0"/>
          <w:numId w:val="2"/>
        </w:numPr>
        <w:spacing w:after="80"/>
      </w:pPr>
      <w:r>
        <w:t xml:space="preserve">Ask for a class-head confidence (top-1 minus top-2 logit) in the LCC export alongside bands 4-5; without it the recipe's primary signal cannot run on the product.</w:t>
      </w:r>
    </w:p>
    <w:p>
      <w:pPr>
        <w:pStyle w:val="ListParagraph"/>
        <w:numPr>
          <w:ilvl w:val="0"/>
          <w:numId w:val="2"/>
        </w:numPr>
        <w:spacing w:after="80"/>
      </w:pPr>
      <w:r>
        <w:t xml:space="preserve">Run the periodic-artifact test on a v1-encoder product if one is served, to show whether rotary encoding removed a seam signal that v1 had.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image" Target="media/a3a413e0477498eda02aec372d067268088da732.png"/><Relationship Id="rId11" Type="http://schemas.openxmlformats.org/officeDocument/2006/relationships/image" Target="media/1c8e85148cd115f9e80c3b686a6acdf4734348a8.png"/><Relationship Id="rId12" Type="http://schemas.openxmlformats.org/officeDocument/2006/relationships/image" Target="media/076140570892d449ea95adf8c842e3228673c741.png"/><Relationship Id="rId13" Type="http://schemas.openxmlformats.org/officeDocument/2006/relationships/image" Target="media/2a9a33b77ffe28552976952f97c77e9b53110b5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2026-09-03T00:30:32.727Z</dcterms:created>
  <dcterms:modified xsi:type="dcterms:W3CDTF">2026-09-03T00:30:32.728Z</dcterms:modified>
</cp:coreProperties>
</file>

<file path=docProps/custom.xml><?xml version="1.0" encoding="utf-8"?>
<Properties xmlns="http://schemas.openxmlformats.org/officeDocument/2006/custom-properties" xmlns:vt="http://schemas.openxmlformats.org/officeDocument/2006/docPropsVTypes"/>
</file>