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exp01-exp16 with post-audit corrections. 2026-09-01.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The production land-cover model has not been run. The output is a ranked audit scored by risk-coverage curves, not an accuracy estimate.</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${X.interior.sign_p.toFixed(3)}), and the boundary score is strongly error-associated (Fisher p = ${X.fisher.p.toExponential(0)}), yet it ranks errors worse than confidence (tie-aware AURC ${X.aurc.boundary.toFixed(4)} vs ${X.aurc.baseline.toFixed(4)}; cluster-bootstrap interval on the difference [${X.ci.cluster.boundary.lo.toFixed(4)}, ${X.ci.cluster.boundary.hi.toFixed(4)}]). Conditionally on the logit margin it adds little (likelihood-ratio p = ${X.lrt.p.toFixed(3)}; standardized coefficients ${X.lrt.coef_margin.toFixed(2)} vs ${X.lrt.coef_bnd.toFixed(2)}):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part of what is counted as error is reference error.</w:t>
      </w:r>
    </w:p>
    <w:p>
      <w:pPr>
        <w:pStyle w:val="ListParagraph"/>
        <w:numPr>
          <w:ilvl w:val="0"/>
          <w:numId w:val="2"/>
        </w:numPr>
        <w:spacing w:after="80"/>
      </w:pPr>
      <w:r>
        <w:t xml:space="preserve">One task family (water), one region (southern African rivers), one training scene, and linear probes rather than the production model.</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Heading1"/>
        <w:spacing w:after="120" w:before="240"/>
      </w:pPr>
      <w:r>
        <w:t xml:space="preserve">7. Next</w:t>
      </w:r>
    </w:p>
    <w:p>
      <w:pPr>
        <w:pStyle w:val="ListParagraph"/>
        <w:numPr>
          <w:ilvl w:val="0"/>
          <w:numId w:val="2"/>
        </w:numPr>
        <w:spacing w:after="80"/>
      </w:pPr>
      <w:r>
        <w:t xml:space="preserve">Test boundary proximity against expert-labelled dense maps, and compute a per-token boundary indicator on the AWF windows so the point-label explanation is tested rather than assumed.</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p>
      <w:pPr>
        <w:pStyle w:val="ListParagraph"/>
        <w:numPr>
          <w:ilvl w:val="0"/>
          <w:numId w:val="2"/>
        </w:numPr>
        <w:spacing w:after="80"/>
      </w:pPr>
      <w:r>
        <w:t xml:space="preserve">Extend the harness to comparing two inference results over time (change attribution) on the published LCC product.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2026-09-02T13:40:14.997Z</dcterms:created>
  <dcterms:modified xsi:type="dcterms:W3CDTF">2026-09-02T13:40:14.999Z</dcterms:modified>
</cp:coreProperties>
</file>

<file path=docProps/custom.xml><?xml version="1.0" encoding="utf-8"?>
<Properties xmlns="http://schemas.openxmlformats.org/officeDocument/2006/custom-properties" xmlns:vt="http://schemas.openxmlformats.org/officeDocument/2006/docPropsVTypes"/>
</file>