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exp01-exp17 with post-audit corrections. 2026-09-01.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The production land-cover model has not been run. The output is a ranked audit scored by risk-coverage curves, not an accuracy estimate.</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The earlier explanation, that point labels carry no boundary context, was tested in exp16 by applying the head densely to every patch of each validation crop: labelled patches are not interior (paired against a random patch of the same map, sign p = 0.008), and the boundary score is strongly error-associated (Fisher p = 2e-12), yet it ranks errors worse than confidence (tie-aware AURC 0.0636 vs 0.0363; cluster-bootstrap interval on the difference [0.0023, 0.0562]). Conditionally on the logit margin it adds little (likelihood-ratio p = 0.002; standardized coefficients 3.53 vs 0.52): with nine classes the argmax flips between neighbours wherever margins are small, so the prediction-boundary score is largely a coarse proxy for low confidence. The explanation is withdrawn; the in-domain result stands.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2"/>
        <w:spacing w:after="120" w:before="240"/>
      </w:pPr>
      <w:r>
        <w:t xml:space="preserve">3.4 Evidence from inside the encoder</w:t>
      </w:r>
    </w:p>
    <w:p>
      <w:pPr>
        <w:spacing w:after="120"/>
      </w:pPr>
      <w:r>
        <w:t xml:space="preserve">The v1-Base encoder (12 pre-norm ViT blocks, 768-d, 12 heads, no register tokens; token sequence laid out H, W, T, S, where S indexes the three Sentinel-2 band-set tokens per patch) was hooked for one forward pass per scene, and five label-free signals were derived from its internals and scored on the 27 rule-selected scenes (exp17). Band-set disagreement, the spread among water predictions from heads trained separately on the 10 m, 20 m and 60 m band-set tokens that all earlier experiments averaged away, beats confidence on 21 of 27 scenes (exact sign test p = 0.006) and the pixel control on 16 of 27, with no second model. It outperforms the two-model disagreement signal (10 of 27). Depth-probe disagreement (heads on each block's tokens, spread over the last six blocks) is marginal (19 of 27, p = 0.052). Logit-lens decision settling, late-block representation drift, and last-block attention entropy rank errors worse than confidence (0, 3 and 3 of 27) and are rejected. The band-set probe's errors are more correlated with the final head (phi 0.75) than Nano's (0.61) yet its disagreement ranks errors better, so a useful disagreement partner is one that sees a different view of the input rather than one with decorrelated errors.</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part of what is counted as error is reference error.</w:t>
      </w:r>
    </w:p>
    <w:p>
      <w:pPr>
        <w:pStyle w:val="ListParagraph"/>
        <w:numPr>
          <w:ilvl w:val="0"/>
          <w:numId w:val="2"/>
        </w:numPr>
        <w:spacing w:after="80"/>
      </w:pPr>
      <w:r>
        <w:t xml:space="preserve">One task family (water), one region (southern African rivers), one training scene, and linear probes rather than the production model.</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nine-class point-label task; there the boundary score is a proxy for low confidence (exp16), and no dense expert-labelled few-class map has been tested.</w:t>
      </w:r>
    </w:p>
    <w:p>
      <w:pPr>
        <w:pStyle w:val="ListParagraph"/>
        <w:numPr>
          <w:ilvl w:val="0"/>
          <w:numId w:val="2"/>
        </w:numPr>
        <w:spacing w:after="80"/>
      </w:pPr>
      <w:r>
        <w:t xml:space="preserve">E_geo sensitivity is confounded by disagreement between reference maps.</w:t>
      </w:r>
    </w:p>
    <w:p>
      <w:pPr>
        <w:pStyle w:val="Heading1"/>
        <w:spacing w:after="120" w:before="240"/>
      </w:pPr>
      <w:r>
        <w:t xml:space="preserve">7. Next</w:t>
      </w:r>
    </w:p>
    <w:p>
      <w:pPr>
        <w:pStyle w:val="ListParagraph"/>
        <w:numPr>
          <w:ilvl w:val="0"/>
          <w:numId w:val="2"/>
        </w:numPr>
        <w:spacing w:after="80"/>
      </w:pPr>
      <w:r>
        <w:t xml:space="preserve">Test boundary proximity against expert-labelled dense maps, and compute a per-token boundary indicator on the AWF windows so the point-label explanation is tested rather than assumed.</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p>
      <w:pPr>
        <w:pStyle w:val="ListParagraph"/>
        <w:numPr>
          <w:ilvl w:val="0"/>
          <w:numId w:val="2"/>
        </w:numPr>
        <w:spacing w:after="80"/>
      </w:pPr>
      <w:r>
        <w:t xml:space="preserve">Extend the harness to comparing two inference results over time (change attribution) on the published LCC product.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2026-09-02T15:10:29.561Z</dcterms:created>
  <dcterms:modified xsi:type="dcterms:W3CDTF">2026-09-02T15:10:29.562Z</dcterms:modified>
</cp:coreProperties>
</file>

<file path=docProps/custom.xml><?xml version="1.0" encoding="utf-8"?>
<Properties xmlns="http://schemas.openxmlformats.org/officeDocument/2006/custom-properties" xmlns:vt="http://schemas.openxmlformats.org/officeDocument/2006/docPropsVTypes"/>
</file>