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6"/>
          <w:szCs w:val="36"/>
        </w:rPr>
        <w:t xml:space="preserve">Auditing OlmoEarth Inference Quality Without Labels</w:t>
      </w:r>
    </w:p>
    <w:p>
      <w:pPr>
        <w:spacing w:after="200"/>
      </w:pPr>
      <w:r>
        <w:rPr>
          <w:color w:val="666666"/>
          <w:sz w:val="18"/>
          <w:szCs w:val="18"/>
        </w:rPr>
        <w:t xml:space="preserve">First experiments (exp01-exp05). 2026-08-31. Repo: olmoearth_inferenceX (experimental).</w:t>
      </w:r>
    </w:p>
    <w:p>
      <w:pPr>
        <w:pStyle w:val="Heading1"/>
        <w:spacing w:after="120" w:before="240"/>
      </w:pPr>
      <w:r>
        <w:t xml:space="preserve">1. Problem</w:t>
      </w:r>
    </w:p>
    <w:p>
      <w:pPr>
        <w:spacing w:after="120"/>
      </w:pPr>
      <w:r>
        <w:t xml:space="preserve">OlmoEarth fine-tuned models produce predictions over regions where no ground-truth labels exist, and supervised eval metrics cannot say anything there. The goal is an audit: take an inference output and rank where it is most likely wrong, with the evidence attached. The output is a ranked list of suspect windows and risk-coverage curves, not a single accuracy number, because trustworthiness has no universal ground truth to certify against.</w:t>
      </w:r>
    </w:p>
    <w:p>
      <w:pPr>
        <w:pStyle w:val="Heading1"/>
        <w:spacing w:after="120" w:before="240"/>
      </w:pPr>
      <w:r>
        <w:t xml:space="preserve">2. Approach</w:t>
      </w:r>
    </w:p>
    <w:p>
      <w:pPr>
        <w:spacing w:after="120"/>
      </w:pPr>
      <w:r>
        <w:t xml:space="preserve">The LLM community has spent several years on the same problem under the name hallucination detection: judging outputs with no reference answer. Those techniques mostly do not depend on language, so they port to earth observation, the same way the RoPE fix in OlmoEarth v1.2 ported an LLM mechanism to fix the v1 striping artifact.</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300"/>
        <w:gridCol w:w="3060"/>
        <w:gridCol w:w="3960"/>
      </w:tblGrid>
      <w:tr>
        <w:tc>
          <w:tcPr>
            <w:tcW w:type="dxa" w:w="2300"/>
            <w:shd w:fill="E8E8E8" w:val="clear"/>
          </w:tcPr>
          <w:p>
            <w:pPr>
              <w:spacing w:after="40"/>
            </w:pPr>
            <w:r>
              <w:rPr>
                <w:b/>
                <w:bCs/>
                <w:sz w:val="18"/>
                <w:szCs w:val="18"/>
              </w:rPr>
              <w:t xml:space="preserve">Signal</w:t>
            </w:r>
          </w:p>
        </w:tc>
        <w:tc>
          <w:tcPr>
            <w:tcW w:type="dxa" w:w="3060"/>
            <w:shd w:fill="E8E8E8" w:val="clear"/>
          </w:tcPr>
          <w:p>
            <w:pPr>
              <w:spacing w:after="40"/>
            </w:pPr>
            <w:r>
              <w:rPr>
                <w:b/>
                <w:bCs/>
                <w:sz w:val="18"/>
                <w:szCs w:val="18"/>
              </w:rPr>
              <w:t xml:space="preserve">LLM technique it ports</w:t>
            </w:r>
          </w:p>
        </w:tc>
        <w:tc>
          <w:tcPr>
            <w:tcW w:type="dxa" w:w="3960"/>
            <w:shd w:fill="E8E8E8" w:val="clear"/>
          </w:tcPr>
          <w:p>
            <w:pPr>
              <w:spacing w:after="40"/>
            </w:pPr>
            <w:r>
              <w:rPr>
                <w:b/>
                <w:bCs/>
                <w:sz w:val="18"/>
                <w:szCs w:val="18"/>
              </w:rPr>
              <w:t xml:space="preserve">OlmoEarth mechanism</w:t>
            </w:r>
          </w:p>
        </w:tc>
      </w:tr>
      <w:tr>
        <w:tc>
          <w:tcPr>
            <w:tcW w:type="dxa" w:w="2300"/>
          </w:tcPr>
          <w:p>
            <w:pPr>
              <w:spacing w:after="40"/>
            </w:pPr>
            <w:r>
              <w:rPr>
                <w:b w:val="false"/>
                <w:bCs w:val="false"/>
                <w:sz w:val="18"/>
                <w:szCs w:val="18"/>
              </w:rPr>
              <w:t xml:space="preserve">Model disagreement (E_case)</w:t>
            </w:r>
          </w:p>
        </w:tc>
        <w:tc>
          <w:tcPr>
            <w:tcW w:type="dxa" w:w="3060"/>
          </w:tcPr>
          <w:p>
            <w:pPr>
              <w:spacing w:after="40"/>
            </w:pPr>
            <w:r>
              <w:rPr>
                <w:b w:val="false"/>
                <w:bCs w:val="false"/>
                <w:sz w:val="18"/>
                <w:szCs w:val="18"/>
              </w:rPr>
              <w:t xml:space="preserve">Self-consistency / SelfCheckGPT (Manakul et al., EMNLP 2023)</w:t>
            </w:r>
          </w:p>
        </w:tc>
        <w:tc>
          <w:tcPr>
            <w:tcW w:type="dxa" w:w="3960"/>
          </w:tcPr>
          <w:p>
            <w:pPr>
              <w:spacing w:after="40"/>
            </w:pPr>
            <w:r>
              <w:rPr>
                <w:b w:val="false"/>
                <w:bCs w:val="false"/>
                <w:sz w:val="18"/>
                <w:szCs w:val="18"/>
              </w:rPr>
              <w:t xml:space="preserve">Nano, Tiny and Base predictions diverge on suspect windows</w:t>
            </w:r>
          </w:p>
        </w:tc>
      </w:tr>
      <w:tr>
        <w:tc>
          <w:tcPr>
            <w:tcW w:type="dxa" w:w="2300"/>
          </w:tcPr>
          <w:p>
            <w:pPr>
              <w:spacing w:after="40"/>
            </w:pPr>
            <w:r>
              <w:rPr>
                <w:b w:val="false"/>
                <w:bCs w:val="false"/>
                <w:sz w:val="18"/>
                <w:szCs w:val="18"/>
              </w:rPr>
              <w:t xml:space="preserve">Perturbation stability (E_system)</w:t>
            </w:r>
          </w:p>
        </w:tc>
        <w:tc>
          <w:tcPr>
            <w:tcW w:type="dxa" w:w="3060"/>
          </w:tcPr>
          <w:p>
            <w:pPr>
              <w:spacing w:after="40"/>
            </w:pPr>
            <w:r>
              <w:rPr>
                <w:b w:val="false"/>
                <w:bCs w:val="false"/>
                <w:sz w:val="18"/>
                <w:szCs w:val="18"/>
              </w:rPr>
              <w:t xml:space="preserve">Semantic entropy (Farquhar et al., Nature 2024)</w:t>
            </w:r>
          </w:p>
        </w:tc>
        <w:tc>
          <w:tcPr>
            <w:tcW w:type="dxa" w:w="3960"/>
          </w:tcPr>
          <w:p>
            <w:pPr>
              <w:spacing w:after="40"/>
            </w:pPr>
            <w:r>
              <w:rPr>
                <w:b w:val="false"/>
                <w:bCs w:val="false"/>
                <w:sz w:val="18"/>
                <w:szCs w:val="18"/>
              </w:rPr>
              <w:t xml:space="preserve">Tile-grid phase shifts; catches positional artifacts such as the v1 striping</w:t>
            </w:r>
          </w:p>
        </w:tc>
      </w:tr>
      <w:tr>
        <w:tc>
          <w:tcPr>
            <w:tcW w:type="dxa" w:w="2300"/>
          </w:tcPr>
          <w:p>
            <w:pPr>
              <w:spacing w:after="40"/>
            </w:pPr>
            <w:r>
              <w:rPr>
                <w:b w:val="false"/>
                <w:bCs w:val="false"/>
                <w:sz w:val="18"/>
                <w:szCs w:val="18"/>
              </w:rPr>
              <w:t xml:space="preserve">Geographic grounding (E_geo)</w:t>
            </w:r>
          </w:p>
        </w:tc>
        <w:tc>
          <w:tcPr>
            <w:tcW w:type="dxa" w:w="3060"/>
          </w:tcPr>
          <w:p>
            <w:pPr>
              <w:spacing w:after="40"/>
            </w:pPr>
            <w:r>
              <w:rPr>
                <w:b w:val="false"/>
                <w:bCs w:val="false"/>
                <w:sz w:val="18"/>
                <w:szCs w:val="18"/>
              </w:rPr>
              <w:t xml:space="preserve">Retrieval-grounded fact checking</w:t>
            </w:r>
          </w:p>
        </w:tc>
        <w:tc>
          <w:tcPr>
            <w:tcW w:type="dxa" w:w="3960"/>
          </w:tcPr>
          <w:p>
            <w:pPr>
              <w:spacing w:after="40"/>
            </w:pPr>
            <w:r>
              <w:rPr>
                <w:b w:val="false"/>
                <w:bCs w:val="false"/>
                <w:sz w:val="18"/>
                <w:szCs w:val="18"/>
              </w:rPr>
              <w:t xml:space="preserve">Predictions checked against reference river centerlines (GRIT, GRWL, OSM)</w:t>
            </w:r>
          </w:p>
        </w:tc>
      </w:tr>
      <w:tr>
        <w:tc>
          <w:tcPr>
            <w:tcW w:type="dxa" w:w="2300"/>
          </w:tcPr>
          <w:p>
            <w:pPr>
              <w:spacing w:after="40"/>
            </w:pPr>
            <w:r>
              <w:rPr>
                <w:b w:val="false"/>
                <w:bCs w:val="false"/>
                <w:sz w:val="18"/>
                <w:szCs w:val="18"/>
              </w:rPr>
              <w:t xml:space="preserve">Embedding dissimilarity (E_dist)</w:t>
            </w:r>
          </w:p>
        </w:tc>
        <w:tc>
          <w:tcPr>
            <w:tcW w:type="dxa" w:w="3060"/>
          </w:tcPr>
          <w:p>
            <w:pPr>
              <w:spacing w:after="40"/>
            </w:pPr>
            <w:r>
              <w:rPr>
                <w:b w:val="false"/>
                <w:bCs w:val="false"/>
                <w:sz w:val="18"/>
                <w:szCs w:val="18"/>
              </w:rPr>
              <w:t xml:space="preserve">Internal-state probing (INSIDE; semantic entropy probes)</w:t>
            </w:r>
          </w:p>
        </w:tc>
        <w:tc>
          <w:tcPr>
            <w:tcW w:type="dxa" w:w="3960"/>
          </w:tcPr>
          <w:p>
            <w:pPr>
              <w:spacing w:after="40"/>
            </w:pPr>
            <w:r>
              <w:rPr>
                <w:b w:val="false"/>
                <w:bCs w:val="false"/>
                <w:sz w:val="18"/>
                <w:szCs w:val="18"/>
              </w:rPr>
              <w:t xml:space="preserve">k-NN distance from training distribution in embedding space; no reruns needed</w:t>
            </w:r>
          </w:p>
        </w:tc>
      </w:tr>
    </w:tbl>
    <w:p>
      <w:pPr>
        <w:spacing w:after="120"/>
      </w:pPr>
      <w:r>
        <w:t xml:space="preserve"/>
      </w:r>
    </w:p>
    <w:p>
      <w:pPr>
        <w:spacing w:after="120"/>
      </w:pPr>
      <w:r>
        <w:t xml:space="preserve">Two rules keep the audit honest. Signals are validated on labeled data but never trained on it. And every ranking is compared against the max-softmax confidence of the audited model itself, because a technique that cannot beat the model's own confidence is not worth shipping.</w:t>
      </w:r>
    </w:p>
    <w:p>
      <w:pPr>
        <w:pStyle w:val="Heading1"/>
        <w:spacing w:after="120" w:before="240"/>
      </w:pPr>
      <w:r>
        <w:t xml:space="preserve">3. Headline result</w:t>
      </w:r>
    </w:p>
    <w:p>
      <w:pPr>
        <w:spacing w:after="120"/>
      </w:pPr>
      <w:r>
        <w:t xml:space="preserve">One day of experiments maps where the model's own confidence works and where the evidence channels earn their keep. Confidence wins on in-domain class confusion. It collapses on ambiguous wetland margins and under domain shift, where every evidence channel beats it, each strongest in its own regime:</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3200"/>
        <w:gridCol w:w="2040"/>
        <w:gridCol w:w="2040"/>
        <w:gridCol w:w="2040"/>
      </w:tblGrid>
      <w:tr>
        <w:tc>
          <w:tcPr>
            <w:tcW w:type="dxa" w:w="3200"/>
            <w:shd w:fill="E8E8E8" w:val="clear"/>
          </w:tcPr>
          <w:p>
            <w:pPr>
              <w:spacing w:after="40"/>
            </w:pPr>
            <w:r>
              <w:rPr>
                <w:b/>
                <w:bCs/>
                <w:sz w:val="18"/>
                <w:szCs w:val="18"/>
              </w:rPr>
              <w:t xml:space="preserve">AURC (lower = better ranking)</w:t>
            </w:r>
          </w:p>
        </w:tc>
        <w:tc>
          <w:tcPr>
            <w:tcW w:type="dxa" w:w="2040"/>
            <w:shd w:fill="E8E8E8" w:val="clear"/>
          </w:tcPr>
          <w:p>
            <w:pPr>
              <w:spacing w:after="40"/>
            </w:pPr>
            <w:r>
              <w:rPr>
                <w:b/>
                <w:bCs/>
                <w:sz w:val="18"/>
                <w:szCs w:val="18"/>
              </w:rPr>
              <w:t xml:space="preserve">In-domain, expert labels (AWF, 9-class)</w:t>
            </w:r>
          </w:p>
        </w:tc>
        <w:tc>
          <w:tcPr>
            <w:tcW w:type="dxa" w:w="2040"/>
            <w:shd w:fill="E8E8E8" w:val="clear"/>
          </w:tcPr>
          <w:p>
            <w:pPr>
              <w:spacing w:after="40"/>
            </w:pPr>
            <w:r>
              <w:rPr>
                <w:b/>
                <w:bCs/>
                <w:sz w:val="18"/>
                <w:szCs w:val="18"/>
              </w:rPr>
              <w:t xml:space="preserve">Wetland margins (Barotse)</w:t>
            </w:r>
          </w:p>
        </w:tc>
        <w:tc>
          <w:tcPr>
            <w:tcW w:type="dxa" w:w="2040"/>
            <w:shd w:fill="E8E8E8" w:val="clear"/>
          </w:tcPr>
          <w:p>
            <w:pPr>
              <w:spacing w:after="40"/>
            </w:pPr>
            <w:r>
              <w:rPr>
                <w:b/>
                <w:bCs/>
                <w:sz w:val="18"/>
                <w:szCs w:val="18"/>
              </w:rPr>
              <w:t xml:space="preserve">Domain shift (mangrove delta)</w:t>
            </w:r>
          </w:p>
        </w:tc>
      </w:tr>
      <w:tr>
        <w:tc>
          <w:tcPr>
            <w:tcW w:type="dxa" w:w="3200"/>
          </w:tcPr>
          <w:p>
            <w:pPr>
              <w:spacing w:after="40"/>
            </w:pPr>
            <w:r>
              <w:rPr>
                <w:b w:val="false"/>
                <w:bCs w:val="false"/>
                <w:sz w:val="18"/>
                <w:szCs w:val="18"/>
              </w:rPr>
              <w:t xml:space="preserve">Baseline max-softmax</w:t>
            </w:r>
          </w:p>
        </w:tc>
        <w:tc>
          <w:tcPr>
            <w:tcW w:type="dxa" w:w="2040"/>
          </w:tcPr>
          <w:p>
            <w:pPr>
              <w:spacing w:after="40"/>
            </w:pPr>
            <w:r>
              <w:rPr>
                <w:b w:val="false"/>
                <w:bCs w:val="false"/>
                <w:sz w:val="18"/>
                <w:szCs w:val="18"/>
              </w:rPr>
              <w:t xml:space="preserve">0.0367  (best)</w:t>
            </w:r>
          </w:p>
        </w:tc>
        <w:tc>
          <w:tcPr>
            <w:tcW w:type="dxa" w:w="2040"/>
          </w:tcPr>
          <w:p>
            <w:pPr>
              <w:spacing w:after="40"/>
            </w:pPr>
            <w:r>
              <w:rPr>
                <w:b w:val="false"/>
                <w:bCs w:val="false"/>
                <w:sz w:val="18"/>
                <w:szCs w:val="18"/>
              </w:rPr>
              <w:t xml:space="preserve">0.0666</w:t>
            </w:r>
          </w:p>
        </w:tc>
        <w:tc>
          <w:tcPr>
            <w:tcW w:type="dxa" w:w="2040"/>
          </w:tcPr>
          <w:p>
            <w:pPr>
              <w:spacing w:after="40"/>
            </w:pPr>
            <w:r>
              <w:rPr>
                <w:b w:val="false"/>
                <w:bCs w:val="false"/>
                <w:sz w:val="18"/>
                <w:szCs w:val="18"/>
              </w:rPr>
              <w:t xml:space="preserve">0.0258</w:t>
            </w:r>
          </w:p>
        </w:tc>
      </w:tr>
      <w:tr>
        <w:tc>
          <w:tcPr>
            <w:tcW w:type="dxa" w:w="3200"/>
          </w:tcPr>
          <w:p>
            <w:pPr>
              <w:spacing w:after="40"/>
            </w:pPr>
            <w:r>
              <w:rPr>
                <w:b w:val="false"/>
                <w:bCs w:val="false"/>
                <w:sz w:val="18"/>
                <w:szCs w:val="18"/>
              </w:rPr>
              <w:t xml:space="preserve">E_case model disagreement</w:t>
            </w:r>
          </w:p>
        </w:tc>
        <w:tc>
          <w:tcPr>
            <w:tcW w:type="dxa" w:w="2040"/>
          </w:tcPr>
          <w:p>
            <w:pPr>
              <w:spacing w:after="40"/>
            </w:pPr>
            <w:r>
              <w:rPr>
                <w:b w:val="false"/>
                <w:bCs w:val="false"/>
                <w:sz w:val="18"/>
                <w:szCs w:val="18"/>
              </w:rPr>
              <w:t xml:space="preserve">0.0533</w:t>
            </w:r>
          </w:p>
        </w:tc>
        <w:tc>
          <w:tcPr>
            <w:tcW w:type="dxa" w:w="2040"/>
          </w:tcPr>
          <w:p>
            <w:pPr>
              <w:spacing w:after="40"/>
            </w:pPr>
            <w:r>
              <w:rPr>
                <w:b w:val="false"/>
                <w:bCs w:val="false"/>
                <w:sz w:val="18"/>
                <w:szCs w:val="18"/>
              </w:rPr>
              <w:t xml:space="preserve">0.0235  (best, 3x)</w:t>
            </w:r>
          </w:p>
        </w:tc>
        <w:tc>
          <w:tcPr>
            <w:tcW w:type="dxa" w:w="2040"/>
          </w:tcPr>
          <w:p>
            <w:pPr>
              <w:spacing w:after="40"/>
            </w:pPr>
            <w:r>
              <w:rPr>
                <w:b w:val="false"/>
                <w:bCs w:val="false"/>
                <w:sz w:val="18"/>
                <w:szCs w:val="18"/>
              </w:rPr>
              <w:t xml:space="preserve">0.0103</w:t>
            </w:r>
          </w:p>
        </w:tc>
      </w:tr>
      <w:tr>
        <w:tc>
          <w:tcPr>
            <w:tcW w:type="dxa" w:w="3200"/>
          </w:tcPr>
          <w:p>
            <w:pPr>
              <w:spacing w:after="40"/>
            </w:pPr>
            <w:r>
              <w:rPr>
                <w:b w:val="false"/>
                <w:bCs w:val="false"/>
                <w:sz w:val="18"/>
                <w:szCs w:val="18"/>
              </w:rPr>
              <w:t xml:space="preserve">E_system tile-phase</w:t>
            </w:r>
          </w:p>
        </w:tc>
        <w:tc>
          <w:tcPr>
            <w:tcW w:type="dxa" w:w="2040"/>
          </w:tcPr>
          <w:p>
            <w:pPr>
              <w:spacing w:after="40"/>
            </w:pPr>
            <w:r>
              <w:rPr>
                <w:b w:val="false"/>
                <w:bCs w:val="false"/>
                <w:sz w:val="18"/>
                <w:szCs w:val="18"/>
              </w:rPr>
              <w:t xml:space="preserve">0.0427</w:t>
            </w:r>
          </w:p>
        </w:tc>
        <w:tc>
          <w:tcPr>
            <w:tcW w:type="dxa" w:w="2040"/>
          </w:tcPr>
          <w:p>
            <w:pPr>
              <w:spacing w:after="40"/>
            </w:pPr>
            <w:r>
              <w:rPr>
                <w:b w:val="false"/>
                <w:bCs w:val="false"/>
                <w:sz w:val="18"/>
                <w:szCs w:val="18"/>
              </w:rPr>
              <w:t xml:space="preserve">0.0555</w:t>
            </w:r>
          </w:p>
        </w:tc>
        <w:tc>
          <w:tcPr>
            <w:tcW w:type="dxa" w:w="2040"/>
          </w:tcPr>
          <w:p>
            <w:pPr>
              <w:spacing w:after="40"/>
            </w:pPr>
            <w:r>
              <w:rPr>
                <w:b w:val="false"/>
                <w:bCs w:val="false"/>
                <w:sz w:val="18"/>
                <w:szCs w:val="18"/>
              </w:rPr>
              <w:t xml:space="preserve">0.0076</w:t>
            </w:r>
          </w:p>
        </w:tc>
      </w:tr>
      <w:tr>
        <w:tc>
          <w:tcPr>
            <w:tcW w:type="dxa" w:w="3200"/>
          </w:tcPr>
          <w:p>
            <w:pPr>
              <w:spacing w:after="40"/>
            </w:pPr>
            <w:r>
              <w:rPr>
                <w:b w:val="false"/>
                <w:bCs w:val="false"/>
                <w:sz w:val="18"/>
                <w:szCs w:val="18"/>
              </w:rPr>
              <w:t xml:space="preserve">E_dist knn-to-train</w:t>
            </w:r>
          </w:p>
        </w:tc>
        <w:tc>
          <w:tcPr>
            <w:tcW w:type="dxa" w:w="2040"/>
          </w:tcPr>
          <w:p>
            <w:pPr>
              <w:spacing w:after="40"/>
            </w:pPr>
            <w:r>
              <w:rPr>
                <w:b w:val="false"/>
                <w:bCs w:val="false"/>
                <w:sz w:val="18"/>
                <w:szCs w:val="18"/>
              </w:rPr>
              <w:t xml:space="preserve">n/a</w:t>
            </w:r>
          </w:p>
        </w:tc>
        <w:tc>
          <w:tcPr>
            <w:tcW w:type="dxa" w:w="2040"/>
          </w:tcPr>
          <w:p>
            <w:pPr>
              <w:spacing w:after="40"/>
            </w:pPr>
            <w:r>
              <w:rPr>
                <w:b w:val="false"/>
                <w:bCs w:val="false"/>
                <w:sz w:val="18"/>
                <w:szCs w:val="18"/>
              </w:rPr>
              <w:t xml:space="preserve">0.0289</w:t>
            </w:r>
          </w:p>
        </w:tc>
        <w:tc>
          <w:tcPr>
            <w:tcW w:type="dxa" w:w="2040"/>
          </w:tcPr>
          <w:p>
            <w:pPr>
              <w:spacing w:after="40"/>
            </w:pPr>
            <w:r>
              <w:rPr>
                <w:b w:val="false"/>
                <w:bCs w:val="false"/>
                <w:sz w:val="18"/>
                <w:szCs w:val="18"/>
              </w:rPr>
              <w:t xml:space="preserve">0.0014  (best, 18x)</w:t>
            </w:r>
          </w:p>
        </w:tc>
      </w:tr>
    </w:tbl>
    <w:p>
      <w:pPr>
        <w:spacing w:after="120"/>
      </w:pPr>
      <w:r>
        <w:t xml:space="preserve"/>
      </w:r>
    </w:p>
    <w:p>
      <w:pPr>
        <w:spacing w:after="120"/>
      </w:pPr>
      <w:r>
        <w:t xml:space="preserve">Column 1: frozen-Base head on the AWF partner project (expert labels from African Wildlife Foundation annotators, southern Kenya, official 1115/344 spatial split, 85.2% head accuracy vs 89.5% for the fully fine-tuned model). Columns 2-3: water task, heads trained at Katima Mulilo, evaluated on the Barotse floodplain interior and the Zambezi delta mangrove coast (~1300 km from training), scored against ESA WorldCover.</w:t>
      </w:r>
    </w:p>
    <w:p>
      <w:pPr>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i/>
          <w:iCs/>
          <w:sz w:val="18"/>
          <w:szCs w:val="18"/>
        </w:rPr>
        <w:t xml:space="preserve">Figure 1. The hard scenes. Baseline (blue) collapses on both; model disagreement leads on wetland margins (top), embedding distance dominates under domain shift (bottom). Caveat: WorldCover is weak truth on these terrains, and part of the delta 'errors' trace a narrow river the reference likely misses.</w:t>
      </w:r>
    </w:p>
    <w:p>
      <w:pPr>
        <w:pStyle w:val="Heading1"/>
        <w:spacing w:after="120" w:before="240"/>
      </w:pPr>
      <w:r>
        <w:t xml:space="preserve">4. Building blocks, in order</w:t>
      </w:r>
    </w:p>
    <w:p>
      <w:pPr>
        <w:pStyle w:val="Heading2"/>
        <w:spacing w:after="120" w:before="240"/>
      </w:pPr>
      <w:r>
        <w:t xml:space="preserve">4.1 Where two models disagree (exp01)</w:t>
      </w:r>
    </w:p>
    <w:p>
      <w:pPr>
        <w:spacing w:after="120"/>
      </w:pPr>
      <w:r>
        <w:t xml:space="preserve">Nano and Base embeddings over the Zambezi at Kazungula, comparing local similarity structure per patch. Calibration first: on pure random input mean agreement is 0.59, not 0, because the models share patchification and normalization; all agreement reads against that floor. On the real scene disagreement is structured, not random: it clusters at boundaries and thin structures, where segmentation errors live.</w:t>
      </w:r>
    </w:p>
    <w:p>
      <w:pPr>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i/>
          <w:iCs/>
          <w:sz w:val="18"/>
          <w:szCs w:val="18"/>
        </w:rPr>
        <w:t xml:space="preserve">Figure 2. Open water agrees at 0.9+; disagreement concentrates on the shoreline and traces the bridge.</w:t>
      </w:r>
    </w:p>
    <w:p>
      <w:pPr>
        <w:pStyle w:val="Heading2"/>
        <w:spacing w:after="120" w:before="240"/>
      </w:pPr>
      <w:r>
        <w:t xml:space="preserve">4.2 The full audit slice (exp02)</w:t>
      </w:r>
    </w:p>
    <w:p>
      <w:pPr>
        <w:spacing w:after="120"/>
      </w:pPr>
      <w:r>
        <w:t xml:space="preserve">Every pipeline stage at minimal depth: water heads (logistic regression on frozen embeddings) trained at Katima Mulilo, evaluated at Kazungula 110 km away (spatial split), scored against WorldCover via risk-coverage. Spatial transfer reaches 97.9%. The geographic check is clean: 52 OSM centerline patches, zero false break alarms. And on this easy scene the baseline already edges the disagreement signal, which set up the question the rest of the day answered.</w:t>
      </w:r>
    </w:p>
    <w:p>
      <w:pPr>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sz w:val="18"/>
          <w:szCs w:val="18"/>
        </w:rPr>
        <w:t xml:space="preserve">Figure 3. The full slice at Kazungula: weak truth, prediction, errors, disagreement, centerline check, risk-coverage.</w:t>
      </w:r>
    </w:p>
    <w:p>
      <w:pPr>
        <w:pStyle w:val="Heading2"/>
        <w:spacing w:after="120" w:before="240"/>
      </w:pPr>
      <w:r>
        <w:t xml:space="preserve">4.3 Four techniques at once (exp03)</w:t>
      </w:r>
    </w:p>
    <w:p>
      <w:pPr>
        <w:pStyle w:val="ListParagraph"/>
        <w:numPr>
          <w:ilvl w:val="0"/>
          <w:numId w:val="2"/>
        </w:numPr>
        <w:spacing w:after="80"/>
      </w:pPr>
      <w:r>
        <w:t xml:space="preserve">Tile-phase perturbation (shift the input grid 1-3 px, measure prediction instability) was the first channel to beat the baseline (AURC 0.00058 vs 0.00089 on the easy scene).</w:t>
      </w:r>
    </w:p>
    <w:p>
      <w:pPr>
        <w:pStyle w:val="ListParagraph"/>
        <w:numPr>
          <w:ilvl w:val="0"/>
          <w:numId w:val="2"/>
        </w:numPr>
        <w:spacing w:after="80"/>
      </w:pPr>
      <w:r>
        <w:t xml:space="preserve">Naive three-model disagreement is worse than pairwise: the weakest model (Tiny, 95.1%) pollutes equal-weight aggregation. Replicated on AWF with Nano. Multi-rater disagreement needs reliability weighting.</w:t>
      </w:r>
    </w:p>
    <w:p>
      <w:pPr>
        <w:pStyle w:val="ListParagraph"/>
        <w:numPr>
          <w:ilvl w:val="0"/>
          <w:numId w:val="2"/>
        </w:numPr>
        <w:spacing w:after="80"/>
      </w:pPr>
      <w:r>
        <w:t xml:space="preserve">Embedding distance to training data does not rank in-domain errors (4x worse than baseline). Its role is the OOD alarm, confirmed later by the delta result.</w:t>
      </w:r>
    </w:p>
    <w:p>
      <w:pPr>
        <w:pStyle w:val="ListParagraph"/>
        <w:numPr>
          <w:ilvl w:val="0"/>
          <w:numId w:val="2"/>
        </w:numPr>
        <w:spacing w:after="80"/>
      </w:pPr>
      <w:r>
        <w:t xml:space="preserve">v1_2 checkpoints exist publicly but do not load with the current olmoearth_pretrain checkout (state_dict mismatch); the v1 vs v1_2 comparison needs the newer loader.</w:t>
      </w:r>
    </w:p>
    <w:p>
      <w:pPr>
        <w:jc w:val="center"/>
      </w:pPr>
      <w:r>
        <w:drawing>
          <wp:inline distT="0" distB="0" distL="0" distR="0">
            <wp:extent cx="59436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200"/>
        <w:jc w:val="center"/>
      </w:pPr>
      <w:r>
        <w:rPr>
          <w:i/>
          <w:iCs/>
          <w:sz w:val="18"/>
          <w:szCs w:val="18"/>
        </w:rPr>
        <w:t xml:space="preserve">Figure 4. Signal maps at Kazungula. Tile-phase traces the shoreline continuously; embedding distance is diffuse, as an OOD signal should be on in-domain data.</w:t>
      </w:r>
    </w:p>
    <w:p>
      <w:pPr>
        <w:pStyle w:val="Heading2"/>
        <w:spacing w:after="120" w:before="240"/>
      </w:pPr>
      <w:r>
        <w:t xml:space="preserve">4.4 Real partner truth (exp04)</w:t>
      </w:r>
    </w:p>
    <w:p>
      <w:pPr>
        <w:spacing w:after="120"/>
      </w:pPr>
      <w:r>
        <w:t xml:space="preserve">The harness runs on the AWF partner dataset: 1459 expert-labeled points, 12-month Sentinel-2 stacks, the project's own spatial split. This is where the baseline earns respect: on 9-class in-domain confusion, max-softmax ranks errors better than any channel tested. Weakest class: herbaceous wetland (50% recall), the same terrain type where the water-task channels later won, which is a consistent story.</w:t>
      </w:r>
    </w:p>
    <w:p>
      <w:pPr>
        <w:jc w:val="center"/>
      </w:pPr>
      <w:r>
        <w:drawing>
          <wp:inline distT="0" distB="0" distL="0" distR="0">
            <wp:extent cx="5943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28850"/>
                    </a:xfrm>
                    <a:prstGeom prst="rect">
                      <a:avLst/>
                    </a:prstGeom>
                  </pic:spPr>
                </pic:pic>
              </a:graphicData>
            </a:graphic>
          </wp:inline>
        </w:drawing>
      </w:r>
    </w:p>
    <w:p>
      <w:pPr>
        <w:spacing w:after="200"/>
        <w:jc w:val="center"/>
      </w:pPr>
      <w:r>
        <w:rPr>
          <w:i/>
          <w:iCs/>
          <w:sz w:val="18"/>
          <w:szCs w:val="18"/>
        </w:rPr>
        <w:t xml:space="preserve">Figure 5. Risk-coverage on AWF expert labels (left) and per-class recall (right).</w:t>
      </w:r>
    </w:p>
    <w:p>
      <w:pPr>
        <w:pStyle w:val="Heading1"/>
        <w:spacing w:after="120" w:before="240"/>
      </w:pPr>
      <w:r>
        <w:t xml:space="preserve">5. Findings</w:t>
      </w:r>
    </w:p>
    <w:p>
      <w:pPr>
        <w:pStyle w:val="ListParagraph"/>
        <w:numPr>
          <w:ilvl w:val="0"/>
          <w:numId w:val="2"/>
        </w:numPr>
        <w:spacing w:after="80"/>
      </w:pPr>
      <w:r>
        <w:t xml:space="preserve">The audit's core claim now has numbers: confidence suffices in-domain; evidence channels win where confidence fails (ambiguity, shift). Each channel owns a regime: disagreement on ambiguous margins, embedding distance on out-of-domain, perturbation on positional instability.</w:t>
      </w:r>
    </w:p>
    <w:p>
      <w:pPr>
        <w:pStyle w:val="ListParagraph"/>
        <w:numPr>
          <w:ilvl w:val="0"/>
          <w:numId w:val="2"/>
        </w:numPr>
        <w:spacing w:after="80"/>
      </w:pPr>
      <w:r>
        <w:t xml:space="preserve">Production inference exports (the continent-scale LCC run on HuggingFace, encoder v1.2-Base) carry binary-change probability, argmax classes, and top-1 probability, so the baseline comparison runs directly on production output, and the disagreement channels keep partial statistical power.</w:t>
      </w:r>
    </w:p>
    <w:p>
      <w:pPr>
        <w:pStyle w:val="ListParagraph"/>
        <w:numPr>
          <w:ilvl w:val="0"/>
          <w:numId w:val="2"/>
        </w:numPr>
        <w:spacing w:after="80"/>
      </w:pPr>
      <w:r>
        <w:t xml:space="preserve">All v1 / v1_1 / v1_2 checkpoints and the AWF/mangrove/LCC labels are public: the entire audit runs on a laptop CPU with zero Ai2 infrastructure.</w:t>
      </w:r>
    </w:p>
    <w:p>
      <w:pPr>
        <w:pStyle w:val="ListParagraph"/>
        <w:numPr>
          <w:ilvl w:val="0"/>
          <w:numId w:val="2"/>
        </w:numPr>
        <w:spacing w:after="80"/>
      </w:pPr>
      <w:r>
        <w:t xml:space="preserve">Honest caveats: WorldCover is weak truth on exactly the hard terrains; the shift-condition win still needs an expert-truth replication (AWF geographic-corner holdout is the planned design); AURC gaps on the easy scene rest on small error counts.</w:t>
      </w:r>
    </w:p>
    <w:p>
      <w:pPr>
        <w:pStyle w:val="Heading1"/>
        <w:spacing w:after="120" w:before="240"/>
      </w:pPr>
      <w:r>
        <w:t xml:space="preserve">6. Next steps</w:t>
      </w:r>
    </w:p>
    <w:p>
      <w:pPr>
        <w:pStyle w:val="ListParagraph"/>
        <w:numPr>
          <w:ilvl w:val="0"/>
          <w:numId w:val="2"/>
        </w:numPr>
        <w:spacing w:after="80"/>
      </w:pPr>
      <w:r>
        <w:t xml:space="preserve">Replicate the domain-shift result against expert truth (geographic-corner holdout on AWF).</w:t>
      </w:r>
    </w:p>
    <w:p>
      <w:pPr>
        <w:pStyle w:val="ListParagraph"/>
        <w:numPr>
          <w:ilvl w:val="0"/>
          <w:numId w:val="2"/>
        </w:numPr>
        <w:spacing w:after="80"/>
      </w:pPr>
      <w:r>
        <w:t xml:space="preserve">E_geo sensitivity: find a scene with a real consensus break and show the centerline check fires; swap OSM for GRIT.</w:t>
      </w:r>
    </w:p>
    <w:p>
      <w:pPr>
        <w:pStyle w:val="ListParagraph"/>
        <w:numPr>
          <w:ilvl w:val="0"/>
          <w:numId w:val="2"/>
        </w:numPr>
        <w:spacing w:after="80"/>
      </w:pPr>
      <w:r>
        <w:t xml:space="preserve">Reliability-weighted multi-model disagreement (Dawid-Skene direction) instead of naive std.</w:t>
      </w:r>
    </w:p>
    <w:p>
      <w:pPr>
        <w:pStyle w:val="ListParagraph"/>
        <w:numPr>
          <w:ilvl w:val="0"/>
          <w:numId w:val="2"/>
        </w:numPr>
        <w:spacing w:after="80"/>
      </w:pPr>
      <w:r>
        <w:t xml:space="preserve">Audit a window of the production LCC output directly (COGs are HTTP range-readable): check water_contract/water_expand predictions against river centerlines.</w:t>
      </w:r>
    </w:p>
    <w:p>
      <w:pPr>
        <w:pStyle w:val="ListParagraph"/>
        <w:numPr>
          <w:ilvl w:val="0"/>
          <w:numId w:val="2"/>
        </w:numPr>
        <w:spacing w:after="80"/>
      </w:pPr>
      <w:r>
        <w:t xml:space="preserve">Pull newer olmoearth_pretrain for the v1 vs v1_2 striping comparison.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77ef466f9dd76ac7eb0c85d8eb3836de04e5d2.png"/><Relationship Id="rId8" Type="http://schemas.openxmlformats.org/officeDocument/2006/relationships/image" Target="media/5a2e2321be4066e3c58fb34a82e591e1eceebdd7.png"/><Relationship Id="rId9" Type="http://schemas.openxmlformats.org/officeDocument/2006/relationships/image" Target="media/b5c2903a7bcbe04263849afe0fc4edcac04d686a.png"/><Relationship Id="rId10" Type="http://schemas.openxmlformats.org/officeDocument/2006/relationships/image" Target="media/cc773d89bbbd8cd8465110f82c6bc1aff74eff27.png"/><Relationship Id="rId11" Type="http://schemas.openxmlformats.org/officeDocument/2006/relationships/image" Target="media/373e9d536d6e7c3e3dc50c95b5453f86e71ebb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2026-09-01T00:39:22.529Z</dcterms:created>
  <dcterms:modified xsi:type="dcterms:W3CDTF">2026-09-01T00:39:22.530Z</dcterms:modified>
</cp:coreProperties>
</file>

<file path=docProps/custom.xml><?xml version="1.0" encoding="utf-8"?>
<Properties xmlns="http://schemas.openxmlformats.org/officeDocument/2006/custom-properties" xmlns:vt="http://schemas.openxmlformats.org/officeDocument/2006/docPropsVTypes"/>
</file>