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4"/>
          <w:szCs w:val="34"/>
        </w:rPr>
        <w:t xml:space="preserve">Assessing OlmoEarth Inference Reliability Without Ground Truth: First Experiments</w:t>
      </w:r>
    </w:p>
    <w:p>
      <w:pPr>
        <w:spacing w:after="200"/>
      </w:pPr>
      <w:r>
        <w:rPr>
          <w:color w:val="666666"/>
          <w:sz w:val="18"/>
          <w:szCs w:val="18"/>
        </w:rPr>
        <w:t xml:space="preserve">Experiments exp01-exp06, 2026-08-31. Repository: github.com/2imi9/olmoearth_inferenceX. Standing per-technique record: docs/TECHNIQUES.md.</w:t>
      </w:r>
    </w:p>
    <w:p>
      <w:pPr>
        <w:pStyle w:val="Heading1"/>
        <w:spacing w:after="120" w:before="240"/>
      </w:pPr>
      <w:r>
        <w:t xml:space="preserve">1. Problem</w:t>
      </w:r>
    </w:p>
    <w:p>
      <w:pPr>
        <w:spacing w:after="120"/>
      </w:pPr>
      <w:r>
        <w:t xml:space="preserve">Fine-tuned earth observation models are routinely applied to regions without labels, where supervised evaluation metrics say nothing. The goal is an audit: given an inference output, rank the windows most likely to be wrong, with the evidence attached. The output is a ranked list with risk-coverage curves, not a single accuracy estimate, since regional trustworthiness has no universal ground truth to certify against.</w:t>
      </w:r>
    </w:p>
    <w:p>
      <w:pPr>
        <w:pStyle w:val="Heading1"/>
        <w:spacing w:after="120" w:before="240"/>
      </w:pPr>
      <w:r>
        <w:t xml:space="preserve">2. Approach and evaluation protocol</w:t>
      </w:r>
    </w:p>
    <w:p>
      <w:pPr>
        <w:spacing w:after="120"/>
      </w:pPr>
      <w:r>
        <w:t xml:space="preserve">The language-model literature has developed techniques for judging outputs without a reference answer. Most do not depend on language; these experiments test whether they transfer to geospatial inference.</w:t>
      </w:r>
    </w:p>
    <w:tbl>
      <w:tblPr>
        <w:tblW w:type="dxa" w:w="9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060"/>
        <w:gridCol w:w="3960"/>
      </w:tblGrid>
      <w:tr>
        <w:tc>
          <w:tcPr>
            <w:tcW w:type="dxa" w:w="2300"/>
            <w:shd w:fill="E8E8E8" w:val="clear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Signal</w:t>
            </w:r>
          </w:p>
        </w:tc>
        <w:tc>
          <w:tcPr>
            <w:tcW w:type="dxa" w:w="3060"/>
            <w:shd w:fill="E8E8E8" w:val="clear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Related LLM-domain method</w:t>
            </w:r>
          </w:p>
        </w:tc>
        <w:tc>
          <w:tcPr>
            <w:tcW w:type="dxa" w:w="3960"/>
            <w:shd w:fill="E8E8E8" w:val="clear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Geospatial instantiation</w:t>
            </w:r>
          </w:p>
        </w:tc>
      </w:tr>
      <w:tr>
        <w:tc>
          <w:tcPr>
            <w:tcW w:type="dxa" w:w="2300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E_case: cross-model disagreement</w:t>
            </w:r>
          </w:p>
        </w:tc>
        <w:tc>
          <w:tcPr>
            <w:tcW w:type="dxa" w:w="3060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self-consistency; SelfCheckGPT (Manakul et al., EMNLP 2023)</w:t>
            </w:r>
          </w:p>
        </w:tc>
        <w:tc>
          <w:tcPr>
            <w:tcW w:type="dxa" w:w="3960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divergence between Nano/Tiny/Base predictions on the same input</w:t>
            </w:r>
          </w:p>
        </w:tc>
      </w:tr>
      <w:tr>
        <w:tc>
          <w:tcPr>
            <w:tcW w:type="dxa" w:w="2300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E_system: perturbation stability</w:t>
            </w:r>
          </w:p>
        </w:tc>
        <w:tc>
          <w:tcPr>
            <w:tcW w:type="dxa" w:w="3060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semantic entropy (Farquhar et al., Nature 2024)</w:t>
            </w:r>
          </w:p>
        </w:tc>
        <w:tc>
          <w:tcPr>
            <w:tcW w:type="dxa" w:w="3960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prediction variance under sub-patch shifts of the tiling grid</w:t>
            </w:r>
          </w:p>
        </w:tc>
      </w:tr>
      <w:tr>
        <w:tc>
          <w:tcPr>
            <w:tcW w:type="dxa" w:w="2300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E_geo: geographic grounding</w:t>
            </w:r>
          </w:p>
        </w:tc>
        <w:tc>
          <w:tcPr>
            <w:tcW w:type="dxa" w:w="3060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retrieval-grounded fact checking</w:t>
            </w:r>
          </w:p>
        </w:tc>
        <w:tc>
          <w:tcPr>
            <w:tcW w:type="dxa" w:w="3960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prediction consistency against reference river centerlines (GRIT, GRWL, OSM)</w:t>
            </w:r>
          </w:p>
        </w:tc>
      </w:tr>
      <w:tr>
        <w:tc>
          <w:tcPr>
            <w:tcW w:type="dxa" w:w="2300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E_dist: embedding dissimilarity</w:t>
            </w:r>
          </w:p>
        </w:tc>
        <w:tc>
          <w:tcPr>
            <w:tcW w:type="dxa" w:w="3060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internal-state probing (INSIDE; semantic entropy probes)</w:t>
            </w:r>
          </w:p>
        </w:tc>
        <w:tc>
          <w:tcPr>
            <w:tcW w:type="dxa" w:w="3960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k-NN distance from the training distribution in embedding space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Protocol: signals are scored by AURC (area under the risk-coverage curve) against observed errors. Three disciplines apply throughout. Every signal is compared against the max-softmax confidence of the audited model, fixed as the baseline before experimentation. Labeled data is used only to evaluate signals, never to construct them, and all train/evaluation splits are spatial. No-model image-statistic controls (within-patch spectral variance, NDWI boundary proximity, NDWI gradient) are scored on identical errors to test whether model-based signals exceed what raw pixels provide.</w:t>
      </w:r>
    </w:p>
    <w:p>
      <w:pPr>
        <w:pStyle w:val="Heading1"/>
        <w:spacing w:after="120" w:before="240"/>
      </w:pPr>
      <w:r>
        <w:t xml:space="preserve">3. Results</w:t>
      </w:r>
    </w:p>
    <w:tbl>
      <w:tblPr>
        <w:tblW w:type="dxa" w:w="9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0"/>
        <w:gridCol w:w="2200"/>
        <w:gridCol w:w="2200"/>
        <w:gridCol w:w="2200"/>
      </w:tblGrid>
      <w:tr>
        <w:tc>
          <w:tcPr>
            <w:tcW w:type="dxa" w:w="2720"/>
            <w:shd w:fill="E8E8E8" w:val="clear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AURC (lower = better ranking)</w:t>
            </w:r>
          </w:p>
        </w:tc>
        <w:tc>
          <w:tcPr>
            <w:tcW w:type="dxa" w:w="2200"/>
            <w:shd w:fill="E8E8E8" w:val="clear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In-domain, expert labels (AWF, 9-class, 51 errors)</w:t>
            </w:r>
          </w:p>
        </w:tc>
        <w:tc>
          <w:tcPr>
            <w:tcW w:type="dxa" w:w="2200"/>
            <w:shd w:fill="E8E8E8" w:val="clear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Ambiguous wetland margins (Barotse, 97 errors)</w:t>
            </w:r>
          </w:p>
        </w:tc>
        <w:tc>
          <w:tcPr>
            <w:tcW w:type="dxa" w:w="2200"/>
            <w:shd w:fill="E8E8E8" w:val="clear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Geographic shift (mangrove delta, 29 errors)</w:t>
            </w:r>
          </w:p>
        </w:tc>
      </w:tr>
      <w:tr>
        <w:tc>
          <w:tcPr>
            <w:tcW w:type="dxa" w:w="2720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max-softmax confidence (baseline)</w:t>
            </w:r>
          </w:p>
        </w:tc>
        <w:tc>
          <w:tcPr>
            <w:tcW w:type="dxa" w:w="2200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0.0367</w:t>
            </w:r>
          </w:p>
        </w:tc>
        <w:tc>
          <w:tcPr>
            <w:tcW w:type="dxa" w:w="2200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0.0666</w:t>
            </w:r>
          </w:p>
        </w:tc>
        <w:tc>
          <w:tcPr>
            <w:tcW w:type="dxa" w:w="2200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0.0258</w:t>
            </w:r>
          </w:p>
        </w:tc>
      </w:tr>
      <w:tr>
        <w:tc>
          <w:tcPr>
            <w:tcW w:type="dxa" w:w="2720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E_case model disagreement</w:t>
            </w:r>
          </w:p>
        </w:tc>
        <w:tc>
          <w:tcPr>
            <w:tcW w:type="dxa" w:w="2200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0.0533</w:t>
            </w:r>
          </w:p>
        </w:tc>
        <w:tc>
          <w:tcPr>
            <w:tcW w:type="dxa" w:w="2200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0.0235</w:t>
            </w:r>
          </w:p>
        </w:tc>
        <w:tc>
          <w:tcPr>
            <w:tcW w:type="dxa" w:w="2200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0.0103</w:t>
            </w:r>
          </w:p>
        </w:tc>
      </w:tr>
      <w:tr>
        <w:tc>
          <w:tcPr>
            <w:tcW w:type="dxa" w:w="2720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E_system tile-phase</w:t>
            </w:r>
          </w:p>
        </w:tc>
        <w:tc>
          <w:tcPr>
            <w:tcW w:type="dxa" w:w="2200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0.0427</w:t>
            </w:r>
          </w:p>
        </w:tc>
        <w:tc>
          <w:tcPr>
            <w:tcW w:type="dxa" w:w="2200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0.0555</w:t>
            </w:r>
          </w:p>
        </w:tc>
        <w:tc>
          <w:tcPr>
            <w:tcW w:type="dxa" w:w="2200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0.0076</w:t>
            </w:r>
          </w:p>
        </w:tc>
      </w:tr>
      <w:tr>
        <w:tc>
          <w:tcPr>
            <w:tcW w:type="dxa" w:w="2720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E_dist k-NN to training</w:t>
            </w:r>
          </w:p>
        </w:tc>
        <w:tc>
          <w:tcPr>
            <w:tcW w:type="dxa" w:w="2200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2200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0.0289</w:t>
            </w:r>
          </w:p>
        </w:tc>
        <w:tc>
          <w:tcPr>
            <w:tcW w:type="dxa" w:w="2200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0.0014</w:t>
            </w:r>
          </w:p>
        </w:tc>
      </w:tr>
      <w:tr>
        <w:tc>
          <w:tcPr>
            <w:tcW w:type="dxa" w:w="2720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best no-model image statistic (control, exp06)</w:t>
            </w:r>
          </w:p>
        </w:tc>
        <w:tc>
          <w:tcPr>
            <w:tcW w:type="dxa" w:w="2200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2200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0.0384 (NDWI gradient)</w:t>
            </w:r>
          </w:p>
        </w:tc>
        <w:tc>
          <w:tcPr>
            <w:tcW w:type="dxa" w:w="2200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0.0005 (NDWI gradient)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Column 1: linear head on frozen Base embeddings, AWF partner dataset (1459 expert-labeled points, the project's own 1115/344 spatial split; head accuracy 85.2% vs 89.5% for the fully fine-tuned model). Columns 2-3: binary water task, heads trained at Katima Mulilo, evaluated ~180 km and ~1300 km away respectively, scored against ESA WorldCover 2021.</w:t>
      </w:r>
    </w:p>
    <w:p>
      <w:pPr>
        <w:spacing w:after="120"/>
      </w:pPr>
      <w:r>
        <w:t xml:space="preserve">Three statements are supported, each with its limiting evidence: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In-domain, max-softmax confidence produced the best error ranking of all signals tested, on both the easy river scene (exp02) and the AWF expert-label task (exp04).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 the ambiguous-wetland scene, cross-model disagreement produced a better ranking than confidence (0.0235 vs 0.0666) and retained a margin over the best no-model statistic (0.0384). This is the one positive claim that has survived both the baseline and the controls (exp05, exp06).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Under geographic shift, confidence ranked errors worse than a plain NDWI gradient filter. However, no model signal outperformed the trivial statistics on that scene either: its errors are spectrally obvious reference omissions. The initially observed E_dist advantage (0.0014 vs 0.0258) is therefore withdrawn as evidence; the shift condition currently supports only the negative claim about confidence (exp06).</w:t>
      </w:r>
    </w:p>
    <w:p>
      <w:pPr>
        <w:spacing w:after="120"/>
      </w:pPr>
      <w:r>
        <w:t xml:space="preserve">Secondary findings: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Equal-weight disagreement across three models is worse than the best pairwise signal when one model is substantially weaker; observed independently on two tasks (exp03: Tiny; exp04: Nano). Multi-model aggregation appears to require reliability weighting.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Embedding distance to training data did not rank in-domain errors (worst signal in-domain); its proposed role as an out-of-distribution indicator remains untested on a valid shift testbed.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geographic-grounding check produced zero false break alarms on a well-resolved scene (52 centerline patches); its sensitivity is untested, as no scene with a confirmed consensus break has been evaluated.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published continent-scale LCC inference run (encoder OlmoEarth v1.2-Base) exports binary-change probability, argmax classes, and top-1 probability only; deployed audits must work with partial probability information.</w:t>
      </w:r>
    </w:p>
    <w:p>
      <w:pPr>
        <w:jc w:val="center"/>
      </w:pPr>
      <w:r>
        <w:drawing>
          <wp:inline distT="0" distB="0" distL="0" distR="0">
            <wp:extent cx="59436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Figure 1. The two difficult scenes (exp05). Panels show Sentinel-2 RGB, the WorldCover reference, model-reference disagreement (counted as error), and risk-coverage curves. The exp06 controls disqualify the lower scene as evidence for model-signal superiority.</w:t>
      </w:r>
    </w:p>
    <w:p>
      <w:pPr>
        <w:jc w:val="center"/>
      </w:pPr>
      <w:r>
        <w:drawing>
          <wp:inline distT="0" distB="0" distL="0" distR="0">
            <wp:extent cx="5943600" cy="2343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Figure 2. AWF expert-label task (exp04): risk-coverage on the official spatial split, and per-class recall with class names verified against the project's model configuration. Note small per-class sample sizes (herbaceous wetland: n=6).</w:t>
      </w:r>
    </w:p>
    <w:p>
      <w:pPr>
        <w:pStyle w:val="Heading1"/>
        <w:spacing w:after="120" w:before="240"/>
      </w:pPr>
      <w:r>
        <w:t xml:space="preserve">4. Supporting experiments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exp01: cross-model representation agreement is spatially structured, concentrating at class boundaries and thin structures; agreement on random input is ~0.59, not 0 (shared patchification), which sets the interpretation floor.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exp02: the full pipeline (weak labels, spatially split heads, disagreement and centerline signals, baseline, risk-coverage) runs end to end; spatial transfer of frozen-embedding heads reaches 97-98% at ~110 km.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exp03: tile-phase perturbation, three-model disagreement, embedding distance, and a v1_2 loading attempt (blocked by a loader version mismatch) evaluated on one scene.</w:t>
      </w:r>
    </w:p>
    <w:p>
      <w:pPr>
        <w:jc w:val="center"/>
      </w:pPr>
      <w:r>
        <w:drawing>
          <wp:inline distT="0" distB="0" distL="0" distR="0">
            <wp:extent cx="5810250" cy="3562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Figure 3. Full pipeline at Kazungula (exp02).</w:t>
      </w:r>
    </w:p>
    <w:p>
      <w:pPr>
        <w:jc w:val="center"/>
      </w:pPr>
      <w:r>
        <w:drawing>
          <wp:inline distT="0" distB="0" distL="0" distR="0">
            <wp:extent cx="59436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Figure 4. Signal maps at Kazungula (exp03).</w:t>
      </w:r>
    </w:p>
    <w:p>
      <w:pPr>
        <w:pStyle w:val="Heading1"/>
        <w:spacing w:after="120" w:before="240"/>
      </w:pPr>
      <w:r>
        <w:t xml:space="preserve">5. Methodological assessment</w:t>
      </w:r>
    </w:p>
    <w:p>
      <w:pPr>
        <w:spacing w:after="120"/>
      </w:pPr>
      <w:r>
        <w:t xml:space="preserve">Practices that meet the standard: a pre-committed strong baseline that was allowed to win (and did, in-domain); negative controls that were allowed to remove a result (and did, for the shift claim); spatial splits throughout, including the partner project's own split; evaluation labels never used to construct signals; class mappings and export formats verified against source configuration; deterministic seeds and cached intermediates for reproduction.</w:t>
      </w:r>
    </w:p>
    <w:p>
      <w:pPr>
        <w:spacing w:after="120"/>
      </w:pPr>
      <w:r>
        <w:t xml:space="preserve">Limitations that keep this at pilot scale: each condition rests on a single scene or task, with small error counts and no confidence intervals or significance tests. ESA WorldCover is the reference on the unlabeled-region scenes and is least reliable on exactly the terrains of interest, so a fraction of measured error is reference error. The difficult scenes were selected because baseline failure was expected there; confirmation requires scenes chosen by a pre-stated rule. Accurate status: a hypothesis-generating pilot whose one surviving positive claim awaits replication.</w:t>
      </w:r>
    </w:p>
    <w:p>
      <w:pPr>
        <w:pStyle w:val="Heading1"/>
        <w:spacing w:after="120" w:before="240"/>
      </w:pPr>
      <w:r>
        <w:t xml:space="preserve">6. Next steps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domain-shift testbed with non-trivial errors and expert labels (geographic-corner holdout within AWF), with multiple scenes and confidence intervals on AURC.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Sensitivity test for the geographic-grounding check on a scene with a confirmed consensus break; replace OSM centerlines with GRIT.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Reliability-weighted multi-model aggregation (Dawid-Skene direction).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v1 vs v1.2 comparison on identical windows after updating the encoder loader.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Direct audit of a window of the published LCC production output via HTTP range reads.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7042426cb0eb73098a21395ce775d36547f56ba.png"/><Relationship Id="rId8" Type="http://schemas.openxmlformats.org/officeDocument/2006/relationships/image" Target="media/8739d46d2cb3f5dc63df4bc816dfe0cd3b6d94e4.png"/><Relationship Id="rId9" Type="http://schemas.openxmlformats.org/officeDocument/2006/relationships/image" Target="media/6ae2e78010e2fa78071f1e71434132df0b0a1d33.png"/><Relationship Id="rId10" Type="http://schemas.openxmlformats.org/officeDocument/2006/relationships/image" Target="media/c2fb562166f0e7b88f4e9e732ef57098b3434589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2026-09-01T02:33:36.574Z</dcterms:created>
  <dcterms:modified xsi:type="dcterms:W3CDTF">2026-09-01T02:33:36.575Z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