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EE418" w14:textId="77777777" w:rsidR="00755546" w:rsidRPr="001E4658" w:rsidRDefault="00755546" w:rsidP="00755546">
      <w:pPr>
        <w:spacing w:before="100" w:beforeAutospacing="1" w:after="100" w:afterAutospacing="1"/>
        <w:outlineLvl w:val="0"/>
        <w:rPr>
          <w:rFonts w:eastAsia="Times New Roman" w:cstheme="minorHAnsi"/>
          <w:b/>
          <w:bCs/>
          <w:kern w:val="36"/>
          <w:sz w:val="48"/>
          <w:szCs w:val="48"/>
          <w:lang w:eastAsia="af-ZA"/>
          <w14:reflection w14:blurRad="6350" w14:stA="55000" w14:stPos="0" w14:endA="300" w14:endPos="45500" w14:dist="0" w14:dir="5400000" w14:fadeDir="5400000" w14:sx="100000" w14:sy="-100000" w14:kx="0" w14:ky="0" w14:algn="bl"/>
        </w:rPr>
      </w:pPr>
      <w:r w:rsidRPr="001E4658">
        <w:rPr>
          <w:rFonts w:eastAsia="Times New Roman" w:cstheme="minorHAnsi"/>
          <w:b/>
          <w:bCs/>
          <w:kern w:val="36"/>
          <w:sz w:val="48"/>
          <w:szCs w:val="48"/>
          <w:lang w:eastAsia="af-ZA"/>
          <w14:reflection w14:blurRad="6350" w14:stA="55000" w14:stPos="0" w14:endA="300" w14:endPos="45500" w14:dist="0" w14:dir="5400000" w14:fadeDir="5400000" w14:sx="100000" w14:sy="-100000" w14:kx="0" w14:ky="0" w14:algn="bl"/>
        </w:rPr>
        <w:t>South Africa’s Most Popular Luxury Tourist Destinations of 2022</w:t>
      </w:r>
    </w:p>
    <w:p w14:paraId="510B683F" w14:textId="0801F737"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Tourism serves as a significant indicator of the health of the local economy. In 2022, the sector thrived as destinations like Green Haven Resort attracted a diverse range of visitors, leading to robust growth.</w:t>
      </w:r>
    </w:p>
    <w:p w14:paraId="3E5AD846" w14:textId="609DF9BC" w:rsidR="008238C8" w:rsidRDefault="008238C8" w:rsidP="008238C8">
      <w:pPr>
        <w:spacing w:before="100" w:beforeAutospacing="1" w:after="100" w:afterAutospacing="1"/>
        <w:jc w:val="center"/>
        <w:rPr>
          <w:rFonts w:eastAsia="Times New Roman" w:cstheme="minorHAnsi"/>
          <w:sz w:val="24"/>
          <w:szCs w:val="24"/>
          <w:lang w:eastAsia="af-ZA"/>
        </w:rPr>
      </w:pPr>
      <w:r>
        <w:rPr>
          <w:rFonts w:eastAsia="Times New Roman" w:cstheme="minorHAnsi"/>
          <w:noProof/>
          <w:sz w:val="24"/>
          <w:szCs w:val="24"/>
          <w:lang w:val="en-ZA" w:eastAsia="en-ZA"/>
        </w:rPr>
        <w:drawing>
          <wp:inline distT="0" distB="0" distL="0" distR="0" wp14:anchorId="27829A4F" wp14:editId="58668996">
            <wp:extent cx="2880000" cy="1319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Luxury.jpg"/>
                    <pic:cNvPicPr/>
                  </pic:nvPicPr>
                  <pic:blipFill>
                    <a:blip r:embed="rId8">
                      <a:extLst>
                        <a:ext uri="{28A0092B-C50C-407E-A947-70E740481C1C}">
                          <a14:useLocalDpi xmlns:a14="http://schemas.microsoft.com/office/drawing/2010/main" val="0"/>
                        </a:ext>
                      </a:extLst>
                    </a:blip>
                    <a:stretch>
                      <a:fillRect/>
                    </a:stretch>
                  </pic:blipFill>
                  <pic:spPr>
                    <a:xfrm>
                      <a:off x="0" y="0"/>
                      <a:ext cx="2880000" cy="1319564"/>
                    </a:xfrm>
                    <a:prstGeom prst="rect">
                      <a:avLst/>
                    </a:prstGeom>
                  </pic:spPr>
                </pic:pic>
              </a:graphicData>
            </a:graphic>
          </wp:inline>
        </w:drawing>
      </w:r>
    </w:p>
    <w:p w14:paraId="3DAB108E" w14:textId="77777777"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With a total of 1.5 million guests welcomed, there was a 12% increase compared to 2021, and just 2% below the pre-pandemic visitor numbers of 1.53 million in 2019. This strong performance occurred despite challenges such as global travel restrictions and supply chain disruptions.</w:t>
      </w:r>
    </w:p>
    <w:p w14:paraId="66A6DEFE" w14:textId="77777777" w:rsidR="00755546" w:rsidRPr="00CB65B3" w:rsidRDefault="00755546" w:rsidP="001E4658">
      <w:pPr>
        <w:pBdr>
          <w:left w:val="single" w:sz="4" w:space="4" w:color="auto"/>
          <w:right w:val="single" w:sz="4" w:space="4" w:color="auto"/>
        </w:pBdr>
        <w:spacing w:before="100" w:beforeAutospacing="1" w:after="100" w:afterAutospacing="1"/>
        <w:rPr>
          <w:rFonts w:eastAsia="Times New Roman" w:cstheme="minorHAnsi"/>
          <w:color w:val="FF0000"/>
          <w:sz w:val="24"/>
          <w:szCs w:val="24"/>
          <w:lang w:eastAsia="af-ZA"/>
        </w:rPr>
      </w:pPr>
      <w:r w:rsidRPr="00CB65B3">
        <w:rPr>
          <w:rFonts w:eastAsia="Times New Roman" w:cstheme="minorHAnsi"/>
          <w:color w:val="FF0000"/>
          <w:sz w:val="24"/>
          <w:szCs w:val="24"/>
          <w:lang w:eastAsia="af-ZA"/>
        </w:rPr>
        <w:t>Heavy rains in the region affected some local attractions, forcing temporary closures. However, the resort adapted by diversifying its offerings, including wellness retreats and adventure packages, to maintain visitor interest. As a result, key players in the tourism market, like spa and adventure tourism providers, managed to grow their bookings by 10% year-on-year.</w:t>
      </w:r>
    </w:p>
    <w:p w14:paraId="2AC59416" w14:textId="77777777"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Green Haven Resort remained the cornerstone of South African luxury tourism, consistently ranking as the top destination. It was followed closely by other popular resorts, which gained traction in international markets. Other notable attractions included safari lodges, coastal retreats, and cultural experiences.</w:t>
      </w:r>
    </w:p>
    <w:p w14:paraId="78CED359" w14:textId="77777777"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The wellness tourism sector also experienced significant growth, with resorts shifting their practices to meet changing consumer demands for holistic experiences. Smaller luxury brands saw remarkable rises, with several reporting growth rates exceeding 60%, making them some of the fastest-growing businesses in the region.</w:t>
      </w:r>
    </w:p>
    <w:p w14:paraId="318F08DA" w14:textId="3A29D6B9"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 xml:space="preserve">One notable trend was the increase in sustainable tourism, with many resorts pivoting towards eco-friendly practices, resulting in a 35% growth in eco-tourism packages. This </w:t>
      </w:r>
      <w:r w:rsidR="008238C8">
        <w:rPr>
          <w:rFonts w:eastAsia="Times New Roman" w:cstheme="minorHAnsi"/>
          <w:sz w:val="24"/>
          <w:szCs w:val="24"/>
          <w:lang w:eastAsia="af-ZA"/>
        </w:rPr>
        <w:t xml:space="preserve">shift reflects changing </w:t>
      </w:r>
      <w:r w:rsidR="008D6D5F">
        <w:rPr>
          <w:rFonts w:eastAsia="Times New Roman" w:cstheme="minorHAnsi"/>
          <w:b/>
          <w:color w:val="27F931"/>
          <w:sz w:val="24"/>
          <w:szCs w:val="24"/>
          <w:lang w:eastAsia="af-ZA"/>
        </w:rPr>
        <w:t>TRAVELLERS</w:t>
      </w:r>
      <w:r w:rsidRPr="002A17B2">
        <w:rPr>
          <w:rFonts w:eastAsia="Times New Roman" w:cstheme="minorHAnsi"/>
          <w:sz w:val="24"/>
          <w:szCs w:val="24"/>
          <w:lang w:eastAsia="af-ZA"/>
        </w:rPr>
        <w:t xml:space="preserve"> preferences and a growing market for responsible travel options.</w:t>
      </w:r>
    </w:p>
    <w:p w14:paraId="57534F10" w14:textId="77777777" w:rsidR="00755546" w:rsidRPr="002A17B2" w:rsidRDefault="00755546" w:rsidP="00755546">
      <w:pPr>
        <w:spacing w:before="100" w:beforeAutospacing="1" w:after="100" w:afterAutospacing="1"/>
        <w:outlineLvl w:val="1"/>
        <w:rPr>
          <w:rFonts w:eastAsia="Times New Roman" w:cstheme="minorHAnsi"/>
          <w:b/>
          <w:bCs/>
          <w:sz w:val="36"/>
          <w:szCs w:val="36"/>
          <w:lang w:eastAsia="af-ZA"/>
        </w:rPr>
      </w:pPr>
      <w:r w:rsidRPr="002A17B2">
        <w:rPr>
          <w:rFonts w:eastAsia="Times New Roman" w:cstheme="minorHAnsi"/>
          <w:b/>
          <w:bCs/>
          <w:sz w:val="36"/>
          <w:szCs w:val="36"/>
          <w:lang w:eastAsia="af-ZA"/>
        </w:rPr>
        <w:t>South Africa's Top Luxury Tourist Destinations of 2022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gridCol w:w="870"/>
        <w:gridCol w:w="1062"/>
      </w:tblGrid>
      <w:tr w:rsidR="00755546" w:rsidRPr="002A17B2" w14:paraId="1E9E6E73" w14:textId="77777777" w:rsidTr="00755546">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20CF7AC" w14:textId="77777777" w:rsidR="00755546" w:rsidRPr="002A17B2" w:rsidRDefault="00755546" w:rsidP="00755546">
            <w:pPr>
              <w:jc w:val="center"/>
              <w:rPr>
                <w:rFonts w:eastAsia="Times New Roman" w:cstheme="minorHAnsi"/>
                <w:b/>
                <w:bCs/>
                <w:sz w:val="24"/>
                <w:szCs w:val="24"/>
                <w:lang w:eastAsia="af-ZA"/>
              </w:rPr>
            </w:pPr>
            <w:r w:rsidRPr="002A17B2">
              <w:rPr>
                <w:rFonts w:eastAsia="Times New Roman" w:cstheme="minorHAnsi"/>
                <w:b/>
                <w:bCs/>
                <w:sz w:val="24"/>
                <w:szCs w:val="24"/>
                <w:lang w:eastAsia="af-ZA"/>
              </w:rPr>
              <w:lastRenderedPageBreak/>
              <w:t>Destination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68659AD" w14:textId="77777777" w:rsidR="00755546" w:rsidRPr="002A17B2" w:rsidRDefault="00755546" w:rsidP="00755546">
            <w:pPr>
              <w:jc w:val="center"/>
              <w:rPr>
                <w:rFonts w:eastAsia="Times New Roman" w:cstheme="minorHAnsi"/>
                <w:b/>
                <w:bCs/>
                <w:sz w:val="24"/>
                <w:szCs w:val="24"/>
                <w:lang w:eastAsia="af-ZA"/>
              </w:rPr>
            </w:pPr>
            <w:r w:rsidRPr="002A17B2">
              <w:rPr>
                <w:rFonts w:eastAsia="Times New Roman" w:cstheme="minorHAnsi"/>
                <w:b/>
                <w:bCs/>
                <w:sz w:val="24"/>
                <w:szCs w:val="24"/>
                <w:lang w:eastAsia="af-ZA"/>
              </w:rPr>
              <w:t>Visitors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2B13AB" w14:textId="77777777" w:rsidR="00755546" w:rsidRPr="002A17B2" w:rsidRDefault="00755546" w:rsidP="00755546">
            <w:pPr>
              <w:jc w:val="center"/>
              <w:rPr>
                <w:rFonts w:eastAsia="Times New Roman" w:cstheme="minorHAnsi"/>
                <w:b/>
                <w:bCs/>
                <w:sz w:val="24"/>
                <w:szCs w:val="24"/>
                <w:lang w:eastAsia="af-ZA"/>
              </w:rPr>
            </w:pPr>
            <w:r w:rsidRPr="002A17B2">
              <w:rPr>
                <w:rFonts w:eastAsia="Times New Roman" w:cstheme="minorHAnsi"/>
                <w:b/>
                <w:bCs/>
                <w:sz w:val="24"/>
                <w:szCs w:val="24"/>
                <w:lang w:eastAsia="af-ZA"/>
              </w:rPr>
              <w:t>% Change</w:t>
            </w:r>
          </w:p>
        </w:tc>
      </w:tr>
      <w:tr w:rsidR="00755546" w:rsidRPr="002A17B2" w14:paraId="2B7BDFF4" w14:textId="77777777" w:rsidTr="0075554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FFF7C3"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Green Haven Resort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7CD0C057"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500,000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F6FB4E6"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+10%</w:t>
            </w:r>
          </w:p>
        </w:tc>
      </w:tr>
      <w:tr w:rsidR="00755546" w:rsidRPr="002A17B2" w14:paraId="759932F2" w14:textId="77777777" w:rsidTr="0075554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A4B6BFB"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Coastal Retreats</w:t>
            </w:r>
          </w:p>
        </w:tc>
        <w:tc>
          <w:tcPr>
            <w:tcW w:w="0" w:type="auto"/>
            <w:tcBorders>
              <w:top w:val="single" w:sz="4" w:space="0" w:color="auto"/>
              <w:left w:val="single" w:sz="4" w:space="0" w:color="auto"/>
              <w:bottom w:val="single" w:sz="4" w:space="0" w:color="auto"/>
              <w:right w:val="single" w:sz="4" w:space="0" w:color="auto"/>
            </w:tcBorders>
            <w:vAlign w:val="center"/>
            <w:hideMark/>
          </w:tcPr>
          <w:p w14:paraId="4A7A5BF1"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300,000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53260BA2"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+12%</w:t>
            </w:r>
          </w:p>
        </w:tc>
      </w:tr>
      <w:tr w:rsidR="00755546" w:rsidRPr="002A17B2" w14:paraId="3A7604ED" w14:textId="77777777" w:rsidTr="0075554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14459BD"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Safari Lodges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63369D3"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200,000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7D6F860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+5%</w:t>
            </w:r>
          </w:p>
        </w:tc>
      </w:tr>
      <w:tr w:rsidR="00755546" w:rsidRPr="002A17B2" w14:paraId="7D41CD23" w14:textId="77777777" w:rsidTr="0075554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CA7C31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Wellness Resorts</w:t>
            </w:r>
          </w:p>
        </w:tc>
        <w:tc>
          <w:tcPr>
            <w:tcW w:w="0" w:type="auto"/>
            <w:tcBorders>
              <w:top w:val="single" w:sz="4" w:space="0" w:color="auto"/>
              <w:left w:val="single" w:sz="4" w:space="0" w:color="auto"/>
              <w:bottom w:val="single" w:sz="4" w:space="0" w:color="auto"/>
              <w:right w:val="single" w:sz="4" w:space="0" w:color="auto"/>
            </w:tcBorders>
            <w:vAlign w:val="center"/>
            <w:hideMark/>
          </w:tcPr>
          <w:p w14:paraId="2AF48F78"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180,000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0330ABF7"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+8%</w:t>
            </w:r>
          </w:p>
        </w:tc>
      </w:tr>
      <w:tr w:rsidR="00755546" w:rsidRPr="002A17B2" w14:paraId="55CEB3C0" w14:textId="77777777" w:rsidTr="0075554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067B093"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Cultural Experiences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4EDE7B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150,000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35DF6266"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+15%</w:t>
            </w:r>
          </w:p>
        </w:tc>
      </w:tr>
      <w:tr w:rsidR="00755546" w:rsidRPr="002A17B2" w14:paraId="3A98E582" w14:textId="77777777" w:rsidTr="0075554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D2BEA3"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Adventure Tourism</w:t>
            </w:r>
          </w:p>
        </w:tc>
        <w:tc>
          <w:tcPr>
            <w:tcW w:w="0" w:type="auto"/>
            <w:tcBorders>
              <w:top w:val="single" w:sz="4" w:space="0" w:color="auto"/>
              <w:left w:val="single" w:sz="4" w:space="0" w:color="auto"/>
              <w:bottom w:val="single" w:sz="4" w:space="0" w:color="auto"/>
              <w:right w:val="single" w:sz="4" w:space="0" w:color="auto"/>
            </w:tcBorders>
            <w:vAlign w:val="center"/>
            <w:hideMark/>
          </w:tcPr>
          <w:p w14:paraId="30E87704"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120,000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12A9B6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+20%</w:t>
            </w:r>
          </w:p>
        </w:tc>
      </w:tr>
      <w:tr w:rsidR="00755546" w:rsidRPr="002A17B2" w14:paraId="672E8804" w14:textId="77777777" w:rsidTr="0075554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6A98851"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Eco-Resorts</w:t>
            </w:r>
          </w:p>
        </w:tc>
        <w:tc>
          <w:tcPr>
            <w:tcW w:w="0" w:type="auto"/>
            <w:tcBorders>
              <w:top w:val="single" w:sz="4" w:space="0" w:color="auto"/>
              <w:left w:val="single" w:sz="4" w:space="0" w:color="auto"/>
              <w:bottom w:val="single" w:sz="4" w:space="0" w:color="auto"/>
              <w:right w:val="single" w:sz="4" w:space="0" w:color="auto"/>
            </w:tcBorders>
            <w:vAlign w:val="center"/>
            <w:hideMark/>
          </w:tcPr>
          <w:p w14:paraId="00DF47F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80,000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10D8C5F2"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+30%</w:t>
            </w:r>
          </w:p>
        </w:tc>
      </w:tr>
      <w:tr w:rsidR="00755546" w:rsidRPr="002A17B2" w14:paraId="04F2FB91" w14:textId="77777777" w:rsidTr="0075554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F24E225"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Luxury B&amp;Bs</w:t>
            </w:r>
          </w:p>
        </w:tc>
        <w:tc>
          <w:tcPr>
            <w:tcW w:w="0" w:type="auto"/>
            <w:tcBorders>
              <w:top w:val="single" w:sz="4" w:space="0" w:color="auto"/>
              <w:left w:val="single" w:sz="4" w:space="0" w:color="auto"/>
              <w:bottom w:val="single" w:sz="4" w:space="0" w:color="auto"/>
              <w:right w:val="single" w:sz="4" w:space="0" w:color="auto"/>
            </w:tcBorders>
            <w:vAlign w:val="center"/>
            <w:hideMark/>
          </w:tcPr>
          <w:p w14:paraId="4504A21F"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50,000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5DCC62B1"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+35%</w:t>
            </w:r>
          </w:p>
        </w:tc>
      </w:tr>
    </w:tbl>
    <w:p w14:paraId="78A9A64A" w14:textId="77777777"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Data from the South African Tourism Department shows that the luxury travel sector continues to grow steadily. Visitor numbers from January to November 2022 indicate that resorts have welcomed almost 1.4 million guests with one month remaining in the year. December was the peak month for bookings, with over 200,000 guests.</w:t>
      </w:r>
    </w:p>
    <w:p w14:paraId="1F5D6310" w14:textId="77777777" w:rsidR="00755546" w:rsidRPr="002A17B2" w:rsidRDefault="00755546" w:rsidP="00755546">
      <w:pPr>
        <w:spacing w:before="100" w:beforeAutospacing="1" w:after="100" w:afterAutospacing="1"/>
        <w:outlineLvl w:val="1"/>
        <w:rPr>
          <w:rFonts w:eastAsia="Times New Roman" w:cstheme="minorHAnsi"/>
          <w:b/>
          <w:bCs/>
          <w:sz w:val="36"/>
          <w:szCs w:val="36"/>
          <w:lang w:eastAsia="af-ZA"/>
        </w:rPr>
      </w:pPr>
      <w:r w:rsidRPr="002A17B2">
        <w:rPr>
          <w:rFonts w:eastAsia="Times New Roman" w:cstheme="minorHAnsi"/>
          <w:b/>
          <w:bCs/>
          <w:sz w:val="36"/>
          <w:szCs w:val="36"/>
          <w:lang w:eastAsia="af-ZA"/>
        </w:rPr>
        <w:t>Graph 1: Luxury Tourism Trends</w:t>
      </w:r>
    </w:p>
    <w:p w14:paraId="5CAE3228" w14:textId="6460E3C6"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Green Haven Resort stands as the leading luxury tourist destination in South Africa, representing a significant portion of total tourist arrivals in 2022. Coastal retreats rank second, with eco-friendly resorts rapidly gaining popularity among traveler.</w:t>
      </w:r>
    </w:p>
    <w:p w14:paraId="21C6FE1A" w14:textId="77777777"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Despite the strong numbers for tourism in 2022, industry experts warn that challenges loom for the upcoming year. Increasing operational costs, including staffing and maintenance, are expected to weigh on profit margins. As a result, the industry anticipates slower growth rates in 2023, with predictions of only modest increases in visitor numbers.</w:t>
      </w:r>
    </w:p>
    <w:p w14:paraId="6A0EEF8E" w14:textId="77777777" w:rsidR="00755546" w:rsidRPr="002A17B2" w:rsidRDefault="00755546" w:rsidP="00755546">
      <w:pPr>
        <w:spacing w:before="100" w:beforeAutospacing="1" w:after="100" w:afterAutospacing="1"/>
        <w:rPr>
          <w:rFonts w:eastAsia="Times New Roman" w:cstheme="minorHAnsi"/>
          <w:sz w:val="24"/>
          <w:szCs w:val="24"/>
          <w:lang w:eastAsia="af-ZA"/>
        </w:rPr>
      </w:pPr>
      <w:r w:rsidRPr="002A17B2">
        <w:rPr>
          <w:rFonts w:eastAsia="Times New Roman" w:cstheme="minorHAnsi"/>
          <w:sz w:val="24"/>
          <w:szCs w:val="24"/>
          <w:lang w:eastAsia="af-ZA"/>
        </w:rPr>
        <w:t>However, with the introduction of new luxury offerings and innovative marketing strategies, the medium-term outlook remains positive for South African tourism. The sector continues to adapt and innovate, reflecting resilience in the face of ongoing challenges.</w:t>
      </w:r>
    </w:p>
    <w:p w14:paraId="5A08F8B2" w14:textId="77777777" w:rsidR="00755546" w:rsidRPr="002A17B2" w:rsidRDefault="00755546" w:rsidP="00755546">
      <w:pPr>
        <w:spacing w:before="100" w:beforeAutospacing="1" w:after="100" w:afterAutospacing="1"/>
        <w:outlineLvl w:val="1"/>
        <w:rPr>
          <w:rFonts w:eastAsia="Times New Roman" w:cstheme="minorHAnsi"/>
          <w:b/>
          <w:bCs/>
          <w:sz w:val="36"/>
          <w:szCs w:val="36"/>
          <w:lang w:eastAsia="af-ZA"/>
        </w:rPr>
      </w:pPr>
      <w:r w:rsidRPr="002A17B2">
        <w:rPr>
          <w:rFonts w:eastAsia="Times New Roman" w:cstheme="minorHAnsi"/>
          <w:b/>
          <w:bCs/>
          <w:sz w:val="36"/>
          <w:szCs w:val="36"/>
          <w:lang w:eastAsia="af-ZA"/>
        </w:rPr>
        <w:t>The Top 10 Luxury Tourist Destinations in South Africa for 2022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5"/>
        <w:gridCol w:w="870"/>
        <w:gridCol w:w="2568"/>
      </w:tblGrid>
      <w:tr w:rsidR="00755546" w:rsidRPr="002A17B2" w14:paraId="31EBAAB8" w14:textId="77777777" w:rsidTr="008D6D5F">
        <w:trPr>
          <w:tblHeader/>
          <w:tblCellSpacing w:w="15" w:type="dxa"/>
        </w:trPr>
        <w:tc>
          <w:tcPr>
            <w:tcW w:w="2040" w:type="dxa"/>
            <w:vAlign w:val="center"/>
            <w:hideMark/>
          </w:tcPr>
          <w:p w14:paraId="2539A3E6" w14:textId="77777777" w:rsidR="00755546" w:rsidRPr="002A17B2" w:rsidRDefault="00755546" w:rsidP="00755546">
            <w:pPr>
              <w:jc w:val="center"/>
              <w:rPr>
                <w:rFonts w:eastAsia="Times New Roman" w:cstheme="minorHAnsi"/>
                <w:b/>
                <w:bCs/>
                <w:sz w:val="24"/>
                <w:szCs w:val="24"/>
                <w:lang w:eastAsia="af-ZA"/>
              </w:rPr>
            </w:pPr>
            <w:r w:rsidRPr="002A17B2">
              <w:rPr>
                <w:rFonts w:eastAsia="Times New Roman" w:cstheme="minorHAnsi"/>
                <w:b/>
                <w:bCs/>
                <w:sz w:val="24"/>
                <w:szCs w:val="24"/>
                <w:lang w:eastAsia="af-ZA"/>
              </w:rPr>
              <w:t>Destination</w:t>
            </w:r>
          </w:p>
        </w:tc>
        <w:tc>
          <w:tcPr>
            <w:tcW w:w="840" w:type="dxa"/>
            <w:vAlign w:val="center"/>
            <w:hideMark/>
          </w:tcPr>
          <w:p w14:paraId="2F51833A" w14:textId="77777777" w:rsidR="00755546" w:rsidRPr="002A17B2" w:rsidRDefault="00755546" w:rsidP="00755546">
            <w:pPr>
              <w:jc w:val="center"/>
              <w:rPr>
                <w:rFonts w:eastAsia="Times New Roman" w:cstheme="minorHAnsi"/>
                <w:b/>
                <w:bCs/>
                <w:sz w:val="24"/>
                <w:szCs w:val="24"/>
                <w:lang w:eastAsia="af-ZA"/>
              </w:rPr>
            </w:pPr>
            <w:r w:rsidRPr="002A17B2">
              <w:rPr>
                <w:rFonts w:eastAsia="Times New Roman" w:cstheme="minorHAnsi"/>
                <w:b/>
                <w:bCs/>
                <w:sz w:val="24"/>
                <w:szCs w:val="24"/>
                <w:lang w:eastAsia="af-ZA"/>
              </w:rPr>
              <w:t>Visitors</w:t>
            </w:r>
          </w:p>
        </w:tc>
        <w:tc>
          <w:tcPr>
            <w:tcW w:w="0" w:type="auto"/>
            <w:vAlign w:val="center"/>
            <w:hideMark/>
          </w:tcPr>
          <w:p w14:paraId="65240549" w14:textId="77777777" w:rsidR="00755546" w:rsidRPr="002A17B2" w:rsidRDefault="00755546" w:rsidP="00755546">
            <w:pPr>
              <w:jc w:val="center"/>
              <w:rPr>
                <w:rFonts w:eastAsia="Times New Roman" w:cstheme="minorHAnsi"/>
                <w:b/>
                <w:bCs/>
                <w:sz w:val="24"/>
                <w:szCs w:val="24"/>
                <w:lang w:eastAsia="af-ZA"/>
              </w:rPr>
            </w:pPr>
            <w:r w:rsidRPr="002A17B2">
              <w:rPr>
                <w:rFonts w:eastAsia="Times New Roman" w:cstheme="minorHAnsi"/>
                <w:b/>
                <w:bCs/>
                <w:sz w:val="24"/>
                <w:szCs w:val="24"/>
                <w:lang w:eastAsia="af-ZA"/>
              </w:rPr>
              <w:t>Average Price (per night)</w:t>
            </w:r>
          </w:p>
        </w:tc>
      </w:tr>
      <w:tr w:rsidR="00755546" w:rsidRPr="002A17B2" w14:paraId="357C9F87" w14:textId="77777777" w:rsidTr="008D6D5F">
        <w:trPr>
          <w:tblCellSpacing w:w="15" w:type="dxa"/>
        </w:trPr>
        <w:tc>
          <w:tcPr>
            <w:tcW w:w="2040" w:type="dxa"/>
            <w:vAlign w:val="center"/>
            <w:hideMark/>
          </w:tcPr>
          <w:p w14:paraId="39012F95"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Green Haven Resort</w:t>
            </w:r>
          </w:p>
        </w:tc>
        <w:tc>
          <w:tcPr>
            <w:tcW w:w="840" w:type="dxa"/>
            <w:vAlign w:val="center"/>
            <w:hideMark/>
          </w:tcPr>
          <w:p w14:paraId="7D8B3FB1"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500,000</w:t>
            </w:r>
          </w:p>
        </w:tc>
        <w:tc>
          <w:tcPr>
            <w:tcW w:w="0" w:type="auto"/>
            <w:vAlign w:val="center"/>
            <w:hideMark/>
          </w:tcPr>
          <w:p w14:paraId="62175DF6"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R3,000</w:t>
            </w:r>
          </w:p>
        </w:tc>
      </w:tr>
      <w:tr w:rsidR="00755546" w:rsidRPr="002A17B2" w14:paraId="4E4DF55B" w14:textId="77777777" w:rsidTr="008D6D5F">
        <w:trPr>
          <w:tblCellSpacing w:w="15" w:type="dxa"/>
        </w:trPr>
        <w:tc>
          <w:tcPr>
            <w:tcW w:w="2040" w:type="dxa"/>
            <w:vAlign w:val="center"/>
            <w:hideMark/>
          </w:tcPr>
          <w:p w14:paraId="0900CCDF"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Coastal Retreats</w:t>
            </w:r>
          </w:p>
        </w:tc>
        <w:tc>
          <w:tcPr>
            <w:tcW w:w="840" w:type="dxa"/>
            <w:vAlign w:val="center"/>
            <w:hideMark/>
          </w:tcPr>
          <w:p w14:paraId="7EC03DC8"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300,000</w:t>
            </w:r>
          </w:p>
        </w:tc>
        <w:tc>
          <w:tcPr>
            <w:tcW w:w="0" w:type="auto"/>
            <w:vAlign w:val="center"/>
            <w:hideMark/>
          </w:tcPr>
          <w:p w14:paraId="300F1965"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R5,500</w:t>
            </w:r>
          </w:p>
        </w:tc>
      </w:tr>
      <w:tr w:rsidR="00755546" w:rsidRPr="002A17B2" w14:paraId="6FE203FC" w14:textId="77777777" w:rsidTr="008D6D5F">
        <w:trPr>
          <w:tblCellSpacing w:w="15" w:type="dxa"/>
        </w:trPr>
        <w:tc>
          <w:tcPr>
            <w:tcW w:w="2040" w:type="dxa"/>
            <w:vAlign w:val="center"/>
            <w:hideMark/>
          </w:tcPr>
          <w:p w14:paraId="1FCA90B5"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Safari Lodges</w:t>
            </w:r>
          </w:p>
        </w:tc>
        <w:tc>
          <w:tcPr>
            <w:tcW w:w="840" w:type="dxa"/>
            <w:vAlign w:val="center"/>
            <w:hideMark/>
          </w:tcPr>
          <w:p w14:paraId="391E31C4"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200,000</w:t>
            </w:r>
          </w:p>
        </w:tc>
        <w:tc>
          <w:tcPr>
            <w:tcW w:w="0" w:type="auto"/>
            <w:vAlign w:val="center"/>
            <w:hideMark/>
          </w:tcPr>
          <w:p w14:paraId="56680704"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R4,000</w:t>
            </w:r>
          </w:p>
        </w:tc>
      </w:tr>
      <w:tr w:rsidR="00755546" w:rsidRPr="002A17B2" w14:paraId="3051DAE8" w14:textId="77777777" w:rsidTr="008D6D5F">
        <w:trPr>
          <w:tblCellSpacing w:w="15" w:type="dxa"/>
        </w:trPr>
        <w:tc>
          <w:tcPr>
            <w:tcW w:w="2040" w:type="dxa"/>
            <w:vAlign w:val="center"/>
            <w:hideMark/>
          </w:tcPr>
          <w:p w14:paraId="4CBFCB17"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Wellness Resorts</w:t>
            </w:r>
          </w:p>
        </w:tc>
        <w:tc>
          <w:tcPr>
            <w:tcW w:w="840" w:type="dxa"/>
            <w:vAlign w:val="center"/>
            <w:hideMark/>
          </w:tcPr>
          <w:p w14:paraId="74DF049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180,000</w:t>
            </w:r>
          </w:p>
        </w:tc>
        <w:tc>
          <w:tcPr>
            <w:tcW w:w="0" w:type="auto"/>
            <w:vAlign w:val="center"/>
            <w:hideMark/>
          </w:tcPr>
          <w:p w14:paraId="2AC05A38" w14:textId="77777777" w:rsidR="00755546" w:rsidRPr="002A17B2" w:rsidRDefault="00755546" w:rsidP="00755546">
            <w:pPr>
              <w:rPr>
                <w:rFonts w:eastAsia="Times New Roman" w:cstheme="minorHAnsi"/>
                <w:sz w:val="24"/>
                <w:szCs w:val="24"/>
                <w:lang w:eastAsia="af-ZA"/>
              </w:rPr>
            </w:pPr>
            <w:bookmarkStart w:id="0" w:name="_GoBack"/>
            <w:bookmarkEnd w:id="0"/>
            <w:r w:rsidRPr="002A17B2">
              <w:rPr>
                <w:rFonts w:eastAsia="Times New Roman" w:cstheme="minorHAnsi"/>
                <w:sz w:val="24"/>
                <w:szCs w:val="24"/>
                <w:lang w:eastAsia="af-ZA"/>
              </w:rPr>
              <w:t>R7,000</w:t>
            </w:r>
          </w:p>
        </w:tc>
      </w:tr>
      <w:tr w:rsidR="00755546" w:rsidRPr="002A17B2" w14:paraId="35CD6146" w14:textId="77777777" w:rsidTr="008D6D5F">
        <w:trPr>
          <w:tblCellSpacing w:w="15" w:type="dxa"/>
        </w:trPr>
        <w:tc>
          <w:tcPr>
            <w:tcW w:w="2040" w:type="dxa"/>
            <w:vAlign w:val="center"/>
            <w:hideMark/>
          </w:tcPr>
          <w:p w14:paraId="4F47B17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lastRenderedPageBreak/>
              <w:t>Cultural Experiences</w:t>
            </w:r>
          </w:p>
        </w:tc>
        <w:tc>
          <w:tcPr>
            <w:tcW w:w="840" w:type="dxa"/>
            <w:vAlign w:val="center"/>
            <w:hideMark/>
          </w:tcPr>
          <w:p w14:paraId="0C705BD5"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150,000</w:t>
            </w:r>
          </w:p>
        </w:tc>
        <w:tc>
          <w:tcPr>
            <w:tcW w:w="0" w:type="auto"/>
            <w:vAlign w:val="center"/>
            <w:hideMark/>
          </w:tcPr>
          <w:p w14:paraId="4D7FAAEF"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R2,200</w:t>
            </w:r>
          </w:p>
        </w:tc>
      </w:tr>
      <w:tr w:rsidR="00755546" w:rsidRPr="002A17B2" w14:paraId="1E828B67" w14:textId="77777777" w:rsidTr="008D6D5F">
        <w:trPr>
          <w:tblCellSpacing w:w="15" w:type="dxa"/>
        </w:trPr>
        <w:tc>
          <w:tcPr>
            <w:tcW w:w="2040" w:type="dxa"/>
            <w:vAlign w:val="center"/>
            <w:hideMark/>
          </w:tcPr>
          <w:p w14:paraId="23199B17"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Adventure Tourism</w:t>
            </w:r>
          </w:p>
        </w:tc>
        <w:tc>
          <w:tcPr>
            <w:tcW w:w="840" w:type="dxa"/>
            <w:vAlign w:val="center"/>
            <w:hideMark/>
          </w:tcPr>
          <w:p w14:paraId="285F80F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120,000</w:t>
            </w:r>
          </w:p>
        </w:tc>
        <w:tc>
          <w:tcPr>
            <w:tcW w:w="0" w:type="auto"/>
            <w:vAlign w:val="center"/>
            <w:hideMark/>
          </w:tcPr>
          <w:p w14:paraId="72E38C1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R15,000</w:t>
            </w:r>
          </w:p>
        </w:tc>
      </w:tr>
      <w:tr w:rsidR="00755546" w:rsidRPr="002A17B2" w14:paraId="01296A46" w14:textId="77777777" w:rsidTr="008D6D5F">
        <w:trPr>
          <w:tblCellSpacing w:w="15" w:type="dxa"/>
        </w:trPr>
        <w:tc>
          <w:tcPr>
            <w:tcW w:w="2040" w:type="dxa"/>
            <w:vAlign w:val="center"/>
            <w:hideMark/>
          </w:tcPr>
          <w:p w14:paraId="112AACB0"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Eco-Resorts</w:t>
            </w:r>
          </w:p>
        </w:tc>
        <w:tc>
          <w:tcPr>
            <w:tcW w:w="840" w:type="dxa"/>
            <w:vAlign w:val="center"/>
            <w:hideMark/>
          </w:tcPr>
          <w:p w14:paraId="2D2F8D3E"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80,000</w:t>
            </w:r>
          </w:p>
        </w:tc>
        <w:tc>
          <w:tcPr>
            <w:tcW w:w="0" w:type="auto"/>
            <w:vAlign w:val="center"/>
            <w:hideMark/>
          </w:tcPr>
          <w:p w14:paraId="144A4AEF"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R30,000</w:t>
            </w:r>
          </w:p>
        </w:tc>
      </w:tr>
      <w:tr w:rsidR="00755546" w:rsidRPr="002A17B2" w14:paraId="446FA161" w14:textId="77777777" w:rsidTr="008D6D5F">
        <w:trPr>
          <w:tblCellSpacing w:w="15" w:type="dxa"/>
        </w:trPr>
        <w:tc>
          <w:tcPr>
            <w:tcW w:w="2040" w:type="dxa"/>
            <w:vAlign w:val="center"/>
            <w:hideMark/>
          </w:tcPr>
          <w:p w14:paraId="2CDEC2CB"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Luxury B&amp;Bs</w:t>
            </w:r>
          </w:p>
        </w:tc>
        <w:tc>
          <w:tcPr>
            <w:tcW w:w="840" w:type="dxa"/>
            <w:vAlign w:val="center"/>
            <w:hideMark/>
          </w:tcPr>
          <w:p w14:paraId="78E3A489"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50,000</w:t>
            </w:r>
          </w:p>
        </w:tc>
        <w:tc>
          <w:tcPr>
            <w:tcW w:w="0" w:type="auto"/>
            <w:vAlign w:val="center"/>
            <w:hideMark/>
          </w:tcPr>
          <w:p w14:paraId="502C095A" w14:textId="77777777" w:rsidR="00755546" w:rsidRPr="002A17B2" w:rsidRDefault="00755546" w:rsidP="00755546">
            <w:pPr>
              <w:rPr>
                <w:rFonts w:eastAsia="Times New Roman" w:cstheme="minorHAnsi"/>
                <w:sz w:val="24"/>
                <w:szCs w:val="24"/>
                <w:lang w:eastAsia="af-ZA"/>
              </w:rPr>
            </w:pPr>
            <w:r w:rsidRPr="002A17B2">
              <w:rPr>
                <w:rFonts w:eastAsia="Times New Roman" w:cstheme="minorHAnsi"/>
                <w:sz w:val="24"/>
                <w:szCs w:val="24"/>
                <w:lang w:eastAsia="af-ZA"/>
              </w:rPr>
              <w:t>R25,000</w:t>
            </w:r>
          </w:p>
        </w:tc>
      </w:tr>
    </w:tbl>
    <w:p w14:paraId="1AF652EE" w14:textId="3C382171" w:rsidR="00014045" w:rsidRPr="00203B50" w:rsidRDefault="00755546" w:rsidP="00203B50">
      <w:pPr>
        <w:spacing w:before="100" w:beforeAutospacing="1" w:after="100" w:afterAutospacing="1"/>
        <w:rPr>
          <w:rFonts w:eastAsia="Times New Roman" w:cstheme="minorHAnsi"/>
          <w:sz w:val="24"/>
          <w:szCs w:val="24"/>
          <w:lang w:val="af-ZA" w:eastAsia="af-ZA"/>
        </w:rPr>
      </w:pPr>
      <w:r w:rsidRPr="002A17B2">
        <w:rPr>
          <w:rFonts w:eastAsia="Times New Roman" w:cstheme="minorHAnsi"/>
          <w:sz w:val="24"/>
          <w:szCs w:val="24"/>
          <w:lang w:eastAsia="af-ZA"/>
        </w:rPr>
        <w:t xml:space="preserve">The adaptability and innovation within South Africa’s luxury tourism sector position it for continued growth, ensuring a </w:t>
      </w:r>
      <w:r w:rsidR="008D6D5F">
        <w:rPr>
          <w:rFonts w:eastAsia="Times New Roman" w:cstheme="minorHAnsi"/>
          <w:sz w:val="24"/>
          <w:szCs w:val="24"/>
          <w:lang w:eastAsia="af-ZA"/>
        </w:rPr>
        <w:t xml:space="preserve">vibrant market for both </w:t>
      </w:r>
      <w:r w:rsidR="008D6D5F">
        <w:rPr>
          <w:rFonts w:eastAsia="Times New Roman" w:cstheme="minorHAnsi"/>
          <w:b/>
          <w:color w:val="27F931"/>
          <w:sz w:val="24"/>
          <w:szCs w:val="24"/>
          <w:lang w:eastAsia="af-ZA"/>
        </w:rPr>
        <w:t>TRAVELLERS</w:t>
      </w:r>
      <w:r w:rsidRPr="002A17B2">
        <w:rPr>
          <w:rFonts w:eastAsia="Times New Roman" w:cstheme="minorHAnsi"/>
          <w:sz w:val="24"/>
          <w:szCs w:val="24"/>
          <w:lang w:eastAsia="af-ZA"/>
        </w:rPr>
        <w:t xml:space="preserve"> and local businesses alike.</w:t>
      </w:r>
    </w:p>
    <w:sectPr w:rsidR="00014045" w:rsidRPr="00203B50" w:rsidSect="002F68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B4F76" w14:textId="77777777" w:rsidR="009A3C70" w:rsidRPr="002A17B2" w:rsidRDefault="009A3C70" w:rsidP="00921517">
      <w:r w:rsidRPr="002A17B2">
        <w:separator/>
      </w:r>
    </w:p>
  </w:endnote>
  <w:endnote w:type="continuationSeparator" w:id="0">
    <w:p w14:paraId="1302B277" w14:textId="77777777" w:rsidR="009A3C70" w:rsidRPr="002A17B2" w:rsidRDefault="009A3C70" w:rsidP="00921517">
      <w:r w:rsidRPr="002A17B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3162F" w14:textId="77777777" w:rsidR="009A3C70" w:rsidRPr="002A17B2" w:rsidRDefault="009A3C70" w:rsidP="00921517">
      <w:r w:rsidRPr="002A17B2">
        <w:separator/>
      </w:r>
    </w:p>
  </w:footnote>
  <w:footnote w:type="continuationSeparator" w:id="0">
    <w:p w14:paraId="6CE03094" w14:textId="77777777" w:rsidR="009A3C70" w:rsidRPr="002A17B2" w:rsidRDefault="009A3C70" w:rsidP="00921517">
      <w:r w:rsidRPr="002A17B2">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656ED"/>
    <w:multiLevelType w:val="multilevel"/>
    <w:tmpl w:val="1436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87A75"/>
    <w:multiLevelType w:val="multilevel"/>
    <w:tmpl w:val="4A94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509F4"/>
    <w:multiLevelType w:val="multilevel"/>
    <w:tmpl w:val="FA50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A2387"/>
    <w:multiLevelType w:val="multilevel"/>
    <w:tmpl w:val="7856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4C4A5B"/>
    <w:multiLevelType w:val="multilevel"/>
    <w:tmpl w:val="A8FA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D14B35"/>
    <w:multiLevelType w:val="multilevel"/>
    <w:tmpl w:val="D16E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5B324E"/>
    <w:multiLevelType w:val="multilevel"/>
    <w:tmpl w:val="22C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5481F"/>
    <w:multiLevelType w:val="multilevel"/>
    <w:tmpl w:val="0808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602531"/>
    <w:multiLevelType w:val="multilevel"/>
    <w:tmpl w:val="1A94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C72244"/>
    <w:multiLevelType w:val="multilevel"/>
    <w:tmpl w:val="A632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C7F2A"/>
    <w:multiLevelType w:val="multilevel"/>
    <w:tmpl w:val="9A3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9A1222"/>
    <w:multiLevelType w:val="multilevel"/>
    <w:tmpl w:val="D20C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9B7B24"/>
    <w:multiLevelType w:val="multilevel"/>
    <w:tmpl w:val="BAB4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1"/>
  </w:num>
  <w:num w:numId="4">
    <w:abstractNumId w:val="12"/>
  </w:num>
  <w:num w:numId="5">
    <w:abstractNumId w:val="5"/>
  </w:num>
  <w:num w:numId="6">
    <w:abstractNumId w:val="1"/>
  </w:num>
  <w:num w:numId="7">
    <w:abstractNumId w:val="2"/>
  </w:num>
  <w:num w:numId="8">
    <w:abstractNumId w:val="6"/>
  </w:num>
  <w:num w:numId="9">
    <w:abstractNumId w:val="4"/>
  </w:num>
  <w:num w:numId="10">
    <w:abstractNumId w:val="0"/>
  </w:num>
  <w:num w:numId="11">
    <w:abstractNumId w:val="3"/>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CD9"/>
    <w:rsid w:val="00002F10"/>
    <w:rsid w:val="00014045"/>
    <w:rsid w:val="00026C6B"/>
    <w:rsid w:val="000312AE"/>
    <w:rsid w:val="000339E7"/>
    <w:rsid w:val="00036F55"/>
    <w:rsid w:val="000410ED"/>
    <w:rsid w:val="00044162"/>
    <w:rsid w:val="00045916"/>
    <w:rsid w:val="000542A6"/>
    <w:rsid w:val="000723CE"/>
    <w:rsid w:val="000B78EB"/>
    <w:rsid w:val="000C09FE"/>
    <w:rsid w:val="000C7CB8"/>
    <w:rsid w:val="000F1B61"/>
    <w:rsid w:val="000F4F5E"/>
    <w:rsid w:val="00104AA0"/>
    <w:rsid w:val="0012355E"/>
    <w:rsid w:val="0012451E"/>
    <w:rsid w:val="001329BF"/>
    <w:rsid w:val="0013537D"/>
    <w:rsid w:val="00136983"/>
    <w:rsid w:val="00140041"/>
    <w:rsid w:val="0014058D"/>
    <w:rsid w:val="00150DFB"/>
    <w:rsid w:val="00164886"/>
    <w:rsid w:val="00184761"/>
    <w:rsid w:val="00197A88"/>
    <w:rsid w:val="001C486F"/>
    <w:rsid w:val="001D5499"/>
    <w:rsid w:val="001E4658"/>
    <w:rsid w:val="001F1877"/>
    <w:rsid w:val="00203B50"/>
    <w:rsid w:val="002115C3"/>
    <w:rsid w:val="00213098"/>
    <w:rsid w:val="0021419D"/>
    <w:rsid w:val="0024129E"/>
    <w:rsid w:val="00251233"/>
    <w:rsid w:val="0025778A"/>
    <w:rsid w:val="00260B78"/>
    <w:rsid w:val="002804E8"/>
    <w:rsid w:val="0028604A"/>
    <w:rsid w:val="002A17B2"/>
    <w:rsid w:val="002D5FC0"/>
    <w:rsid w:val="002E5AB8"/>
    <w:rsid w:val="002F6896"/>
    <w:rsid w:val="00303B20"/>
    <w:rsid w:val="0033113E"/>
    <w:rsid w:val="00331828"/>
    <w:rsid w:val="00337804"/>
    <w:rsid w:val="003457A0"/>
    <w:rsid w:val="00355AC5"/>
    <w:rsid w:val="00356C44"/>
    <w:rsid w:val="00357071"/>
    <w:rsid w:val="00381558"/>
    <w:rsid w:val="00391865"/>
    <w:rsid w:val="003A1F70"/>
    <w:rsid w:val="003A3C96"/>
    <w:rsid w:val="003C6936"/>
    <w:rsid w:val="003E0710"/>
    <w:rsid w:val="004059BF"/>
    <w:rsid w:val="004149C3"/>
    <w:rsid w:val="00422CA5"/>
    <w:rsid w:val="00431E13"/>
    <w:rsid w:val="004358CC"/>
    <w:rsid w:val="004457C8"/>
    <w:rsid w:val="0046038A"/>
    <w:rsid w:val="004715E4"/>
    <w:rsid w:val="00475CE8"/>
    <w:rsid w:val="00475F0A"/>
    <w:rsid w:val="004A282F"/>
    <w:rsid w:val="004B3810"/>
    <w:rsid w:val="004D19E4"/>
    <w:rsid w:val="004D4857"/>
    <w:rsid w:val="004F21DC"/>
    <w:rsid w:val="00520080"/>
    <w:rsid w:val="00533850"/>
    <w:rsid w:val="005407A8"/>
    <w:rsid w:val="005526B9"/>
    <w:rsid w:val="00560954"/>
    <w:rsid w:val="00564411"/>
    <w:rsid w:val="00573EC1"/>
    <w:rsid w:val="005D2292"/>
    <w:rsid w:val="005F226A"/>
    <w:rsid w:val="0060701E"/>
    <w:rsid w:val="00636B59"/>
    <w:rsid w:val="00645571"/>
    <w:rsid w:val="00656993"/>
    <w:rsid w:val="006B5DED"/>
    <w:rsid w:val="006D3406"/>
    <w:rsid w:val="0070118D"/>
    <w:rsid w:val="007066CD"/>
    <w:rsid w:val="00713AC1"/>
    <w:rsid w:val="00720467"/>
    <w:rsid w:val="00755546"/>
    <w:rsid w:val="007634AE"/>
    <w:rsid w:val="007652AF"/>
    <w:rsid w:val="007A2890"/>
    <w:rsid w:val="007A2B80"/>
    <w:rsid w:val="007B676F"/>
    <w:rsid w:val="007E3CB3"/>
    <w:rsid w:val="007F30A2"/>
    <w:rsid w:val="00801B4E"/>
    <w:rsid w:val="0081367D"/>
    <w:rsid w:val="00821CCF"/>
    <w:rsid w:val="008238C8"/>
    <w:rsid w:val="008330BB"/>
    <w:rsid w:val="0084552A"/>
    <w:rsid w:val="00864352"/>
    <w:rsid w:val="00864A71"/>
    <w:rsid w:val="00890720"/>
    <w:rsid w:val="00894A08"/>
    <w:rsid w:val="008D6D5F"/>
    <w:rsid w:val="008F02C6"/>
    <w:rsid w:val="008F6F40"/>
    <w:rsid w:val="0090120A"/>
    <w:rsid w:val="009174C1"/>
    <w:rsid w:val="00921517"/>
    <w:rsid w:val="009452DC"/>
    <w:rsid w:val="00952229"/>
    <w:rsid w:val="009815C5"/>
    <w:rsid w:val="00992234"/>
    <w:rsid w:val="00994A33"/>
    <w:rsid w:val="009951AD"/>
    <w:rsid w:val="009A3C70"/>
    <w:rsid w:val="009A3DEF"/>
    <w:rsid w:val="009C0838"/>
    <w:rsid w:val="009D1862"/>
    <w:rsid w:val="009E1183"/>
    <w:rsid w:val="00A10262"/>
    <w:rsid w:val="00A62E2C"/>
    <w:rsid w:val="00A76DA9"/>
    <w:rsid w:val="00AA5F8A"/>
    <w:rsid w:val="00AA600A"/>
    <w:rsid w:val="00AB5816"/>
    <w:rsid w:val="00AB5CD9"/>
    <w:rsid w:val="00AD2A4B"/>
    <w:rsid w:val="00AD7E0C"/>
    <w:rsid w:val="00B14D95"/>
    <w:rsid w:val="00B369AE"/>
    <w:rsid w:val="00B405A5"/>
    <w:rsid w:val="00B42920"/>
    <w:rsid w:val="00B53C26"/>
    <w:rsid w:val="00B71342"/>
    <w:rsid w:val="00B7437D"/>
    <w:rsid w:val="00B83AD1"/>
    <w:rsid w:val="00BA63B9"/>
    <w:rsid w:val="00BA6EA9"/>
    <w:rsid w:val="00BA7D66"/>
    <w:rsid w:val="00BB5EEA"/>
    <w:rsid w:val="00BD035F"/>
    <w:rsid w:val="00BD2E45"/>
    <w:rsid w:val="00BD7E77"/>
    <w:rsid w:val="00BF15D1"/>
    <w:rsid w:val="00C12265"/>
    <w:rsid w:val="00C23F05"/>
    <w:rsid w:val="00C24868"/>
    <w:rsid w:val="00C3182D"/>
    <w:rsid w:val="00C50231"/>
    <w:rsid w:val="00CA7AEC"/>
    <w:rsid w:val="00CB2757"/>
    <w:rsid w:val="00CB3B0B"/>
    <w:rsid w:val="00CB65B3"/>
    <w:rsid w:val="00CB7B19"/>
    <w:rsid w:val="00CD70F8"/>
    <w:rsid w:val="00D073DC"/>
    <w:rsid w:val="00D3263A"/>
    <w:rsid w:val="00D34317"/>
    <w:rsid w:val="00D40134"/>
    <w:rsid w:val="00D61F2D"/>
    <w:rsid w:val="00D816D1"/>
    <w:rsid w:val="00DA530D"/>
    <w:rsid w:val="00DD420C"/>
    <w:rsid w:val="00DD70B8"/>
    <w:rsid w:val="00DE0686"/>
    <w:rsid w:val="00DE7C51"/>
    <w:rsid w:val="00DF539B"/>
    <w:rsid w:val="00DF7660"/>
    <w:rsid w:val="00E01F89"/>
    <w:rsid w:val="00E303A1"/>
    <w:rsid w:val="00E50A04"/>
    <w:rsid w:val="00E64B8E"/>
    <w:rsid w:val="00E66920"/>
    <w:rsid w:val="00E74117"/>
    <w:rsid w:val="00E84DA9"/>
    <w:rsid w:val="00E944C9"/>
    <w:rsid w:val="00E94CB4"/>
    <w:rsid w:val="00E97096"/>
    <w:rsid w:val="00EA421C"/>
    <w:rsid w:val="00EB296F"/>
    <w:rsid w:val="00ED10EC"/>
    <w:rsid w:val="00ED2381"/>
    <w:rsid w:val="00ED729A"/>
    <w:rsid w:val="00EF4638"/>
    <w:rsid w:val="00EF567A"/>
    <w:rsid w:val="00F038B6"/>
    <w:rsid w:val="00F47ED0"/>
    <w:rsid w:val="00F53C8C"/>
    <w:rsid w:val="00F6212B"/>
    <w:rsid w:val="00F929F1"/>
    <w:rsid w:val="00FD6DE4"/>
    <w:rsid w:val="00FF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BE76A"/>
  <w15:chartTrackingRefBased/>
  <w15:docId w15:val="{80B7A138-0C6C-47E7-8799-EEDA7D51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link w:val="Heading1Char"/>
    <w:uiPriority w:val="9"/>
    <w:qFormat/>
    <w:rsid w:val="009951A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55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51A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1A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951A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951AD"/>
    <w:rPr>
      <w:color w:val="0000FF"/>
      <w:u w:val="single"/>
    </w:rPr>
  </w:style>
  <w:style w:type="character" w:customStyle="1" w:styleId="name">
    <w:name w:val="name"/>
    <w:basedOn w:val="DefaultParagraphFont"/>
    <w:rsid w:val="009951AD"/>
  </w:style>
  <w:style w:type="character" w:customStyle="1" w:styleId="Title1">
    <w:name w:val="Title1"/>
    <w:basedOn w:val="DefaultParagraphFont"/>
    <w:rsid w:val="009951AD"/>
  </w:style>
  <w:style w:type="character" w:customStyle="1" w:styleId="vf-offscreen-text">
    <w:name w:val="vf-offscreen-text"/>
    <w:basedOn w:val="DefaultParagraphFont"/>
    <w:rsid w:val="009951AD"/>
  </w:style>
  <w:style w:type="character" w:customStyle="1" w:styleId="count-text">
    <w:name w:val="count-text"/>
    <w:basedOn w:val="DefaultParagraphFont"/>
    <w:rsid w:val="009951AD"/>
  </w:style>
  <w:style w:type="character" w:customStyle="1" w:styleId="description">
    <w:name w:val="description"/>
    <w:basedOn w:val="DefaultParagraphFont"/>
    <w:rsid w:val="009951AD"/>
  </w:style>
  <w:style w:type="character" w:customStyle="1" w:styleId="author">
    <w:name w:val="author"/>
    <w:basedOn w:val="DefaultParagraphFont"/>
    <w:rsid w:val="009951AD"/>
  </w:style>
  <w:style w:type="character" w:customStyle="1" w:styleId="image-author-label">
    <w:name w:val="image-author-label"/>
    <w:basedOn w:val="DefaultParagraphFont"/>
    <w:rsid w:val="009951AD"/>
  </w:style>
  <w:style w:type="paragraph" w:styleId="NormalWeb">
    <w:name w:val="Normal (Web)"/>
    <w:basedOn w:val="Normal"/>
    <w:uiPriority w:val="99"/>
    <w:semiHidden/>
    <w:unhideWhenUsed/>
    <w:rsid w:val="009951AD"/>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9951AD"/>
    <w:rPr>
      <w:i/>
      <w:iCs/>
    </w:rPr>
  </w:style>
  <w:style w:type="table" w:styleId="TableGrid">
    <w:name w:val="Table Grid"/>
    <w:basedOn w:val="TableNormal"/>
    <w:uiPriority w:val="39"/>
    <w:rsid w:val="00C23F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14045"/>
    <w:rPr>
      <w:b/>
      <w:bCs/>
    </w:rPr>
  </w:style>
  <w:style w:type="paragraph" w:styleId="NoSpacing">
    <w:name w:val="No Spacing"/>
    <w:link w:val="NoSpacingChar"/>
    <w:uiPriority w:val="1"/>
    <w:qFormat/>
    <w:rsid w:val="00A76DA9"/>
    <w:rPr>
      <w:rFonts w:eastAsiaTheme="minorEastAsia"/>
    </w:rPr>
  </w:style>
  <w:style w:type="character" w:customStyle="1" w:styleId="NoSpacingChar">
    <w:name w:val="No Spacing Char"/>
    <w:basedOn w:val="DefaultParagraphFont"/>
    <w:link w:val="NoSpacing"/>
    <w:uiPriority w:val="1"/>
    <w:rsid w:val="00A76DA9"/>
    <w:rPr>
      <w:rFonts w:eastAsiaTheme="minorEastAsia"/>
    </w:rPr>
  </w:style>
  <w:style w:type="paragraph" w:styleId="Header">
    <w:name w:val="header"/>
    <w:basedOn w:val="Normal"/>
    <w:link w:val="HeaderChar"/>
    <w:uiPriority w:val="99"/>
    <w:unhideWhenUsed/>
    <w:rsid w:val="00921517"/>
    <w:pPr>
      <w:tabs>
        <w:tab w:val="center" w:pos="4680"/>
        <w:tab w:val="right" w:pos="9360"/>
      </w:tabs>
    </w:pPr>
  </w:style>
  <w:style w:type="character" w:customStyle="1" w:styleId="HeaderChar">
    <w:name w:val="Header Char"/>
    <w:basedOn w:val="DefaultParagraphFont"/>
    <w:link w:val="Header"/>
    <w:uiPriority w:val="99"/>
    <w:rsid w:val="00921517"/>
  </w:style>
  <w:style w:type="paragraph" w:styleId="Footer">
    <w:name w:val="footer"/>
    <w:basedOn w:val="Normal"/>
    <w:link w:val="FooterChar"/>
    <w:uiPriority w:val="99"/>
    <w:unhideWhenUsed/>
    <w:rsid w:val="00921517"/>
    <w:pPr>
      <w:tabs>
        <w:tab w:val="center" w:pos="4680"/>
        <w:tab w:val="right" w:pos="9360"/>
      </w:tabs>
    </w:pPr>
  </w:style>
  <w:style w:type="character" w:customStyle="1" w:styleId="FooterChar">
    <w:name w:val="Footer Char"/>
    <w:basedOn w:val="DefaultParagraphFont"/>
    <w:link w:val="Footer"/>
    <w:uiPriority w:val="99"/>
    <w:rsid w:val="00921517"/>
  </w:style>
  <w:style w:type="paragraph" w:styleId="Caption">
    <w:name w:val="caption"/>
    <w:basedOn w:val="Normal"/>
    <w:next w:val="Normal"/>
    <w:uiPriority w:val="35"/>
    <w:unhideWhenUsed/>
    <w:qFormat/>
    <w:rsid w:val="005F226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C318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82D"/>
    <w:rPr>
      <w:rFonts w:ascii="Segoe UI" w:hAnsi="Segoe UI" w:cs="Segoe UI"/>
      <w:sz w:val="18"/>
      <w:szCs w:val="18"/>
    </w:rPr>
  </w:style>
  <w:style w:type="character" w:styleId="CommentReference">
    <w:name w:val="annotation reference"/>
    <w:basedOn w:val="DefaultParagraphFont"/>
    <w:uiPriority w:val="99"/>
    <w:semiHidden/>
    <w:unhideWhenUsed/>
    <w:rsid w:val="00C3182D"/>
    <w:rPr>
      <w:sz w:val="16"/>
      <w:szCs w:val="16"/>
    </w:rPr>
  </w:style>
  <w:style w:type="paragraph" w:styleId="CommentText">
    <w:name w:val="annotation text"/>
    <w:basedOn w:val="Normal"/>
    <w:link w:val="CommentTextChar"/>
    <w:uiPriority w:val="99"/>
    <w:semiHidden/>
    <w:unhideWhenUsed/>
    <w:rsid w:val="00C3182D"/>
    <w:rPr>
      <w:sz w:val="20"/>
      <w:szCs w:val="20"/>
    </w:rPr>
  </w:style>
  <w:style w:type="character" w:customStyle="1" w:styleId="CommentTextChar">
    <w:name w:val="Comment Text Char"/>
    <w:basedOn w:val="DefaultParagraphFont"/>
    <w:link w:val="CommentText"/>
    <w:uiPriority w:val="99"/>
    <w:semiHidden/>
    <w:rsid w:val="00C3182D"/>
    <w:rPr>
      <w:sz w:val="20"/>
      <w:szCs w:val="20"/>
    </w:rPr>
  </w:style>
  <w:style w:type="paragraph" w:styleId="CommentSubject">
    <w:name w:val="annotation subject"/>
    <w:basedOn w:val="CommentText"/>
    <w:next w:val="CommentText"/>
    <w:link w:val="CommentSubjectChar"/>
    <w:uiPriority w:val="99"/>
    <w:semiHidden/>
    <w:unhideWhenUsed/>
    <w:rsid w:val="00C3182D"/>
    <w:rPr>
      <w:b/>
      <w:bCs/>
    </w:rPr>
  </w:style>
  <w:style w:type="character" w:customStyle="1" w:styleId="CommentSubjectChar">
    <w:name w:val="Comment Subject Char"/>
    <w:basedOn w:val="CommentTextChar"/>
    <w:link w:val="CommentSubject"/>
    <w:uiPriority w:val="99"/>
    <w:semiHidden/>
    <w:rsid w:val="00C3182D"/>
    <w:rPr>
      <w:b/>
      <w:bCs/>
      <w:sz w:val="20"/>
      <w:szCs w:val="20"/>
    </w:rPr>
  </w:style>
  <w:style w:type="character" w:customStyle="1" w:styleId="Heading2Char">
    <w:name w:val="Heading 2 Char"/>
    <w:basedOn w:val="DefaultParagraphFont"/>
    <w:link w:val="Heading2"/>
    <w:uiPriority w:val="9"/>
    <w:semiHidden/>
    <w:rsid w:val="007555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54998">
      <w:bodyDiv w:val="1"/>
      <w:marLeft w:val="0"/>
      <w:marRight w:val="0"/>
      <w:marTop w:val="0"/>
      <w:marBottom w:val="0"/>
      <w:divBdr>
        <w:top w:val="none" w:sz="0" w:space="0" w:color="auto"/>
        <w:left w:val="none" w:sz="0" w:space="0" w:color="auto"/>
        <w:bottom w:val="none" w:sz="0" w:space="0" w:color="auto"/>
        <w:right w:val="none" w:sz="0" w:space="0" w:color="auto"/>
      </w:divBdr>
      <w:divsChild>
        <w:div w:id="632835336">
          <w:marLeft w:val="0"/>
          <w:marRight w:val="0"/>
          <w:marTop w:val="0"/>
          <w:marBottom w:val="0"/>
          <w:divBdr>
            <w:top w:val="none" w:sz="0" w:space="0" w:color="auto"/>
            <w:left w:val="none" w:sz="0" w:space="0" w:color="auto"/>
            <w:bottom w:val="none" w:sz="0" w:space="0" w:color="auto"/>
            <w:right w:val="none" w:sz="0" w:space="0" w:color="auto"/>
          </w:divBdr>
          <w:divsChild>
            <w:div w:id="1168908244">
              <w:marLeft w:val="0"/>
              <w:marRight w:val="0"/>
              <w:marTop w:val="0"/>
              <w:marBottom w:val="0"/>
              <w:divBdr>
                <w:top w:val="none" w:sz="0" w:space="0" w:color="auto"/>
                <w:left w:val="none" w:sz="0" w:space="0" w:color="auto"/>
                <w:bottom w:val="none" w:sz="0" w:space="0" w:color="auto"/>
                <w:right w:val="none" w:sz="0" w:space="0" w:color="auto"/>
              </w:divBdr>
              <w:divsChild>
                <w:div w:id="861553347">
                  <w:marLeft w:val="0"/>
                  <w:marRight w:val="0"/>
                  <w:marTop w:val="0"/>
                  <w:marBottom w:val="0"/>
                  <w:divBdr>
                    <w:top w:val="none" w:sz="0" w:space="0" w:color="auto"/>
                    <w:left w:val="none" w:sz="0" w:space="0" w:color="auto"/>
                    <w:bottom w:val="none" w:sz="0" w:space="0" w:color="auto"/>
                    <w:right w:val="none" w:sz="0" w:space="0" w:color="auto"/>
                  </w:divBdr>
                  <w:divsChild>
                    <w:div w:id="17956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89376">
          <w:marLeft w:val="0"/>
          <w:marRight w:val="0"/>
          <w:marTop w:val="0"/>
          <w:marBottom w:val="0"/>
          <w:divBdr>
            <w:top w:val="none" w:sz="0" w:space="0" w:color="auto"/>
            <w:left w:val="none" w:sz="0" w:space="0" w:color="auto"/>
            <w:bottom w:val="none" w:sz="0" w:space="0" w:color="auto"/>
            <w:right w:val="none" w:sz="0" w:space="0" w:color="auto"/>
          </w:divBdr>
          <w:divsChild>
            <w:div w:id="410203142">
              <w:marLeft w:val="0"/>
              <w:marRight w:val="0"/>
              <w:marTop w:val="0"/>
              <w:marBottom w:val="0"/>
              <w:divBdr>
                <w:top w:val="none" w:sz="0" w:space="0" w:color="auto"/>
                <w:left w:val="none" w:sz="0" w:space="0" w:color="auto"/>
                <w:bottom w:val="none" w:sz="0" w:space="0" w:color="auto"/>
                <w:right w:val="none" w:sz="0" w:space="0" w:color="auto"/>
              </w:divBdr>
              <w:divsChild>
                <w:div w:id="1883325479">
                  <w:marLeft w:val="0"/>
                  <w:marRight w:val="0"/>
                  <w:marTop w:val="0"/>
                  <w:marBottom w:val="0"/>
                  <w:divBdr>
                    <w:top w:val="none" w:sz="0" w:space="0" w:color="auto"/>
                    <w:left w:val="none" w:sz="0" w:space="0" w:color="auto"/>
                    <w:bottom w:val="none" w:sz="0" w:space="0" w:color="auto"/>
                    <w:right w:val="none" w:sz="0" w:space="0" w:color="auto"/>
                  </w:divBdr>
                  <w:divsChild>
                    <w:div w:id="14068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2591">
      <w:bodyDiv w:val="1"/>
      <w:marLeft w:val="0"/>
      <w:marRight w:val="0"/>
      <w:marTop w:val="0"/>
      <w:marBottom w:val="0"/>
      <w:divBdr>
        <w:top w:val="none" w:sz="0" w:space="0" w:color="auto"/>
        <w:left w:val="none" w:sz="0" w:space="0" w:color="auto"/>
        <w:bottom w:val="none" w:sz="0" w:space="0" w:color="auto"/>
        <w:right w:val="none" w:sz="0" w:space="0" w:color="auto"/>
      </w:divBdr>
      <w:divsChild>
        <w:div w:id="552540572">
          <w:marLeft w:val="0"/>
          <w:marRight w:val="0"/>
          <w:marTop w:val="0"/>
          <w:marBottom w:val="0"/>
          <w:divBdr>
            <w:top w:val="none" w:sz="0" w:space="0" w:color="auto"/>
            <w:left w:val="none" w:sz="0" w:space="0" w:color="auto"/>
            <w:bottom w:val="none" w:sz="0" w:space="0" w:color="auto"/>
            <w:right w:val="none" w:sz="0" w:space="0" w:color="auto"/>
          </w:divBdr>
          <w:divsChild>
            <w:div w:id="1279214507">
              <w:marLeft w:val="0"/>
              <w:marRight w:val="0"/>
              <w:marTop w:val="0"/>
              <w:marBottom w:val="0"/>
              <w:divBdr>
                <w:top w:val="none" w:sz="0" w:space="0" w:color="auto"/>
                <w:left w:val="none" w:sz="0" w:space="0" w:color="auto"/>
                <w:bottom w:val="none" w:sz="0" w:space="0" w:color="auto"/>
                <w:right w:val="none" w:sz="0" w:space="0" w:color="auto"/>
              </w:divBdr>
              <w:divsChild>
                <w:div w:id="1215195058">
                  <w:marLeft w:val="0"/>
                  <w:marRight w:val="0"/>
                  <w:marTop w:val="0"/>
                  <w:marBottom w:val="0"/>
                  <w:divBdr>
                    <w:top w:val="none" w:sz="0" w:space="0" w:color="auto"/>
                    <w:left w:val="none" w:sz="0" w:space="0" w:color="auto"/>
                    <w:bottom w:val="none" w:sz="0" w:space="0" w:color="auto"/>
                    <w:right w:val="none" w:sz="0" w:space="0" w:color="auto"/>
                  </w:divBdr>
                  <w:divsChild>
                    <w:div w:id="7531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3851">
          <w:marLeft w:val="0"/>
          <w:marRight w:val="0"/>
          <w:marTop w:val="0"/>
          <w:marBottom w:val="0"/>
          <w:divBdr>
            <w:top w:val="none" w:sz="0" w:space="0" w:color="auto"/>
            <w:left w:val="none" w:sz="0" w:space="0" w:color="auto"/>
            <w:bottom w:val="none" w:sz="0" w:space="0" w:color="auto"/>
            <w:right w:val="none" w:sz="0" w:space="0" w:color="auto"/>
          </w:divBdr>
          <w:divsChild>
            <w:div w:id="1542744534">
              <w:marLeft w:val="0"/>
              <w:marRight w:val="0"/>
              <w:marTop w:val="0"/>
              <w:marBottom w:val="0"/>
              <w:divBdr>
                <w:top w:val="none" w:sz="0" w:space="0" w:color="auto"/>
                <w:left w:val="none" w:sz="0" w:space="0" w:color="auto"/>
                <w:bottom w:val="none" w:sz="0" w:space="0" w:color="auto"/>
                <w:right w:val="none" w:sz="0" w:space="0" w:color="auto"/>
              </w:divBdr>
              <w:divsChild>
                <w:div w:id="748120961">
                  <w:marLeft w:val="0"/>
                  <w:marRight w:val="0"/>
                  <w:marTop w:val="0"/>
                  <w:marBottom w:val="0"/>
                  <w:divBdr>
                    <w:top w:val="none" w:sz="0" w:space="0" w:color="auto"/>
                    <w:left w:val="none" w:sz="0" w:space="0" w:color="auto"/>
                    <w:bottom w:val="none" w:sz="0" w:space="0" w:color="auto"/>
                    <w:right w:val="none" w:sz="0" w:space="0" w:color="auto"/>
                  </w:divBdr>
                  <w:divsChild>
                    <w:div w:id="19991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384320">
      <w:bodyDiv w:val="1"/>
      <w:marLeft w:val="0"/>
      <w:marRight w:val="0"/>
      <w:marTop w:val="0"/>
      <w:marBottom w:val="0"/>
      <w:divBdr>
        <w:top w:val="none" w:sz="0" w:space="0" w:color="auto"/>
        <w:left w:val="none" w:sz="0" w:space="0" w:color="auto"/>
        <w:bottom w:val="none" w:sz="0" w:space="0" w:color="auto"/>
        <w:right w:val="none" w:sz="0" w:space="0" w:color="auto"/>
      </w:divBdr>
    </w:div>
    <w:div w:id="1294093586">
      <w:bodyDiv w:val="1"/>
      <w:marLeft w:val="0"/>
      <w:marRight w:val="0"/>
      <w:marTop w:val="0"/>
      <w:marBottom w:val="0"/>
      <w:divBdr>
        <w:top w:val="none" w:sz="0" w:space="0" w:color="auto"/>
        <w:left w:val="none" w:sz="0" w:space="0" w:color="auto"/>
        <w:bottom w:val="none" w:sz="0" w:space="0" w:color="auto"/>
        <w:right w:val="none" w:sz="0" w:space="0" w:color="auto"/>
      </w:divBdr>
    </w:div>
    <w:div w:id="1546747538">
      <w:bodyDiv w:val="1"/>
      <w:marLeft w:val="0"/>
      <w:marRight w:val="0"/>
      <w:marTop w:val="0"/>
      <w:marBottom w:val="0"/>
      <w:divBdr>
        <w:top w:val="none" w:sz="0" w:space="0" w:color="auto"/>
        <w:left w:val="none" w:sz="0" w:space="0" w:color="auto"/>
        <w:bottom w:val="none" w:sz="0" w:space="0" w:color="auto"/>
        <w:right w:val="none" w:sz="0" w:space="0" w:color="auto"/>
      </w:divBdr>
    </w:div>
    <w:div w:id="2033458644">
      <w:bodyDiv w:val="1"/>
      <w:marLeft w:val="0"/>
      <w:marRight w:val="0"/>
      <w:marTop w:val="0"/>
      <w:marBottom w:val="0"/>
      <w:divBdr>
        <w:top w:val="none" w:sz="0" w:space="0" w:color="auto"/>
        <w:left w:val="none" w:sz="0" w:space="0" w:color="auto"/>
        <w:bottom w:val="none" w:sz="0" w:space="0" w:color="auto"/>
        <w:right w:val="none" w:sz="0" w:space="0" w:color="auto"/>
      </w:divBdr>
      <w:divsChild>
        <w:div w:id="1512987037">
          <w:marLeft w:val="0"/>
          <w:marRight w:val="0"/>
          <w:marTop w:val="0"/>
          <w:marBottom w:val="0"/>
          <w:divBdr>
            <w:top w:val="single" w:sz="6" w:space="0" w:color="D3D3D3"/>
            <w:left w:val="single" w:sz="6" w:space="0" w:color="D3D3D3"/>
            <w:bottom w:val="single" w:sz="6" w:space="0" w:color="D3D3D3"/>
            <w:right w:val="single" w:sz="6" w:space="0" w:color="D3D3D3"/>
          </w:divBdr>
          <w:divsChild>
            <w:div w:id="887644961">
              <w:marLeft w:val="0"/>
              <w:marRight w:val="150"/>
              <w:marTop w:val="150"/>
              <w:marBottom w:val="150"/>
              <w:divBdr>
                <w:top w:val="none" w:sz="0" w:space="0" w:color="auto"/>
                <w:left w:val="none" w:sz="0" w:space="0" w:color="auto"/>
                <w:bottom w:val="none" w:sz="0" w:space="0" w:color="auto"/>
                <w:right w:val="none" w:sz="0" w:space="0" w:color="auto"/>
              </w:divBdr>
              <w:divsChild>
                <w:div w:id="940331495">
                  <w:marLeft w:val="0"/>
                  <w:marRight w:val="0"/>
                  <w:marTop w:val="0"/>
                  <w:marBottom w:val="0"/>
                  <w:divBdr>
                    <w:top w:val="none" w:sz="0" w:space="0" w:color="auto"/>
                    <w:left w:val="none" w:sz="0" w:space="0" w:color="auto"/>
                    <w:bottom w:val="none" w:sz="0" w:space="0" w:color="auto"/>
                    <w:right w:val="none" w:sz="0" w:space="0" w:color="auto"/>
                  </w:divBdr>
                </w:div>
              </w:divsChild>
            </w:div>
            <w:div w:id="293758462">
              <w:marLeft w:val="0"/>
              <w:marRight w:val="0"/>
              <w:marTop w:val="0"/>
              <w:marBottom w:val="0"/>
              <w:divBdr>
                <w:top w:val="none" w:sz="0" w:space="0" w:color="auto"/>
                <w:left w:val="none" w:sz="0" w:space="0" w:color="auto"/>
                <w:bottom w:val="none" w:sz="0" w:space="0" w:color="auto"/>
                <w:right w:val="none" w:sz="0" w:space="0" w:color="auto"/>
              </w:divBdr>
            </w:div>
          </w:divsChild>
        </w:div>
        <w:div w:id="1597714555">
          <w:marLeft w:val="0"/>
          <w:marRight w:val="0"/>
          <w:marTop w:val="0"/>
          <w:marBottom w:val="0"/>
          <w:divBdr>
            <w:top w:val="none" w:sz="0" w:space="0" w:color="auto"/>
            <w:left w:val="none" w:sz="0" w:space="0" w:color="auto"/>
            <w:bottom w:val="none" w:sz="0" w:space="0" w:color="auto"/>
            <w:right w:val="none" w:sz="0" w:space="0" w:color="auto"/>
          </w:divBdr>
          <w:divsChild>
            <w:div w:id="662854875">
              <w:marLeft w:val="0"/>
              <w:marRight w:val="0"/>
              <w:marTop w:val="0"/>
              <w:marBottom w:val="0"/>
              <w:divBdr>
                <w:top w:val="none" w:sz="0" w:space="0" w:color="auto"/>
                <w:left w:val="none" w:sz="0" w:space="0" w:color="auto"/>
                <w:bottom w:val="none" w:sz="0" w:space="0" w:color="auto"/>
                <w:right w:val="none" w:sz="0" w:space="0" w:color="auto"/>
              </w:divBdr>
              <w:divsChild>
                <w:div w:id="987323606">
                  <w:marLeft w:val="0"/>
                  <w:marRight w:val="0"/>
                  <w:marTop w:val="0"/>
                  <w:marBottom w:val="0"/>
                  <w:divBdr>
                    <w:top w:val="none" w:sz="0" w:space="0" w:color="auto"/>
                    <w:left w:val="none" w:sz="0" w:space="0" w:color="auto"/>
                    <w:bottom w:val="none" w:sz="0" w:space="0" w:color="auto"/>
                    <w:right w:val="none" w:sz="0" w:space="0" w:color="auto"/>
                  </w:divBdr>
                  <w:divsChild>
                    <w:div w:id="218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51449">
          <w:marLeft w:val="0"/>
          <w:marRight w:val="0"/>
          <w:marTop w:val="0"/>
          <w:marBottom w:val="0"/>
          <w:divBdr>
            <w:top w:val="none" w:sz="0" w:space="0" w:color="auto"/>
            <w:left w:val="none" w:sz="0" w:space="0" w:color="auto"/>
            <w:bottom w:val="none" w:sz="0" w:space="0" w:color="auto"/>
            <w:right w:val="none" w:sz="0" w:space="0" w:color="auto"/>
          </w:divBdr>
          <w:divsChild>
            <w:div w:id="1508134304">
              <w:marLeft w:val="0"/>
              <w:marRight w:val="0"/>
              <w:marTop w:val="0"/>
              <w:marBottom w:val="0"/>
              <w:divBdr>
                <w:top w:val="none" w:sz="0" w:space="0" w:color="auto"/>
                <w:left w:val="none" w:sz="0" w:space="0" w:color="auto"/>
                <w:bottom w:val="none" w:sz="0" w:space="0" w:color="auto"/>
                <w:right w:val="none" w:sz="0" w:space="0" w:color="auto"/>
              </w:divBdr>
              <w:divsChild>
                <w:div w:id="18952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5707">
          <w:marLeft w:val="0"/>
          <w:marRight w:val="0"/>
          <w:marTop w:val="0"/>
          <w:marBottom w:val="0"/>
          <w:divBdr>
            <w:top w:val="none" w:sz="0" w:space="0" w:color="auto"/>
            <w:left w:val="none" w:sz="0" w:space="0" w:color="auto"/>
            <w:bottom w:val="none" w:sz="0" w:space="0" w:color="auto"/>
            <w:right w:val="none" w:sz="0" w:space="0" w:color="auto"/>
          </w:divBdr>
          <w:divsChild>
            <w:div w:id="1493569583">
              <w:marLeft w:val="0"/>
              <w:marRight w:val="0"/>
              <w:marTop w:val="0"/>
              <w:marBottom w:val="0"/>
              <w:divBdr>
                <w:top w:val="none" w:sz="0" w:space="0" w:color="auto"/>
                <w:left w:val="none" w:sz="0" w:space="0" w:color="auto"/>
                <w:bottom w:val="none" w:sz="0" w:space="0" w:color="auto"/>
                <w:right w:val="none" w:sz="0" w:space="0" w:color="auto"/>
              </w:divBdr>
              <w:divsChild>
                <w:div w:id="794837549">
                  <w:marLeft w:val="0"/>
                  <w:marRight w:val="0"/>
                  <w:marTop w:val="0"/>
                  <w:marBottom w:val="0"/>
                  <w:divBdr>
                    <w:top w:val="none" w:sz="0" w:space="0" w:color="auto"/>
                    <w:left w:val="none" w:sz="0" w:space="0" w:color="auto"/>
                    <w:bottom w:val="none" w:sz="0" w:space="0" w:color="auto"/>
                    <w:right w:val="none" w:sz="0" w:space="0" w:color="auto"/>
                  </w:divBdr>
                  <w:divsChild>
                    <w:div w:id="25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30213">
          <w:marLeft w:val="0"/>
          <w:marRight w:val="0"/>
          <w:marTop w:val="0"/>
          <w:marBottom w:val="0"/>
          <w:divBdr>
            <w:top w:val="none" w:sz="0" w:space="0" w:color="auto"/>
            <w:left w:val="none" w:sz="0" w:space="0" w:color="auto"/>
            <w:bottom w:val="none" w:sz="0" w:space="0" w:color="auto"/>
            <w:right w:val="none" w:sz="0" w:space="0" w:color="auto"/>
          </w:divBdr>
          <w:divsChild>
            <w:div w:id="837966459">
              <w:marLeft w:val="0"/>
              <w:marRight w:val="0"/>
              <w:marTop w:val="0"/>
              <w:marBottom w:val="0"/>
              <w:divBdr>
                <w:top w:val="none" w:sz="0" w:space="0" w:color="auto"/>
                <w:left w:val="none" w:sz="0" w:space="0" w:color="auto"/>
                <w:bottom w:val="none" w:sz="0" w:space="0" w:color="auto"/>
                <w:right w:val="none" w:sz="0" w:space="0" w:color="auto"/>
              </w:divBdr>
              <w:divsChild>
                <w:div w:id="11589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05FA7-34E0-4F2A-91E5-970F8881D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NSC5528</dc:creator>
  <cp:keywords/>
  <dc:description/>
  <cp:lastModifiedBy>BK</cp:lastModifiedBy>
  <cp:revision>2</cp:revision>
  <dcterms:created xsi:type="dcterms:W3CDTF">2024-11-14T07:12:00Z</dcterms:created>
  <dcterms:modified xsi:type="dcterms:W3CDTF">2024-11-14T07:12:00Z</dcterms:modified>
</cp:coreProperties>
</file>