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i w:val="0"/>
          <w:color w:val="1F3864"/>
          <w:sz w:val="34"/>
        </w:rPr>
        <w:t>Institute Technical Summer Projects (ITSP)</w:t>
      </w:r>
    </w:p>
    <w:p>
      <w:pPr>
        <w:spacing w:before="0" w:after="200"/>
        <w:jc w:val="center"/>
      </w:pPr>
      <w:r>
        <w:rPr>
          <w:rFonts w:ascii="Times New Roman" w:hAnsi="Times New Roman"/>
          <w:b w:val="0"/>
          <w:i w:val="0"/>
          <w:color w:val="595959"/>
          <w:sz w:val="25"/>
        </w:rPr>
        <w:t>Project Reference Documentation</w:t>
      </w:r>
    </w:p>
    <w:tbl>
      <w:tblPr>
        <w:tblW w:type="auto" w:w="0"/>
        <w:jc w:val="center"/>
        <w:tblLook w:firstColumn="1" w:firstRow="1" w:lastColumn="0" w:lastRow="0" w:noHBand="0" w:noVBand="1" w:val="04A0"/>
        <w:tblBorders>
          <w:top w:val="single" w:sz="4" w:color="8EA9DB"/>
          <w:bottom w:val="single" w:sz="4" w:color="8EA9DB"/>
          <w:left w:val="single" w:sz="4" w:color="8EA9DB"/>
          <w:right w:val="single" w:sz="4" w:color="8EA9DB"/>
          <w:insideH w:val="single" w:sz="4" w:color="8EA9DB"/>
          <w:insideV w:val="single" w:sz="4" w:color="8EA9DB"/>
        </w:tblBorders>
      </w:tblPr>
      <w:tblGrid>
        <w:gridCol w:w="4874"/>
        <w:gridCol w:w="4874"/>
      </w:tblGrid>
      <w:tr>
        <w:tc>
          <w:tcPr>
            <w:tcW w:type="dxa" w:w="2880"/>
            <w:shd w:fill="D9E1F2"/>
            <w:tcMar>
              <w:top w:w="80" w:type="dxa"/>
              <w:bottom w:w="80" w:type="dxa"/>
              <w:left w:w="110" w:type="dxa"/>
              <w:right w:w="110" w:type="dxa"/>
            </w:tcMar>
          </w:tcPr>
          <w:p>
            <w:pPr>
              <w:spacing w:before="0" w:after="0"/>
            </w:pPr>
            <w:r>
              <w:rPr>
                <w:rFonts w:ascii="Times New Roman" w:hAnsi="Times New Roman"/>
                <w:b/>
                <w:i w:val="0"/>
                <w:color w:val="1F3864"/>
                <w:sz w:val="20"/>
              </w:rPr>
              <w:t>Team Name</w:t>
            </w:r>
          </w:p>
        </w:tc>
        <w:tc>
          <w:tcPr>
            <w:tcW w:type="dxa" w:w="6869"/>
            <w:tcMar>
              <w:top w:w="80" w:type="dxa"/>
              <w:bottom w:w="80" w:type="dxa"/>
              <w:left w:w="110" w:type="dxa"/>
              <w:right w:w="110" w:type="dxa"/>
            </w:tcMar>
          </w:tcPr>
          <w:p>
            <w:pPr>
              <w:spacing w:before="0" w:after="0"/>
            </w:pPr>
          </w:p>
        </w:tc>
      </w:tr>
      <w:tr>
        <w:tc>
          <w:tcPr>
            <w:tcW w:type="dxa" w:w="2880"/>
            <w:shd w:fill="D9E1F2"/>
            <w:tcMar>
              <w:top w:w="80" w:type="dxa"/>
              <w:bottom w:w="80" w:type="dxa"/>
              <w:left w:w="110" w:type="dxa"/>
              <w:right w:w="110" w:type="dxa"/>
            </w:tcMar>
          </w:tcPr>
          <w:p>
            <w:pPr>
              <w:spacing w:before="0" w:after="0"/>
            </w:pPr>
            <w:r>
              <w:rPr>
                <w:rFonts w:ascii="Times New Roman" w:hAnsi="Times New Roman"/>
                <w:b/>
                <w:i w:val="0"/>
                <w:color w:val="1F3864"/>
                <w:sz w:val="20"/>
              </w:rPr>
              <w:t>Project Title</w:t>
            </w:r>
          </w:p>
        </w:tc>
        <w:tc>
          <w:tcPr>
            <w:tcW w:type="dxa" w:w="6869"/>
            <w:tcMar>
              <w:top w:w="80" w:type="dxa"/>
              <w:bottom w:w="80" w:type="dxa"/>
              <w:left w:w="110" w:type="dxa"/>
              <w:right w:w="110" w:type="dxa"/>
            </w:tcMar>
          </w:tcPr>
          <w:p>
            <w:pPr>
              <w:spacing w:before="0" w:after="0"/>
            </w:pPr>
          </w:p>
        </w:tc>
      </w:tr>
      <w:tr>
        <w:tc>
          <w:tcPr>
            <w:tcW w:type="dxa" w:w="2880"/>
            <w:shd w:fill="D9E1F2"/>
            <w:tcMar>
              <w:top w:w="80" w:type="dxa"/>
              <w:bottom w:w="80" w:type="dxa"/>
              <w:left w:w="110" w:type="dxa"/>
              <w:right w:w="110" w:type="dxa"/>
            </w:tcMar>
          </w:tcPr>
          <w:p>
            <w:pPr>
              <w:spacing w:before="0" w:after="0"/>
            </w:pPr>
            <w:r>
              <w:rPr>
                <w:rFonts w:ascii="Times New Roman" w:hAnsi="Times New Roman"/>
                <w:b/>
                <w:i w:val="0"/>
                <w:color w:val="1F3864"/>
                <w:sz w:val="20"/>
              </w:rPr>
              <w:t>Domain / Category</w:t>
            </w:r>
          </w:p>
        </w:tc>
        <w:tc>
          <w:tcPr>
            <w:tcW w:type="dxa" w:w="6869"/>
            <w:tcMar>
              <w:top w:w="80" w:type="dxa"/>
              <w:bottom w:w="80" w:type="dxa"/>
              <w:left w:w="110" w:type="dxa"/>
              <w:right w:w="110" w:type="dxa"/>
            </w:tcMar>
          </w:tcPr>
          <w:p>
            <w:pPr>
              <w:spacing w:before="0" w:after="0"/>
            </w:pPr>
            <w:r>
              <w:rPr>
                <w:rFonts w:ascii="Times New Roman" w:hAnsi="Times New Roman"/>
                <w:b w:val="0"/>
                <w:i/>
                <w:color w:val="595959"/>
                <w:sz w:val="20"/>
              </w:rPr>
              <w:t>Web Development, AI/ML, Productivity &amp; Mental Health Tools</w:t>
            </w:r>
          </w:p>
        </w:tc>
      </w:tr>
      <w:tr>
        <w:tc>
          <w:tcPr>
            <w:tcW w:type="dxa" w:w="2880"/>
            <w:shd w:fill="D9E1F2"/>
            <w:tcMar>
              <w:top w:w="80" w:type="dxa"/>
              <w:bottom w:w="80" w:type="dxa"/>
              <w:left w:w="110" w:type="dxa"/>
              <w:right w:w="110" w:type="dxa"/>
            </w:tcMar>
          </w:tcPr>
          <w:p>
            <w:pPr>
              <w:spacing w:before="0" w:after="0"/>
            </w:pPr>
            <w:r>
              <w:rPr>
                <w:rFonts w:ascii="Times New Roman" w:hAnsi="Times New Roman"/>
                <w:b/>
                <w:i w:val="0"/>
                <w:color w:val="1F3864"/>
                <w:sz w:val="20"/>
              </w:rPr>
              <w:t>Mentor(s)</w:t>
            </w:r>
          </w:p>
        </w:tc>
        <w:tc>
          <w:tcPr>
            <w:tcW w:type="dxa" w:w="6869"/>
            <w:tcMar>
              <w:top w:w="80" w:type="dxa"/>
              <w:bottom w:w="80" w:type="dxa"/>
              <w:left w:w="110" w:type="dxa"/>
              <w:right w:w="110" w:type="dxa"/>
            </w:tcMar>
          </w:tcPr>
          <w:p>
            <w:pPr>
              <w:spacing w:before="0" w:after="0"/>
            </w:pPr>
          </w:p>
        </w:tc>
      </w:tr>
    </w:tbl>
    <w:p>
      <w:pPr>
        <w:spacing w:before="80" w:after="0"/>
      </w:pPr>
    </w:p>
    <w:p>
      <w:pPr>
        <w:keepNext/>
        <w:spacing w:before="200" w:after="80"/>
        <w:pBdr>
          <w:bottom w:val="single" w:sz="8" w:space="4" w:color="1F3864"/>
        </w:pBdr>
      </w:pPr>
      <w:r>
        <w:rPr>
          <w:rFonts w:ascii="Times New Roman" w:hAnsi="Times New Roman"/>
          <w:b/>
          <w:i w:val="0"/>
          <w:color w:val="1F3864"/>
          <w:sz w:val="26"/>
        </w:rPr>
        <w:t>1. Team Members</w:t>
      </w:r>
    </w:p>
    <w:p>
      <w:pPr>
        <w:spacing w:before="0" w:after="160"/>
      </w:pPr>
      <w:r>
        <w:rPr>
          <w:rFonts w:ascii="Times New Roman" w:hAnsi="Times New Roman"/>
          <w:b w:val="0"/>
          <w:i/>
          <w:color w:val="595959"/>
          <w:sz w:val="19"/>
        </w:rPr>
        <w:t>List every team member with their official roll number (format: 25BXXXX).</w:t>
      </w:r>
    </w:p>
    <w:tbl>
      <w:tblPr>
        <w:tblW w:type="auto" w:w="0"/>
        <w:jc w:val="center"/>
        <w:tblLook w:firstColumn="1" w:firstRow="1" w:lastColumn="0" w:lastRow="0" w:noHBand="0" w:noVBand="1" w:val="04A0"/>
        <w:tblBorders>
          <w:top w:val="single" w:sz="4" w:color="8EA9DB"/>
          <w:bottom w:val="single" w:sz="4" w:color="8EA9DB"/>
          <w:left w:val="single" w:sz="4" w:color="8EA9DB"/>
          <w:right w:val="single" w:sz="4" w:color="8EA9DB"/>
          <w:insideH w:val="single" w:sz="4" w:color="8EA9DB"/>
          <w:insideV w:val="single" w:sz="4" w:color="8EA9DB"/>
        </w:tblBorders>
      </w:tblPr>
      <w:tblGrid>
        <w:gridCol w:w="2437"/>
        <w:gridCol w:w="2437"/>
        <w:gridCol w:w="2437"/>
        <w:gridCol w:w="2437"/>
      </w:tblGrid>
      <w:tr>
        <w:tc>
          <w:tcPr>
            <w:tcW w:type="dxa" w:w="936"/>
            <w:shd w:fill="1F3864"/>
            <w:tcMar>
              <w:top w:w="90" w:type="dxa"/>
              <w:bottom w:w="90" w:type="dxa"/>
              <w:left w:w="100" w:type="dxa"/>
              <w:right w:w="100" w:type="dxa"/>
            </w:tcMar>
          </w:tcPr>
          <w:p>
            <w:pPr>
              <w:spacing w:before="0" w:after="0"/>
            </w:pPr>
            <w:r>
              <w:rPr>
                <w:rFonts w:ascii="Times New Roman" w:hAnsi="Times New Roman"/>
                <w:b/>
                <w:i w:val="0"/>
                <w:color w:val="FFFFFF"/>
                <w:sz w:val="20"/>
              </w:rPr>
              <w:t>S.No.</w:t>
            </w:r>
          </w:p>
        </w:tc>
        <w:tc>
          <w:tcPr>
            <w:tcW w:type="dxa" w:w="3168"/>
            <w:shd w:fill="1F3864"/>
            <w:tcMar>
              <w:top w:w="90" w:type="dxa"/>
              <w:bottom w:w="90" w:type="dxa"/>
              <w:left w:w="100" w:type="dxa"/>
              <w:right w:w="100" w:type="dxa"/>
            </w:tcMar>
          </w:tcPr>
          <w:p>
            <w:pPr>
              <w:spacing w:before="0" w:after="0"/>
            </w:pPr>
            <w:r>
              <w:rPr>
                <w:rFonts w:ascii="Times New Roman" w:hAnsi="Times New Roman"/>
                <w:b/>
                <w:i w:val="0"/>
                <w:color w:val="FFFFFF"/>
                <w:sz w:val="20"/>
              </w:rPr>
              <w:t>Name</w:t>
            </w:r>
          </w:p>
        </w:tc>
        <w:tc>
          <w:tcPr>
            <w:tcW w:type="dxa" w:w="2304"/>
            <w:shd w:fill="1F3864"/>
            <w:tcMar>
              <w:top w:w="90" w:type="dxa"/>
              <w:bottom w:w="90" w:type="dxa"/>
              <w:left w:w="100" w:type="dxa"/>
              <w:right w:w="100" w:type="dxa"/>
            </w:tcMar>
          </w:tcPr>
          <w:p>
            <w:pPr>
              <w:spacing w:before="0" w:after="0"/>
            </w:pPr>
            <w:r>
              <w:rPr>
                <w:rFonts w:ascii="Times New Roman" w:hAnsi="Times New Roman"/>
                <w:b/>
                <w:i w:val="0"/>
                <w:color w:val="FFFFFF"/>
                <w:sz w:val="20"/>
              </w:rPr>
              <w:t>Roll Number</w:t>
            </w:r>
          </w:p>
        </w:tc>
        <w:tc>
          <w:tcPr>
            <w:tcW w:type="dxa" w:w="3341"/>
            <w:shd w:fill="1F3864"/>
            <w:tcMar>
              <w:top w:w="90" w:type="dxa"/>
              <w:bottom w:w="90" w:type="dxa"/>
              <w:left w:w="100" w:type="dxa"/>
              <w:right w:w="100" w:type="dxa"/>
            </w:tcMar>
          </w:tcPr>
          <w:p>
            <w:pPr>
              <w:spacing w:before="0" w:after="0"/>
            </w:pPr>
            <w:r>
              <w:rPr>
                <w:rFonts w:ascii="Times New Roman" w:hAnsi="Times New Roman"/>
                <w:b/>
                <w:i w:val="0"/>
                <w:color w:val="FFFFFF"/>
                <w:sz w:val="20"/>
              </w:rPr>
              <w:t>Role / Responsibility</w:t>
            </w:r>
          </w:p>
        </w:tc>
      </w:tr>
      <w:tr>
        <w:tc>
          <w:tcPr>
            <w:tcW w:type="dxa" w:w="936"/>
            <w:tcMar>
              <w:top w:w="70" w:type="dxa"/>
              <w:bottom w:w="70" w:type="dxa"/>
              <w:left w:w="100" w:type="dxa"/>
              <w:right w:w="100" w:type="dxa"/>
            </w:tcMar>
          </w:tcPr>
          <w:p>
            <w:pPr>
              <w:spacing w:before="0" w:after="0"/>
            </w:pPr>
            <w:r>
              <w:rPr>
                <w:rFonts w:ascii="Times New Roman" w:hAnsi="Times New Roman"/>
                <w:b w:val="0"/>
                <w:i w:val="0"/>
                <w:color w:val="212529"/>
                <w:sz w:val="20"/>
              </w:rPr>
              <w:t>1</w:t>
            </w:r>
          </w:p>
        </w:tc>
        <w:tc>
          <w:tcPr>
            <w:tcW w:type="dxa" w:w="3168"/>
            <w:tcMar>
              <w:top w:w="70" w:type="dxa"/>
              <w:bottom w:w="70" w:type="dxa"/>
              <w:left w:w="100" w:type="dxa"/>
              <w:right w:w="100" w:type="dxa"/>
            </w:tcMar>
          </w:tcPr>
          <w:p>
            <w:pPr>
              <w:spacing w:before="0" w:after="0"/>
            </w:pPr>
          </w:p>
        </w:tc>
        <w:tc>
          <w:tcPr>
            <w:tcW w:type="dxa" w:w="2304"/>
            <w:tcMar>
              <w:top w:w="70" w:type="dxa"/>
              <w:bottom w:w="70" w:type="dxa"/>
              <w:left w:w="100" w:type="dxa"/>
              <w:right w:w="100" w:type="dxa"/>
            </w:tcMar>
          </w:tcPr>
          <w:p>
            <w:pPr>
              <w:spacing w:before="0" w:after="0"/>
            </w:pPr>
            <w:r>
              <w:rPr>
                <w:rFonts w:ascii="Times New Roman" w:hAnsi="Times New Roman"/>
                <w:b w:val="0"/>
                <w:i w:val="0"/>
                <w:color w:val="595959"/>
                <w:sz w:val="20"/>
              </w:rPr>
              <w:t>25B_____</w:t>
            </w:r>
          </w:p>
        </w:tc>
        <w:tc>
          <w:tcPr>
            <w:tcW w:type="dxa" w:w="3341"/>
            <w:tcMar>
              <w:top w:w="70" w:type="dxa"/>
              <w:bottom w:w="70" w:type="dxa"/>
              <w:left w:w="100" w:type="dxa"/>
              <w:right w:w="100" w:type="dxa"/>
            </w:tcMar>
          </w:tcPr>
          <w:p>
            <w:pPr>
              <w:spacing w:before="0" w:after="0"/>
            </w:pPr>
          </w:p>
        </w:tc>
      </w:tr>
      <w:tr>
        <w:tc>
          <w:tcPr>
            <w:tcW w:type="dxa" w:w="936"/>
            <w:tcMar>
              <w:top w:w="70" w:type="dxa"/>
              <w:bottom w:w="70" w:type="dxa"/>
              <w:left w:w="100" w:type="dxa"/>
              <w:right w:w="100" w:type="dxa"/>
            </w:tcMar>
          </w:tcPr>
          <w:p>
            <w:pPr>
              <w:spacing w:before="0" w:after="0"/>
            </w:pPr>
            <w:r>
              <w:rPr>
                <w:rFonts w:ascii="Times New Roman" w:hAnsi="Times New Roman"/>
                <w:b w:val="0"/>
                <w:i w:val="0"/>
                <w:color w:val="212529"/>
                <w:sz w:val="20"/>
              </w:rPr>
              <w:t>2</w:t>
            </w:r>
          </w:p>
        </w:tc>
        <w:tc>
          <w:tcPr>
            <w:tcW w:type="dxa" w:w="3168"/>
            <w:tcMar>
              <w:top w:w="70" w:type="dxa"/>
              <w:bottom w:w="70" w:type="dxa"/>
              <w:left w:w="100" w:type="dxa"/>
              <w:right w:w="100" w:type="dxa"/>
            </w:tcMar>
          </w:tcPr>
          <w:p>
            <w:pPr>
              <w:spacing w:before="0" w:after="0"/>
            </w:pPr>
          </w:p>
        </w:tc>
        <w:tc>
          <w:tcPr>
            <w:tcW w:type="dxa" w:w="2304"/>
            <w:tcMar>
              <w:top w:w="70" w:type="dxa"/>
              <w:bottom w:w="70" w:type="dxa"/>
              <w:left w:w="100" w:type="dxa"/>
              <w:right w:w="100" w:type="dxa"/>
            </w:tcMar>
          </w:tcPr>
          <w:p>
            <w:pPr>
              <w:spacing w:before="0" w:after="0"/>
            </w:pPr>
            <w:r>
              <w:rPr>
                <w:rFonts w:ascii="Times New Roman" w:hAnsi="Times New Roman"/>
                <w:b w:val="0"/>
                <w:i w:val="0"/>
                <w:color w:val="595959"/>
                <w:sz w:val="20"/>
              </w:rPr>
              <w:t>25B_____</w:t>
            </w:r>
          </w:p>
        </w:tc>
        <w:tc>
          <w:tcPr>
            <w:tcW w:type="dxa" w:w="3341"/>
            <w:tcMar>
              <w:top w:w="70" w:type="dxa"/>
              <w:bottom w:w="70" w:type="dxa"/>
              <w:left w:w="100" w:type="dxa"/>
              <w:right w:w="100" w:type="dxa"/>
            </w:tcMar>
          </w:tcPr>
          <w:p>
            <w:pPr>
              <w:spacing w:before="0" w:after="0"/>
            </w:pPr>
          </w:p>
        </w:tc>
      </w:tr>
      <w:tr>
        <w:tc>
          <w:tcPr>
            <w:tcW w:type="dxa" w:w="936"/>
            <w:tcMar>
              <w:top w:w="70" w:type="dxa"/>
              <w:bottom w:w="70" w:type="dxa"/>
              <w:left w:w="100" w:type="dxa"/>
              <w:right w:w="100" w:type="dxa"/>
            </w:tcMar>
          </w:tcPr>
          <w:p>
            <w:pPr>
              <w:spacing w:before="0" w:after="0"/>
            </w:pPr>
            <w:r>
              <w:rPr>
                <w:rFonts w:ascii="Times New Roman" w:hAnsi="Times New Roman"/>
                <w:b w:val="0"/>
                <w:i w:val="0"/>
                <w:color w:val="212529"/>
                <w:sz w:val="20"/>
              </w:rPr>
              <w:t>3</w:t>
            </w:r>
          </w:p>
        </w:tc>
        <w:tc>
          <w:tcPr>
            <w:tcW w:type="dxa" w:w="3168"/>
            <w:tcMar>
              <w:top w:w="70" w:type="dxa"/>
              <w:bottom w:w="70" w:type="dxa"/>
              <w:left w:w="100" w:type="dxa"/>
              <w:right w:w="100" w:type="dxa"/>
            </w:tcMar>
          </w:tcPr>
          <w:p>
            <w:pPr>
              <w:spacing w:before="0" w:after="0"/>
            </w:pPr>
          </w:p>
        </w:tc>
        <w:tc>
          <w:tcPr>
            <w:tcW w:type="dxa" w:w="2304"/>
            <w:tcMar>
              <w:top w:w="70" w:type="dxa"/>
              <w:bottom w:w="70" w:type="dxa"/>
              <w:left w:w="100" w:type="dxa"/>
              <w:right w:w="100" w:type="dxa"/>
            </w:tcMar>
          </w:tcPr>
          <w:p>
            <w:pPr>
              <w:spacing w:before="0" w:after="0"/>
            </w:pPr>
            <w:r>
              <w:rPr>
                <w:rFonts w:ascii="Times New Roman" w:hAnsi="Times New Roman"/>
                <w:b w:val="0"/>
                <w:i w:val="0"/>
                <w:color w:val="595959"/>
                <w:sz w:val="20"/>
              </w:rPr>
              <w:t>25B_____</w:t>
            </w:r>
          </w:p>
        </w:tc>
        <w:tc>
          <w:tcPr>
            <w:tcW w:type="dxa" w:w="3341"/>
            <w:tcMar>
              <w:top w:w="70" w:type="dxa"/>
              <w:bottom w:w="70" w:type="dxa"/>
              <w:left w:w="100" w:type="dxa"/>
              <w:right w:w="100" w:type="dxa"/>
            </w:tcMar>
          </w:tcPr>
          <w:p>
            <w:pPr>
              <w:spacing w:before="0" w:after="0"/>
            </w:pPr>
          </w:p>
        </w:tc>
      </w:tr>
      <w:tr>
        <w:tc>
          <w:tcPr>
            <w:tcW w:type="dxa" w:w="936"/>
            <w:tcMar>
              <w:top w:w="70" w:type="dxa"/>
              <w:bottom w:w="70" w:type="dxa"/>
              <w:left w:w="100" w:type="dxa"/>
              <w:right w:w="100" w:type="dxa"/>
            </w:tcMar>
          </w:tcPr>
          <w:p>
            <w:pPr>
              <w:spacing w:before="0" w:after="0"/>
            </w:pPr>
            <w:r>
              <w:rPr>
                <w:rFonts w:ascii="Times New Roman" w:hAnsi="Times New Roman"/>
                <w:b w:val="0"/>
                <w:i w:val="0"/>
                <w:color w:val="212529"/>
                <w:sz w:val="20"/>
              </w:rPr>
              <w:t>4</w:t>
            </w:r>
          </w:p>
        </w:tc>
        <w:tc>
          <w:tcPr>
            <w:tcW w:type="dxa" w:w="3168"/>
            <w:tcMar>
              <w:top w:w="70" w:type="dxa"/>
              <w:bottom w:w="70" w:type="dxa"/>
              <w:left w:w="100" w:type="dxa"/>
              <w:right w:w="100" w:type="dxa"/>
            </w:tcMar>
          </w:tcPr>
          <w:p>
            <w:pPr>
              <w:spacing w:before="0" w:after="0"/>
            </w:pPr>
          </w:p>
        </w:tc>
        <w:tc>
          <w:tcPr>
            <w:tcW w:type="dxa" w:w="2304"/>
            <w:tcMar>
              <w:top w:w="70" w:type="dxa"/>
              <w:bottom w:w="70" w:type="dxa"/>
              <w:left w:w="100" w:type="dxa"/>
              <w:right w:w="100" w:type="dxa"/>
            </w:tcMar>
          </w:tcPr>
          <w:p>
            <w:pPr>
              <w:spacing w:before="0" w:after="0"/>
            </w:pPr>
            <w:r>
              <w:rPr>
                <w:rFonts w:ascii="Times New Roman" w:hAnsi="Times New Roman"/>
                <w:b w:val="0"/>
                <w:i w:val="0"/>
                <w:color w:val="595959"/>
                <w:sz w:val="20"/>
              </w:rPr>
              <w:t>25B_____</w:t>
            </w:r>
          </w:p>
        </w:tc>
        <w:tc>
          <w:tcPr>
            <w:tcW w:type="dxa" w:w="3341"/>
            <w:tcMar>
              <w:top w:w="70" w:type="dxa"/>
              <w:bottom w:w="70" w:type="dxa"/>
              <w:left w:w="100" w:type="dxa"/>
              <w:right w:w="100" w:type="dxa"/>
            </w:tcMar>
          </w:tcPr>
          <w:p>
            <w:pPr>
              <w:spacing w:before="0" w:after="0"/>
            </w:pPr>
          </w:p>
        </w:tc>
      </w:tr>
    </w:tbl>
    <w:p>
      <w:pPr>
        <w:keepNext/>
        <w:spacing w:before="200" w:after="80"/>
        <w:pBdr>
          <w:bottom w:val="single" w:sz="8" w:space="4" w:color="1F3864"/>
        </w:pBdr>
      </w:pPr>
      <w:r>
        <w:rPr>
          <w:rFonts w:ascii="Times New Roman" w:hAnsi="Times New Roman"/>
          <w:b/>
          <w:i w:val="0"/>
          <w:color w:val="1F3864"/>
          <w:sz w:val="26"/>
        </w:rPr>
        <w:t>2. Project Details</w:t>
      </w:r>
    </w:p>
    <w:p>
      <w:pPr>
        <w:keepNext/>
        <w:spacing w:before="200" w:after="60"/>
      </w:pPr>
      <w:r>
        <w:rPr>
          <w:rFonts w:ascii="Times New Roman" w:hAnsi="Times New Roman"/>
          <w:b/>
          <w:i w:val="0"/>
          <w:color w:val="1F3864"/>
          <w:sz w:val="22"/>
        </w:rPr>
        <w:t>2.1  Problem Statement</w:t>
      </w:r>
    </w:p>
    <w:p>
      <w:pPr>
        <w:spacing w:before="0" w:after="60" w:line="276" w:lineRule="auto"/>
      </w:pPr>
      <w:r>
        <w:rPr>
          <w:rFonts w:ascii="Times New Roman" w:hAnsi="Times New Roman"/>
          <w:b w:val="0"/>
          <w:i w:val="0"/>
          <w:color w:val="212529"/>
          <w:sz w:val="21"/>
        </w:rPr>
        <w:t>Students at IIT Bombay juggle rigorous academics, placements, extracurriculars, and personal well-being simultaneously. Several structural gaps make this harder than it needs to be:</w:t>
      </w:r>
    </w:p>
    <w:p>
      <w:pPr>
        <w:pStyle w:val="ListBullet"/>
        <w:spacing w:before="0" w:after="40" w:line="276" w:lineRule="auto"/>
      </w:pPr>
      <w:r>
        <w:rPr>
          <w:rFonts w:ascii="Times New Roman" w:hAnsi="Times New Roman"/>
          <w:b w:val="0"/>
          <w:i w:val="0"/>
          <w:color w:val="212529"/>
          <w:sz w:val="21"/>
        </w:rPr>
        <w:t>Academic timetables, lab slots, assignment deadlines, and announcements are scattered across institute webmail, course portals, and external apps - leading to clashes and missed deadlines.</w:t>
      </w:r>
    </w:p>
    <w:p>
      <w:pPr>
        <w:pStyle w:val="ListBullet"/>
        <w:spacing w:before="0" w:after="40" w:line="276" w:lineRule="auto"/>
      </w:pPr>
      <w:r>
        <w:rPr>
          <w:rFonts w:ascii="Times New Roman" w:hAnsi="Times New Roman"/>
          <w:b w:val="0"/>
          <w:i w:val="0"/>
          <w:color w:val="212529"/>
          <w:sz w:val="21"/>
        </w:rPr>
        <w:t>There is no automated way to convert email announcements into calendar entries without manual effort.</w:t>
      </w:r>
    </w:p>
    <w:p>
      <w:pPr>
        <w:pStyle w:val="ListBullet"/>
        <w:spacing w:before="0" w:after="40" w:line="276" w:lineRule="auto"/>
      </w:pPr>
      <w:r>
        <w:rPr>
          <w:rFonts w:ascii="Times New Roman" w:hAnsi="Times New Roman"/>
          <w:b w:val="0"/>
          <w:i w:val="0"/>
          <w:color w:val="212529"/>
          <w:sz w:val="21"/>
        </w:rPr>
        <w:t>Junior students lack a structured, searchable archive of senior academic and career experiences.</w:t>
      </w:r>
    </w:p>
    <w:p>
      <w:pPr>
        <w:pStyle w:val="ListBullet"/>
        <w:spacing w:before="0" w:after="40" w:line="276" w:lineRule="auto"/>
      </w:pPr>
      <w:r>
        <w:rPr>
          <w:rFonts w:ascii="Times New Roman" w:hAnsi="Times New Roman"/>
          <w:b w:val="0"/>
          <w:i w:val="0"/>
          <w:color w:val="212529"/>
          <w:sz w:val="21"/>
        </w:rPr>
        <w:t>Privacy concerns prevent students from openly asking sensitive course or placement questions on public forums.</w:t>
      </w:r>
    </w:p>
    <w:p>
      <w:pPr>
        <w:pStyle w:val="ListBullet"/>
        <w:spacing w:before="0" w:after="40" w:line="276" w:lineRule="auto"/>
      </w:pPr>
      <w:r>
        <w:rPr>
          <w:rFonts w:ascii="Times New Roman" w:hAnsi="Times New Roman"/>
          <w:b w:val="0"/>
          <w:i w:val="0"/>
          <w:color w:val="212529"/>
          <w:sz w:val="21"/>
        </w:rPr>
        <w:t>No existing tool scientifically tracks student workload against burnout risk indicators.</w:t>
      </w:r>
    </w:p>
    <w:p>
      <w:pPr>
        <w:spacing w:before="80" w:after="0"/>
      </w:pPr>
    </w:p>
    <w:p>
      <w:pPr>
        <w:keepNext/>
        <w:spacing w:before="200" w:after="60"/>
      </w:pPr>
      <w:r>
        <w:rPr>
          <w:rFonts w:ascii="Times New Roman" w:hAnsi="Times New Roman"/>
          <w:b/>
          <w:i w:val="0"/>
          <w:color w:val="1F3864"/>
          <w:sz w:val="22"/>
        </w:rPr>
        <w:t>2.2  Solution Proposed</w:t>
      </w:r>
    </w:p>
    <w:p>
      <w:pPr>
        <w:spacing w:before="0" w:after="80" w:line="276" w:lineRule="auto"/>
      </w:pPr>
      <w:r>
        <w:rPr>
          <w:rFonts w:ascii="Times New Roman" w:hAnsi="Times New Roman"/>
          <w:b w:val="0"/>
          <w:i w:val="0"/>
          <w:color w:val="212529"/>
          <w:sz w:val="21"/>
        </w:rPr>
        <w:t>The ISTP Student Productivity and Well-being Platform is a full-stack web application purpose-built for IIT Bombay students. It brings together six integrated modules into one unified interface:</w:t>
      </w:r>
    </w:p>
    <w:p>
      <w:pPr>
        <w:pStyle w:val="ListBullet"/>
        <w:spacing w:before="0" w:after="80" w:line="276" w:lineRule="auto"/>
      </w:pPr>
      <w:r>
        <w:rPr>
          <w:rFonts w:ascii="Times New Roman" w:hAnsi="Times New Roman"/>
          <w:b/>
          <w:i w:val="0"/>
          <w:color w:val="212529"/>
          <w:sz w:val="21"/>
        </w:rPr>
        <w:t xml:space="preserve">Smart Planner:  </w:t>
      </w:r>
      <w:r>
        <w:rPr>
          <w:rFonts w:ascii="Times New Roman" w:hAnsi="Times New Roman"/>
          <w:b w:val="0"/>
          <w:i w:val="0"/>
          <w:color w:val="212529"/>
          <w:sz w:val="21"/>
        </w:rPr>
        <w:t>Interactive 0-24 hour calendar across daily, weekly, and monthly views. Supports event location, course code tagging, deadlines, meeting links, importance flags, activity type classification (academic / working-hour / personal), and checklist notes.</w:t>
      </w:r>
    </w:p>
    <w:p>
      <w:pPr>
        <w:pStyle w:val="ListBullet"/>
        <w:spacing w:before="0" w:after="80" w:line="276" w:lineRule="auto"/>
      </w:pPr>
      <w:r>
        <w:rPr>
          <w:rFonts w:ascii="Times New Roman" w:hAnsi="Times New Roman"/>
          <w:b/>
          <w:i w:val="0"/>
          <w:color w:val="212529"/>
          <w:sz w:val="21"/>
        </w:rPr>
        <w:t xml:space="preserve">Webmail Ingestion Pipeline:  </w:t>
      </w:r>
      <w:r>
        <w:rPr>
          <w:rFonts w:ascii="Times New Roman" w:hAnsi="Times New Roman"/>
          <w:b w:val="0"/>
          <w:i w:val="0"/>
          <w:color w:val="212529"/>
          <w:sz w:val="21"/>
        </w:rPr>
        <w:t>Connects to institute email via IMAP with AES-256 encrypted token storage. Strips HTML noise, generates 2-3 sentence email digests, and extracts events (exams, deadlines, club activities) as structured JSON using the Gemini LLM. A SHA-256 deduplication engine prevents redundant API calls for mass broadcast emails, cutting compute costs by 80-90%.</w:t>
      </w:r>
    </w:p>
    <w:p>
      <w:pPr>
        <w:pStyle w:val="ListBullet"/>
        <w:spacing w:before="0" w:after="80" w:line="276" w:lineRule="auto"/>
      </w:pPr>
      <w:r>
        <w:rPr>
          <w:rFonts w:ascii="Times New Roman" w:hAnsi="Times New Roman"/>
          <w:b/>
          <w:i w:val="0"/>
          <w:color w:val="212529"/>
          <w:sz w:val="21"/>
        </w:rPr>
        <w:t xml:space="preserve">AI Academic Mentor:  </w:t>
      </w:r>
      <w:r>
        <w:rPr>
          <w:rFonts w:ascii="Times New Roman" w:hAnsi="Times New Roman"/>
          <w:b w:val="0"/>
          <w:i w:val="0"/>
          <w:color w:val="212529"/>
          <w:sz w:val="21"/>
        </w:rPr>
        <w:t>A Gemini-powered chat assistant with persistent multi-session context. Connected to the student's planner and resource database to generate personalised study schedules and goal summaries.</w:t>
      </w:r>
    </w:p>
    <w:p>
      <w:pPr>
        <w:pStyle w:val="ListBullet"/>
        <w:spacing w:before="0" w:after="80" w:line="276" w:lineRule="auto"/>
      </w:pPr>
      <w:r>
        <w:rPr>
          <w:rFonts w:ascii="Times New Roman" w:hAnsi="Times New Roman"/>
          <w:b/>
          <w:i w:val="0"/>
          <w:color w:val="212529"/>
          <w:sz w:val="21"/>
        </w:rPr>
        <w:t xml:space="preserve">Burnout Prediction System:  </w:t>
      </w:r>
      <w:r>
        <w:rPr>
          <w:rFonts w:ascii="Times New Roman" w:hAnsi="Times New Roman"/>
          <w:b w:val="0"/>
          <w:i w:val="0"/>
          <w:color w:val="212529"/>
          <w:sz w:val="21"/>
        </w:rPr>
        <w:t>A Gradient Boosting ML model (trained on 150,000 student profiles) evaluates six daily behavioral inputs - Study Hours, Sleep Duration, Social Support, Physical Activity, Screen Time, and CGPA - to classify burnout risk as Low, Medium, or High with tailored health recommendations.</w:t>
      </w:r>
    </w:p>
    <w:p>
      <w:pPr>
        <w:pStyle w:val="ListBullet"/>
        <w:spacing w:before="0" w:after="80" w:line="276" w:lineRule="auto"/>
      </w:pPr>
      <w:r>
        <w:rPr>
          <w:rFonts w:ascii="Times New Roman" w:hAnsi="Times New Roman"/>
          <w:b/>
          <w:i w:val="0"/>
          <w:color w:val="212529"/>
          <w:sz w:val="21"/>
        </w:rPr>
        <w:t xml:space="preserve">Resource Library:  </w:t>
      </w:r>
      <w:r>
        <w:rPr>
          <w:rFonts w:ascii="Times New Roman" w:hAnsi="Times New Roman"/>
          <w:b w:val="0"/>
          <w:i w:val="0"/>
          <w:color w:val="212529"/>
          <w:sz w:val="21"/>
        </w:rPr>
        <w:t>A community-driven repository with domain filters (Software Engineering, AI/ML, Data Science), keyword search, upvoting, bookmarking, private uploads, and a first-visit interactive onboarding tour built with React Joyride.</w:t>
      </w:r>
    </w:p>
    <w:p>
      <w:pPr>
        <w:pStyle w:val="ListBullet"/>
        <w:spacing w:before="0" w:after="80" w:line="276" w:lineRule="auto"/>
      </w:pPr>
      <w:r>
        <w:rPr>
          <w:rFonts w:ascii="Times New Roman" w:hAnsi="Times New Roman"/>
          <w:b/>
          <w:i w:val="0"/>
          <w:color w:val="212529"/>
          <w:sz w:val="21"/>
        </w:rPr>
        <w:t xml:space="preserve">Senior Journeys and Anonymous Q&amp;A Portal:  </w:t>
      </w:r>
      <w:r>
        <w:rPr>
          <w:rFonts w:ascii="Times New Roman" w:hAnsi="Times New Roman"/>
          <w:b w:val="0"/>
          <w:i w:val="0"/>
          <w:color w:val="212529"/>
          <w:sz w:val="21"/>
        </w:rPr>
        <w:t>A structured archive of senior student experiences (academics, placements, research) paired with a privacy-first, thread-based Q&amp;A portal for anonymous junior-senior interaction.</w:t>
      </w:r>
    </w:p>
    <w:p>
      <w:pPr>
        <w:spacing w:before="0" w:after="80" w:line="276" w:lineRule="auto"/>
      </w:pPr>
      <w:r>
        <w:rPr>
          <w:rFonts w:ascii="Times New Roman" w:hAnsi="Times New Roman"/>
          <w:b w:val="0"/>
          <w:i w:val="0"/>
          <w:color w:val="212529"/>
          <w:sz w:val="21"/>
        </w:rPr>
        <w:t>What sets this apart from generic tools: automated campus email parsing with SHA-256 deduplication, an NIH-research-backed ML burnout model, a context-aware AI mentor connected to live planner data, and safe anonymous mentorship channels built specifically for an IIT Bombay context.</w:t>
      </w:r>
    </w:p>
    <w:p>
      <w:pPr>
        <w:keepNext/>
        <w:spacing w:before="200" w:after="60"/>
      </w:pPr>
      <w:r>
        <w:rPr>
          <w:rFonts w:ascii="Times New Roman" w:hAnsi="Times New Roman"/>
          <w:b/>
          <w:i w:val="0"/>
          <w:color w:val="1F3864"/>
          <w:sz w:val="22"/>
        </w:rPr>
        <w:t>2.3  Work / Simulations Done Till Now</w:t>
      </w:r>
    </w:p>
    <w:p>
      <w:pPr>
        <w:spacing w:before="0" w:after="60" w:line="276" w:lineRule="auto"/>
      </w:pPr>
      <w:r>
        <w:rPr>
          <w:rFonts w:ascii="Times New Roman" w:hAnsi="Times New Roman"/>
          <w:b w:val="0"/>
          <w:i w:val="0"/>
          <w:color w:val="212529"/>
          <w:sz w:val="21"/>
        </w:rPr>
        <w:t>The following has been completed across research, architecture, simulation, and prototype testing:</w:t>
      </w:r>
    </w:p>
    <w:p>
      <w:pPr>
        <w:pStyle w:val="ListBullet"/>
        <w:spacing w:before="0" w:after="80" w:line="276" w:lineRule="auto"/>
      </w:pPr>
      <w:r>
        <w:rPr>
          <w:rFonts w:ascii="Times New Roman" w:hAnsi="Times New Roman"/>
          <w:b/>
          <w:i w:val="0"/>
          <w:color w:val="212529"/>
          <w:sz w:val="21"/>
        </w:rPr>
        <w:t xml:space="preserve">Literature review / design study completed:  </w:t>
      </w:r>
      <w:r>
        <w:rPr>
          <w:rFonts w:ascii="Times New Roman" w:hAnsi="Times New Roman"/>
          <w:b w:val="0"/>
          <w:i w:val="0"/>
          <w:color w:val="212529"/>
          <w:sz w:val="21"/>
        </w:rPr>
        <w:t>Conducted a user study among IITB undergraduates to map scheduling friction points, webmail overload, and information barriers in junior-senior guidance. Reviewed NIH research linking study hours to emotional exhaustion and sleep/social support to academic resilience.</w:t>
      </w:r>
    </w:p>
    <w:p>
      <w:pPr>
        <w:pStyle w:val="ListBullet"/>
        <w:spacing w:before="0" w:after="40" w:line="276" w:lineRule="auto"/>
      </w:pPr>
      <w:r>
        <w:rPr>
          <w:rFonts w:ascii="Times New Roman" w:hAnsi="Times New Roman"/>
          <w:b/>
          <w:i w:val="0"/>
          <w:color w:val="212529"/>
          <w:sz w:val="21"/>
        </w:rPr>
        <w:t xml:space="preserve">CAD models / simulations built (tool used, key parameters):  </w:t>
      </w:r>
      <w:r>
        <w:rPr>
          <w:rFonts w:ascii="Times New Roman" w:hAnsi="Times New Roman"/>
          <w:b w:val="0"/>
          <w:i w:val="0"/>
          <w:color w:val="212529"/>
          <w:sz w:val="21"/>
        </w:rPr>
        <w:t>Built a complete full-stack architecture using FastAPI, SQLAlchemy, and Supabase/SQLite for the backend REST API, and React + Vite + TypeScript for the frontend.</w:t>
      </w:r>
    </w:p>
    <w:p>
      <w:pPr>
        <w:pStyle w:val="ListBullet2"/>
        <w:spacing w:before="0" w:after="40" w:line="276" w:lineRule="auto"/>
      </w:pPr>
      <w:r>
        <w:rPr>
          <w:rFonts w:ascii="Times New Roman" w:hAnsi="Times New Roman"/>
          <w:b w:val="0"/>
          <w:i w:val="0"/>
          <w:color w:val="212529"/>
          <w:sz w:val="21"/>
        </w:rPr>
        <w:t>Trained a Gradient Boosting model (website_gradient_model.pkl) on 150,000 synthetic student profiles. Key parameters: Study Hours (0-16 hrs), Sleep Hours (0-12 hrs), Social Support Score (1-10), Physical Activity (0-5 hrs), Screen Time (0-16 hrs), CGPA (0-10).</w:t>
      </w:r>
    </w:p>
    <w:p>
      <w:pPr>
        <w:pStyle w:val="ListBullet2"/>
        <w:spacing w:before="0" w:after="80" w:line="276" w:lineRule="auto"/>
      </w:pPr>
      <w:r>
        <w:rPr>
          <w:rFonts w:ascii="Times New Roman" w:hAnsi="Times New Roman"/>
          <w:b w:val="0"/>
          <w:i w:val="0"/>
          <w:color w:val="212529"/>
          <w:sz w:val="21"/>
        </w:rPr>
        <w:t>Designed relational database schemas and Supabase pgvector embedding models for semantic relevance scoring of broadcast emails.</w:t>
      </w:r>
    </w:p>
    <w:p>
      <w:pPr>
        <w:pStyle w:val="ListBullet"/>
        <w:spacing w:before="0" w:after="40" w:line="276" w:lineRule="auto"/>
      </w:pPr>
      <w:r>
        <w:rPr>
          <w:rFonts w:ascii="Times New Roman" w:hAnsi="Times New Roman"/>
          <w:b/>
          <w:i w:val="0"/>
          <w:color w:val="212529"/>
          <w:sz w:val="21"/>
        </w:rPr>
        <w:t xml:space="preserve">Prototypes fabricated and tests conducted:  </w:t>
      </w:r>
      <w:r>
        <w:rPr>
          <w:rFonts w:ascii="Times New Roman" w:hAnsi="Times New Roman"/>
          <w:b w:val="0"/>
          <w:i w:val="0"/>
          <w:color w:val="212529"/>
          <w:sz w:val="21"/>
        </w:rPr>
        <w:t>Smart Planner: verified 0-24 hour grid across daily, weekly, and monthly views. Confirmed event location persistence, course code tagging (CS101), deadline tracking, meeting links, and checklist notes.</w:t>
      </w:r>
    </w:p>
    <w:p>
      <w:pPr>
        <w:pStyle w:val="ListBullet2"/>
        <w:spacing w:before="0" w:after="40" w:line="276" w:lineRule="auto"/>
      </w:pPr>
      <w:r>
        <w:rPr>
          <w:rFonts w:ascii="Times New Roman" w:hAnsi="Times New Roman"/>
          <w:b w:val="0"/>
          <w:i w:val="0"/>
          <w:color w:val="212529"/>
          <w:sz w:val="21"/>
        </w:rPr>
        <w:t>Webmail Pipeline: verified IMAP connection, AES-256 token encryption, HTML sanitization, and Gemini LLM JSON event extraction. SHA-256 deduplication engine tested across simulated mass emails - confirmed 80-90% reduction in duplicate API calls.</w:t>
      </w:r>
    </w:p>
    <w:p>
      <w:pPr>
        <w:pStyle w:val="ListBullet2"/>
        <w:spacing w:before="0" w:after="40" w:line="276" w:lineRule="auto"/>
      </w:pPr>
      <w:r>
        <w:rPr>
          <w:rFonts w:ascii="Times New Roman" w:hAnsi="Times New Roman"/>
          <w:b w:val="0"/>
          <w:i w:val="0"/>
          <w:color w:val="212529"/>
          <w:sz w:val="21"/>
        </w:rPr>
        <w:t>Resource Library: implemented domain filtering, upvoting, bookmarking, and React Joyride onboarding tour with localStorage state persistence.</w:t>
      </w:r>
    </w:p>
    <w:p>
      <w:pPr>
        <w:pStyle w:val="ListBullet2"/>
        <w:spacing w:before="0" w:after="80" w:line="276" w:lineRule="auto"/>
      </w:pPr>
      <w:r>
        <w:rPr>
          <w:rFonts w:ascii="Times New Roman" w:hAnsi="Times New Roman"/>
          <w:b w:val="0"/>
          <w:i w:val="0"/>
          <w:color w:val="212529"/>
          <w:sz w:val="21"/>
        </w:rPr>
        <w:t>AI Mentor and Anonymous Portal: tested persistent multi-session chat with Google GenAI SDK and verified thread-based anonymous post creation with privacy masking.</w:t>
      </w:r>
    </w:p>
    <w:p>
      <w:pPr>
        <w:pStyle w:val="ListBullet"/>
        <w:spacing w:before="0" w:after="40" w:line="276" w:lineRule="auto"/>
      </w:pPr>
      <w:r>
        <w:rPr>
          <w:rFonts w:ascii="Times New Roman" w:hAnsi="Times New Roman"/>
          <w:b/>
          <w:i w:val="0"/>
          <w:color w:val="212529"/>
          <w:sz w:val="21"/>
        </w:rPr>
        <w:t xml:space="preserve">Key results or design decisions arrived at:  </w:t>
      </w:r>
      <w:r>
        <w:rPr>
          <w:rFonts w:ascii="Times New Roman" w:hAnsi="Times New Roman"/>
          <w:b w:val="0"/>
          <w:i w:val="0"/>
          <w:color w:val="212529"/>
          <w:sz w:val="21"/>
        </w:rPr>
        <w:t>SHA-256 email deduplication eliminates redundant LLM calls for campus-wide broadcasts, reducing server overhead significantly.</w:t>
      </w:r>
    </w:p>
    <w:p>
      <w:pPr>
        <w:pStyle w:val="ListBullet2"/>
        <w:spacing w:before="0" w:after="40" w:line="276" w:lineRule="auto"/>
      </w:pPr>
      <w:r>
        <w:rPr>
          <w:rFonts w:ascii="Times New Roman" w:hAnsi="Times New Roman"/>
          <w:b w:val="0"/>
          <w:i w:val="0"/>
          <w:color w:val="212529"/>
          <w:sz w:val="21"/>
        </w:rPr>
        <w:t>Gradient Boosting model reliably classifies Low, Medium, and High burnout risk tiers across varied student behavioral profiles.</w:t>
      </w:r>
    </w:p>
    <w:p>
      <w:pPr>
        <w:pStyle w:val="ListBullet2"/>
        <w:spacing w:before="0" w:after="80" w:line="276" w:lineRule="auto"/>
      </w:pPr>
      <w:r>
        <w:rPr>
          <w:rFonts w:ascii="Times New Roman" w:hAnsi="Times New Roman"/>
          <w:b w:val="0"/>
          <w:i w:val="0"/>
          <w:color w:val="212529"/>
          <w:sz w:val="21"/>
        </w:rPr>
        <w:t>Settled on 1-click action cards ([Add to Calendar], [Set Reminder], [Ask AI Mentor]) as the primary interaction pattern to minimise manual friction.</w:t>
      </w:r>
    </w:p>
    <w:p>
      <w:pPr>
        <w:keepNext/>
        <w:spacing w:before="200" w:after="60"/>
      </w:pPr>
      <w:r>
        <w:rPr>
          <w:rFonts w:ascii="Times New Roman" w:hAnsi="Times New Roman"/>
          <w:b/>
          <w:i w:val="0"/>
          <w:color w:val="1F3864"/>
          <w:sz w:val="22"/>
        </w:rPr>
        <w:t>2.4  Timeline for Remaining Work</w:t>
      </w:r>
    </w:p>
    <w:p>
      <w:pPr>
        <w:spacing w:before="0" w:after="60" w:line="276" w:lineRule="auto"/>
      </w:pPr>
      <w:r>
        <w:rPr>
          <w:rFonts w:ascii="Times New Roman" w:hAnsi="Times New Roman"/>
          <w:b w:val="0"/>
          <w:i w:val="0"/>
          <w:color w:val="212529"/>
          <w:sz w:val="21"/>
        </w:rPr>
        <w:t>Four phases remain before final submission:</w:t>
      </w:r>
    </w:p>
    <w:p>
      <w:pPr>
        <w:pStyle w:val="ListBullet"/>
        <w:spacing w:before="0" w:after="80" w:line="276" w:lineRule="auto"/>
      </w:pPr>
      <w:r>
        <w:rPr>
          <w:rFonts w:ascii="Times New Roman" w:hAnsi="Times New Roman"/>
          <w:b/>
          <w:i w:val="0"/>
          <w:color w:val="212529"/>
          <w:sz w:val="21"/>
        </w:rPr>
        <w:t xml:space="preserve">Phase 1 - Focus-First UI/UX Overhaul:  </w:t>
      </w:r>
      <w:r>
        <w:rPr>
          <w:rFonts w:ascii="Times New Roman" w:hAnsi="Times New Roman"/>
          <w:b w:val="0"/>
          <w:i w:val="0"/>
          <w:color w:val="212529"/>
          <w:sz w:val="21"/>
        </w:rPr>
        <w:t>Redesign the interface into a student dashboard with three clear zones: Today's Priorities, Upcoming Deadlines, and Actionable Emails. Replace list views with interactive action cards ([Add to Calendar], [Set Reminder], [Ask AI Mentor]).</w:t>
      </w:r>
    </w:p>
    <w:p>
      <w:pPr>
        <w:pStyle w:val="ListBullet"/>
        <w:spacing w:before="0" w:after="80" w:line="276" w:lineRule="auto"/>
      </w:pPr>
      <w:r>
        <w:rPr>
          <w:rFonts w:ascii="Times New Roman" w:hAnsi="Times New Roman"/>
          <w:b/>
          <w:i w:val="0"/>
          <w:color w:val="212529"/>
          <w:sz w:val="21"/>
        </w:rPr>
        <w:t xml:space="preserve">Phase 2 - End-to-End Security and Vector Recommender:  </w:t>
      </w:r>
      <w:r>
        <w:rPr>
          <w:rFonts w:ascii="Times New Roman" w:hAnsi="Times New Roman"/>
          <w:b w:val="0"/>
          <w:i w:val="0"/>
          <w:color w:val="212529"/>
          <w:sz w:val="21"/>
        </w:rPr>
        <w:t>Enforce Supabase Row-Level Security (auth.uid() = user_id) on all tables and apply pgcrypto column-level encryption to sensitive fields. Build pgvector semantic embeddings to compute email Relevance Scores (High / Medium / Low) based on student major, year, and club memberships.</w:t>
      </w:r>
    </w:p>
    <w:p>
      <w:pPr>
        <w:pStyle w:val="ListBullet"/>
        <w:spacing w:before="0" w:after="80" w:line="276" w:lineRule="auto"/>
      </w:pPr>
      <w:r>
        <w:rPr>
          <w:rFonts w:ascii="Times New Roman" w:hAnsi="Times New Roman"/>
          <w:b/>
          <w:i w:val="0"/>
          <w:color w:val="212529"/>
          <w:sz w:val="21"/>
        </w:rPr>
        <w:t xml:space="preserve">Phase 3 - AI Study Breakdowns and Extended Features:  </w:t>
      </w:r>
      <w:r>
        <w:rPr>
          <w:rFonts w:ascii="Times New Roman" w:hAnsi="Times New Roman"/>
          <w:b w:val="0"/>
          <w:i w:val="0"/>
          <w:color w:val="212529"/>
          <w:sz w:val="21"/>
        </w:rPr>
        <w:t>Enable automated study plan generation for upcoming exams. Integrate Google Drive resource link attachments into planner tasks if time permits.</w:t>
      </w:r>
    </w:p>
    <w:p>
      <w:pPr>
        <w:pStyle w:val="ListBullet"/>
        <w:spacing w:before="0" w:after="80" w:line="276" w:lineRule="auto"/>
      </w:pPr>
      <w:r>
        <w:rPr>
          <w:rFonts w:ascii="Times New Roman" w:hAnsi="Times New Roman"/>
          <w:b/>
          <w:i w:val="0"/>
          <w:color w:val="212529"/>
          <w:sz w:val="21"/>
        </w:rPr>
        <w:t xml:space="preserve">Phase 4 - Supabase Cloud Deployment and Full Data Migration:  </w:t>
      </w:r>
      <w:r>
        <w:rPr>
          <w:rFonts w:ascii="Times New Roman" w:hAnsi="Times New Roman"/>
          <w:b w:val="0"/>
          <w:i w:val="0"/>
          <w:color w:val="212529"/>
          <w:sz w:val="21"/>
        </w:rPr>
        <w:t>Migrate the backend from local SQLite to Supabase (PostgreSQL). Tables to migrate include: user accounts and profiles, AI chatbot conversation history, parsed webmail summaries, planner calendar entries, burnout assessment logs, Senior Journeys posts, and Anonymous Q&amp;A threads. Frontend (React + Vite) to be deployed on Vercel. FastAPI backend to be containerised and deployed on Railway or Render. End-to-end acceptance testing on the live environment before final submission.</w:t>
      </w:r>
    </w:p>
    <w:p>
      <w:pPr>
        <w:keepNext/>
        <w:spacing w:before="200" w:after="60"/>
      </w:pPr>
      <w:r>
        <w:rPr>
          <w:rFonts w:ascii="Times New Roman" w:hAnsi="Times New Roman"/>
          <w:b/>
          <w:i w:val="0"/>
          <w:color w:val="1F3864"/>
          <w:sz w:val="22"/>
        </w:rPr>
        <w:t>2.5  Expected Outcome / Deliverable</w:t>
      </w:r>
    </w:p>
    <w:p>
      <w:pPr>
        <w:spacing w:before="0" w:after="60" w:line="276" w:lineRule="auto"/>
      </w:pPr>
      <w:r>
        <w:rPr>
          <w:rFonts w:ascii="Times New Roman" w:hAnsi="Times New Roman"/>
          <w:b w:val="0"/>
          <w:i w:val="0"/>
          <w:color w:val="212529"/>
          <w:sz w:val="21"/>
        </w:rPr>
        <w:t>The final deliverable is a fully cloud-deployed, production-ready web application for IIT Bombay students. All application data (user profiles, AI chatbot history, planner events, webmail summaries, burnout logs, anonymous posts, and resource bookmarks) will be stored in Supabase with Row-Level Security, pgcrypto encryption, and pgvector embeddings.</w:t>
      </w:r>
    </w:p>
    <w:p>
      <w:pPr>
        <w:spacing w:before="0" w:after="60" w:line="276" w:lineRule="auto"/>
      </w:pPr>
      <w:r>
        <w:rPr>
          <w:rFonts w:ascii="Times New Roman" w:hAnsi="Times New Roman"/>
          <w:b w:val="0"/>
          <w:i w:val="0"/>
          <w:color w:val="212529"/>
          <w:sz w:val="21"/>
        </w:rPr>
        <w:t>Core features demonstrated at submission:</w:t>
      </w:r>
    </w:p>
    <w:p>
      <w:pPr>
        <w:pStyle w:val="ListBullet"/>
        <w:spacing w:before="0" w:after="40" w:line="276" w:lineRule="auto"/>
      </w:pPr>
      <w:r>
        <w:rPr>
          <w:rFonts w:ascii="Times New Roman" w:hAnsi="Times New Roman"/>
          <w:b w:val="0"/>
          <w:i w:val="0"/>
          <w:color w:val="212529"/>
          <w:sz w:val="21"/>
        </w:rPr>
        <w:t>AI-powered Webmail Ingestion with SHA-256 deduplication and 1-click calendar population</w:t>
      </w:r>
    </w:p>
    <w:p>
      <w:pPr>
        <w:pStyle w:val="ListBullet"/>
        <w:spacing w:before="0" w:after="40" w:line="276" w:lineRule="auto"/>
      </w:pPr>
      <w:r>
        <w:rPr>
          <w:rFonts w:ascii="Times New Roman" w:hAnsi="Times New Roman"/>
          <w:b w:val="0"/>
          <w:i w:val="0"/>
          <w:color w:val="212529"/>
          <w:sz w:val="21"/>
        </w:rPr>
        <w:t>Interactive Smart Planner (daily, weekly, monthly views) with full event metadata support</w:t>
      </w:r>
    </w:p>
    <w:p>
      <w:pPr>
        <w:pStyle w:val="ListBullet"/>
        <w:spacing w:before="0" w:after="40" w:line="276" w:lineRule="auto"/>
      </w:pPr>
      <w:r>
        <w:rPr>
          <w:rFonts w:ascii="Times New Roman" w:hAnsi="Times New Roman"/>
          <w:b w:val="0"/>
          <w:i w:val="0"/>
          <w:color w:val="212529"/>
          <w:sz w:val="21"/>
        </w:rPr>
        <w:t>GenAI Academic Mentor with persistent multi-session chat history and study plan generation</w:t>
      </w:r>
    </w:p>
    <w:p>
      <w:pPr>
        <w:pStyle w:val="ListBullet"/>
        <w:spacing w:before="0" w:after="40" w:line="276" w:lineRule="auto"/>
      </w:pPr>
      <w:r>
        <w:rPr>
          <w:rFonts w:ascii="Times New Roman" w:hAnsi="Times New Roman"/>
          <w:b w:val="0"/>
          <w:i w:val="0"/>
          <w:color w:val="212529"/>
          <w:sz w:val="21"/>
        </w:rPr>
        <w:t>ML Burnout Prediction (Gradient Boosting, 6 behavioral inputs, Low/Medium/High classification)</w:t>
      </w:r>
    </w:p>
    <w:p>
      <w:pPr>
        <w:pStyle w:val="ListBullet"/>
        <w:spacing w:before="0" w:after="40" w:line="276" w:lineRule="auto"/>
      </w:pPr>
      <w:r>
        <w:rPr>
          <w:rFonts w:ascii="Times New Roman" w:hAnsi="Times New Roman"/>
          <w:b w:val="0"/>
          <w:i w:val="0"/>
          <w:color w:val="212529"/>
          <w:sz w:val="21"/>
        </w:rPr>
        <w:t>Domain-filtered Resource Library with React Joyride interactive onboarding tour</w:t>
      </w:r>
    </w:p>
    <w:p>
      <w:pPr>
        <w:pStyle w:val="ListBullet"/>
        <w:spacing w:before="0" w:after="40" w:line="276" w:lineRule="auto"/>
      </w:pPr>
      <w:r>
        <w:rPr>
          <w:rFonts w:ascii="Times New Roman" w:hAnsi="Times New Roman"/>
          <w:b w:val="0"/>
          <w:i w:val="0"/>
          <w:color w:val="212529"/>
          <w:sz w:val="21"/>
        </w:rPr>
        <w:t>Senior Journeys knowledge archive and Anonymous Q&amp;A Portal</w:t>
      </w:r>
    </w:p>
    <w:sectPr w:rsidR="00FC693F" w:rsidRPr="0006063C" w:rsidSect="00034616">
      <w:headerReference w:type="default" r:id="rId9"/>
      <w:footerReference w:type="default" r:id="rId10"/>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595959"/>
        <w:sz w:val="18"/>
      </w:rPr>
      <w:t xml:space="preserve">Page </w:t>
      <w:fldChar w:fldCharType="begin"/>
      <w:instrText xml:space="preserve"> PAGE </w:instrText>
      <w:fldChar w:fldCharType="separate"/>
      <w:fldChar w:fldCharType="end"/>
    </w:r>
    <w:r>
      <w:rPr>
        <w:rFonts w:ascii="Times New Roman" w:hAnsi="Times New Roman"/>
        <w:color w:val="595959"/>
        <w:sz w:val="18"/>
      </w:rPr>
      <w:t xml:space="preserve"> of </w:t>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Pr>
    <w:tblGrid>
      <w:gridCol w:w="4874"/>
      <w:gridCol w:w="4874"/>
    </w:tblGrid>
    <w:tr>
      <w:tc>
        <w:tcPr>
          <w:tcW w:type="dxa" w:w="4320"/>
        </w:tcPr>
        <w:p>
          <w:pPr>
            <w:spacing w:before="0" w:after="0"/>
          </w:pPr>
          <w:r>
            <w:drawing>
              <wp:inline xmlns:a="http://schemas.openxmlformats.org/drawingml/2006/main" xmlns:pic="http://schemas.openxmlformats.org/drawingml/2006/picture">
                <wp:extent cx="936472" cy="502920"/>
                <wp:docPr id="1" name="Picture 1"/>
                <wp:cNvGraphicFramePr>
                  <a:graphicFrameLocks noChangeAspect="1"/>
                </wp:cNvGraphicFramePr>
                <a:graphic>
                  <a:graphicData uri="http://schemas.openxmlformats.org/drawingml/2006/picture">
                    <pic:pic>
                      <pic:nvPicPr>
                        <pic:cNvPr id="0" name="logo_1.png"/>
                        <pic:cNvPicPr/>
                      </pic:nvPicPr>
                      <pic:blipFill>
                        <a:blip r:embed="rId1"/>
                        <a:stretch>
                          <a:fillRect/>
                        </a:stretch>
                      </pic:blipFill>
                      <pic:spPr>
                        <a:xfrm>
                          <a:off x="0" y="0"/>
                          <a:ext cx="936472" cy="502920"/>
                        </a:xfrm>
                        <a:prstGeom prst="rect"/>
                      </pic:spPr>
                    </pic:pic>
                  </a:graphicData>
                </a:graphic>
              </wp:inline>
            </w:drawing>
          </w:r>
        </w:p>
      </w:tc>
      <w:tc>
        <w:tcPr>
          <w:tcW w:type="dxa" w:w="5429"/>
        </w:tcPr>
        <w:p>
          <w:pPr>
            <w:spacing w:before="0" w:after="0"/>
            <w:jc w:val="right"/>
          </w:pPr>
          <w:r>
            <w:rPr>
              <w:rFonts w:ascii="Times New Roman" w:hAnsi="Times New Roman"/>
              <w:b/>
              <w:i w:val="0"/>
              <w:color w:val="1F3864"/>
              <w:sz w:val="22"/>
            </w:rPr>
            <w:t>Institute Technical Council</w:t>
            <w:br/>
          </w:r>
          <w:r>
            <w:rPr>
              <w:rFonts w:ascii="Times New Roman" w:hAnsi="Times New Roman"/>
              <w:b w:val="0"/>
              <w:i/>
              <w:color w:val="1F3864"/>
              <w:sz w:val="19"/>
            </w:rPr>
            <w:t>Institute Technical Summer Projects</w:t>
          </w:r>
        </w:p>
      </w:tc>
    </w:tr>
  </w:tbl>
  <w:p>
    <w:pPr>
      <w:spacing w:before="80" w:after="0"/>
      <w:pBdr>
        <w:bottom w:val="single" w:sz="6" w:space="4" w:color="1F3864"/>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21252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