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DC604" w14:textId="77777777" w:rsidR="00736100" w:rsidRDefault="00736100" w:rsidP="00736100">
      <w:r>
        <w:rPr>
          <w:noProof/>
        </w:rPr>
        <w:drawing>
          <wp:inline distT="0" distB="0" distL="0" distR="0" wp14:anchorId="4AAFFDE0" wp14:editId="5CAB44ED">
            <wp:extent cx="1051560" cy="879736"/>
            <wp:effectExtent l="0" t="0" r="0" b="0"/>
            <wp:docPr id="1" name="Picture 1" descr="C:\Users\aaligawe\AppData\Local\Microsoft\Windows\INetCache\Content.MSO\FDE7EE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ligawe\AppData\Local\Microsoft\Windows\INetCache\Content.MSO\FDE7EE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257" cy="8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498A" w14:textId="6A916882" w:rsidR="00756F6D" w:rsidRDefault="00226B01" w:rsidP="00756F6D">
      <w:pPr>
        <w:jc w:val="center"/>
        <w:rPr>
          <w:rFonts w:cstheme="minorHAnsi"/>
          <w:sz w:val="48"/>
          <w:szCs w:val="48"/>
        </w:rPr>
      </w:pPr>
      <w:r w:rsidRPr="0034618F">
        <w:rPr>
          <w:rFonts w:cstheme="minorHAnsi"/>
          <w:sz w:val="48"/>
          <w:szCs w:val="48"/>
        </w:rPr>
        <w:t xml:space="preserve">Software Development Kit: </w:t>
      </w:r>
      <w:r>
        <w:rPr>
          <w:rFonts w:cstheme="minorHAnsi"/>
          <w:sz w:val="48"/>
          <w:szCs w:val="48"/>
        </w:rPr>
        <w:t>Three-Dimensional Probability of Collision (Pc) Calculations</w:t>
      </w:r>
      <w:r w:rsidR="00756F6D" w:rsidRPr="00756F6D">
        <w:rPr>
          <w:rFonts w:cstheme="minorHAnsi"/>
          <w:sz w:val="48"/>
          <w:szCs w:val="48"/>
        </w:rPr>
        <w:t xml:space="preserve"> </w:t>
      </w:r>
    </w:p>
    <w:p w14:paraId="1CEC2BEB" w14:textId="77777777" w:rsidR="00756F6D" w:rsidRDefault="00756F6D" w:rsidP="00756F6D">
      <w:pPr>
        <w:jc w:val="center"/>
        <w:rPr>
          <w:rFonts w:cstheme="minorHAnsi"/>
          <w:sz w:val="48"/>
          <w:szCs w:val="48"/>
        </w:rPr>
      </w:pPr>
    </w:p>
    <w:p w14:paraId="2B5DA8B8" w14:textId="77777777" w:rsidR="00756F6D" w:rsidRPr="00756F6D" w:rsidRDefault="00756F6D" w:rsidP="00226B01">
      <w:pPr>
        <w:jc w:val="center"/>
        <w:rPr>
          <w:rFonts w:cstheme="minorHAnsi"/>
          <w:sz w:val="32"/>
          <w:szCs w:val="32"/>
        </w:rPr>
      </w:pPr>
      <w:r w:rsidRPr="00756F6D">
        <w:rPr>
          <w:rFonts w:cstheme="minorHAnsi"/>
          <w:sz w:val="32"/>
          <w:szCs w:val="32"/>
        </w:rPr>
        <w:t>CONJUNCTION ASSESSMENT AND RISK ANALYSIS (CARA)</w:t>
      </w:r>
      <w:r>
        <w:rPr>
          <w:rFonts w:cstheme="minorHAnsi"/>
          <w:sz w:val="32"/>
          <w:szCs w:val="32"/>
        </w:rPr>
        <w:t xml:space="preserve"> PROGRAM</w:t>
      </w:r>
    </w:p>
    <w:p w14:paraId="431E6639" w14:textId="77777777" w:rsidR="00736100" w:rsidRDefault="00736100" w:rsidP="00736100">
      <w:pPr>
        <w:jc w:val="center"/>
        <w:rPr>
          <w:rFonts w:cstheme="minorHAnsi"/>
          <w:sz w:val="40"/>
          <w:szCs w:val="40"/>
        </w:rPr>
      </w:pPr>
    </w:p>
    <w:p w14:paraId="093FF53F" w14:textId="3E287F8D" w:rsidR="00B93B96" w:rsidRPr="00226B01" w:rsidRDefault="007C72BB" w:rsidP="00226B01">
      <w:pPr>
        <w:jc w:val="center"/>
        <w:rPr>
          <w:rFonts w:cstheme="minorHAnsi"/>
          <w:sz w:val="40"/>
          <w:szCs w:val="40"/>
        </w:rPr>
      </w:pPr>
      <w:r w:rsidRPr="00736100">
        <w:rPr>
          <w:noProof/>
        </w:rPr>
        <w:drawing>
          <wp:anchor distT="0" distB="0" distL="114300" distR="114300" simplePos="0" relativeHeight="251658240" behindDoc="1" locked="0" layoutInCell="1" allowOverlap="1" wp14:anchorId="46A2C743" wp14:editId="6DC31FE4">
            <wp:simplePos x="3284220" y="4495800"/>
            <wp:positionH relativeFrom="margin">
              <wp:align>center</wp:align>
            </wp:positionH>
            <wp:positionV relativeFrom="margin">
              <wp:align>center</wp:align>
            </wp:positionV>
            <wp:extent cx="1666240" cy="1666240"/>
            <wp:effectExtent l="0" t="0" r="0" b="0"/>
            <wp:wrapSquare wrapText="bothSides"/>
            <wp:docPr id="8" name="Picture 7" descr="C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ARA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8E1D5" w14:textId="517C3784" w:rsidR="00226B01" w:rsidRDefault="00226B01" w:rsidP="00B93B96">
      <w:pPr>
        <w:spacing w:after="0"/>
        <w:rPr>
          <w:rFonts w:cstheme="minorHAnsi"/>
          <w:i/>
        </w:rPr>
      </w:pPr>
      <w:r w:rsidRPr="00B93B96">
        <w:rPr>
          <w:rFonts w:cstheme="minorHAnsi"/>
          <w:i/>
        </w:rPr>
        <w:t>Doyle Hall</w:t>
      </w:r>
    </w:p>
    <w:p w14:paraId="7BB41765" w14:textId="2231DD8A" w:rsidR="00B93B96" w:rsidRPr="00B93B96" w:rsidRDefault="00B93B96" w:rsidP="00B93B96">
      <w:pPr>
        <w:spacing w:after="0"/>
        <w:rPr>
          <w:rFonts w:cstheme="minorHAnsi"/>
          <w:i/>
        </w:rPr>
      </w:pPr>
      <w:proofErr w:type="spellStart"/>
      <w:r w:rsidRPr="00B93B96">
        <w:rPr>
          <w:rFonts w:cstheme="minorHAnsi"/>
          <w:i/>
        </w:rPr>
        <w:t>Omitron</w:t>
      </w:r>
      <w:proofErr w:type="spellEnd"/>
      <w:r w:rsidR="001F4FF6">
        <w:rPr>
          <w:rFonts w:cstheme="minorHAnsi"/>
          <w:i/>
        </w:rPr>
        <w:t>, Inc</w:t>
      </w:r>
    </w:p>
    <w:p w14:paraId="46F26E62" w14:textId="77777777" w:rsidR="00B93B96" w:rsidRPr="00B93B96" w:rsidRDefault="00B93B96" w:rsidP="00B93B96">
      <w:pPr>
        <w:spacing w:after="0"/>
        <w:rPr>
          <w:rFonts w:cstheme="minorHAnsi"/>
          <w:i/>
        </w:rPr>
      </w:pPr>
      <w:r w:rsidRPr="00B93B96">
        <w:rPr>
          <w:rFonts w:cstheme="minorHAnsi"/>
          <w:i/>
        </w:rPr>
        <w:t>Colorado Springs, CO</w:t>
      </w:r>
    </w:p>
    <w:p w14:paraId="5D8186A2" w14:textId="77777777" w:rsidR="00736100" w:rsidRDefault="00736100" w:rsidP="0073610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6100" w14:paraId="004EBF1B" w14:textId="77777777" w:rsidTr="00736100">
        <w:tc>
          <w:tcPr>
            <w:tcW w:w="9350" w:type="dxa"/>
            <w:vAlign w:val="center"/>
          </w:tcPr>
          <w:p w14:paraId="4D16D74F" w14:textId="77777777" w:rsidR="00736100" w:rsidRDefault="00736100" w:rsidP="00736100">
            <w:pPr>
              <w:jc w:val="center"/>
            </w:pPr>
          </w:p>
        </w:tc>
      </w:tr>
    </w:tbl>
    <w:p w14:paraId="68061445" w14:textId="77777777" w:rsidR="00736100" w:rsidRDefault="00736100" w:rsidP="00736100"/>
    <w:p w14:paraId="4C449460" w14:textId="77777777" w:rsidR="007C72BB" w:rsidRDefault="007C72BB" w:rsidP="00736100"/>
    <w:p w14:paraId="7DFD1205" w14:textId="77777777" w:rsidR="007C72BB" w:rsidRDefault="007C72BB" w:rsidP="00736100"/>
    <w:p w14:paraId="70A94047" w14:textId="77777777" w:rsidR="007C72BB" w:rsidRDefault="007C72BB" w:rsidP="00736100"/>
    <w:p w14:paraId="2813C461" w14:textId="77777777" w:rsidR="00B93B96" w:rsidRDefault="00B93B96" w:rsidP="007C72BB">
      <w:pPr>
        <w:spacing w:after="0"/>
      </w:pPr>
      <w:r>
        <w:t>National Aeronautics and</w:t>
      </w:r>
    </w:p>
    <w:p w14:paraId="196175F6" w14:textId="77777777" w:rsidR="00B93B96" w:rsidRDefault="00B93B96" w:rsidP="007C72BB">
      <w:pPr>
        <w:spacing w:after="0"/>
      </w:pPr>
      <w:r>
        <w:t>Space Administration</w:t>
      </w:r>
    </w:p>
    <w:p w14:paraId="4AF72519" w14:textId="77777777" w:rsidR="00B93B96" w:rsidRDefault="00B93B96" w:rsidP="007C72BB">
      <w:pPr>
        <w:spacing w:after="0"/>
      </w:pPr>
      <w:r>
        <w:t>Goddard Space Flight Center,</w:t>
      </w:r>
    </w:p>
    <w:p w14:paraId="06571BE8" w14:textId="77777777" w:rsidR="00B93B96" w:rsidRDefault="00B93B96" w:rsidP="007C72BB">
      <w:pPr>
        <w:spacing w:after="0"/>
      </w:pPr>
      <w:r>
        <w:t>Greenbelt, MD 20771</w:t>
      </w:r>
    </w:p>
    <w:p w14:paraId="56D6555E" w14:textId="77777777" w:rsidR="00B93B96" w:rsidRPr="00B93B96" w:rsidRDefault="00850A91" w:rsidP="00736100">
      <w:pPr>
        <w:rPr>
          <w:b/>
        </w:rPr>
      </w:pPr>
      <w:r>
        <w:rPr>
          <w:b/>
        </w:rPr>
        <w:pict w14:anchorId="5BD5EF4F">
          <v:rect id="_x0000_i1025" style="width:0;height:1.5pt" o:hralign="center" o:hrstd="t" o:hr="t" fillcolor="#a0a0a0" stroked="f"/>
        </w:pict>
      </w:r>
    </w:p>
    <w:p w14:paraId="1C70745B" w14:textId="5129B605" w:rsidR="00C20697" w:rsidRDefault="00226B01">
      <w:pPr>
        <w:rPr>
          <w:b/>
        </w:rPr>
      </w:pPr>
      <w:r>
        <w:rPr>
          <w:b/>
        </w:rPr>
        <w:t>January 2021</w:t>
      </w:r>
      <w:r w:rsidR="00C20697">
        <w:rPr>
          <w:b/>
        </w:rPr>
        <w:br w:type="page"/>
      </w:r>
    </w:p>
    <w:p w14:paraId="1204CE14" w14:textId="77777777" w:rsidR="00CC1A81" w:rsidRPr="00B76CCD" w:rsidRDefault="00CC1A81" w:rsidP="00CC1A81">
      <w:pPr>
        <w:jc w:val="center"/>
        <w:rPr>
          <w:rFonts w:ascii="Arial" w:hAnsi="Arial" w:cs="Arial"/>
          <w:b/>
          <w:sz w:val="36"/>
          <w:szCs w:val="36"/>
          <w:u w:val="single"/>
          <w:lang w:eastAsia="ja-JP"/>
        </w:rPr>
      </w:pPr>
      <w:r w:rsidRPr="00B76CCD">
        <w:rPr>
          <w:rFonts w:ascii="Arial" w:hAnsi="Arial" w:cs="Arial"/>
          <w:b/>
          <w:sz w:val="36"/>
          <w:szCs w:val="36"/>
          <w:u w:val="single"/>
          <w:lang w:eastAsia="ja-JP"/>
        </w:rPr>
        <w:lastRenderedPageBreak/>
        <w:t>Preface</w:t>
      </w:r>
    </w:p>
    <w:p w14:paraId="1A66DE73" w14:textId="223F6B78" w:rsidR="00CC1A81" w:rsidRPr="00B76CCD" w:rsidRDefault="00CC1A81" w:rsidP="00CC1A81">
      <w:pPr>
        <w:pStyle w:val="Paragraph"/>
        <w:rPr>
          <w:rFonts w:cs="Arial"/>
        </w:rPr>
      </w:pPr>
      <w:r w:rsidRPr="00B76CCD">
        <w:rPr>
          <w:rFonts w:cs="Arial"/>
        </w:rPr>
        <w:t>This document outlines</w:t>
      </w:r>
      <w:r w:rsidR="00226B01">
        <w:rPr>
          <w:rFonts w:cs="Arial"/>
        </w:rPr>
        <w:t xml:space="preserve"> the 3</w:t>
      </w:r>
      <w:r>
        <w:rPr>
          <w:rFonts w:cs="Arial"/>
        </w:rPr>
        <w:t>D Probability of Collision Calculation submitted as part of the Software Development Kit (SDK). The SDK is intended to provide both industry and government customers with a code base with which to perform standard calculations inherent to the Collision Avoidance (CA) problem and as outlined in the CA Standard.</w:t>
      </w:r>
    </w:p>
    <w:p w14:paraId="7770B17F" w14:textId="77777777" w:rsidR="00CC1A81" w:rsidRPr="00B76CCD" w:rsidRDefault="00CC1A81" w:rsidP="00CC1A81">
      <w:pPr>
        <w:rPr>
          <w:rFonts w:ascii="Arial" w:hAnsi="Arial" w:cs="Arial"/>
          <w:lang w:eastAsia="ja-JP"/>
        </w:rPr>
      </w:pPr>
    </w:p>
    <w:p w14:paraId="39565F88" w14:textId="77777777" w:rsidR="00CC1A81" w:rsidRPr="009542E8" w:rsidRDefault="00CC1A81" w:rsidP="00CC1A81">
      <w:pPr>
        <w:rPr>
          <w:rFonts w:ascii="Arial" w:eastAsia="Times New Roman" w:hAnsi="Arial" w:cs="Arial"/>
          <w:color w:val="365F91"/>
          <w:sz w:val="32"/>
          <w:szCs w:val="32"/>
        </w:rPr>
      </w:pPr>
      <w:r w:rsidRPr="00B76CCD">
        <w:rPr>
          <w:rFonts w:ascii="Arial" w:hAnsi="Arial" w:cs="Arial"/>
        </w:rPr>
        <w:br w:type="page"/>
      </w:r>
    </w:p>
    <w:p w14:paraId="419BAAC4" w14:textId="77777777" w:rsidR="00CC1A81" w:rsidRPr="00B76CCD" w:rsidRDefault="00CC1A81" w:rsidP="00CC1A81">
      <w:pPr>
        <w:pStyle w:val="Heading1"/>
        <w:numPr>
          <w:ilvl w:val="0"/>
          <w:numId w:val="0"/>
        </w:numPr>
      </w:pPr>
      <w:bookmarkStart w:id="0" w:name="_Toc425926667"/>
      <w:bookmarkStart w:id="1" w:name="_Toc26336462"/>
      <w:bookmarkStart w:id="2" w:name="_Toc62207125"/>
      <w:bookmarkStart w:id="3" w:name="_Toc412167130"/>
      <w:bookmarkStart w:id="4" w:name="_Toc412161101"/>
      <w:r w:rsidRPr="00B76CCD">
        <w:lastRenderedPageBreak/>
        <w:t>Table of Contents</w:t>
      </w:r>
      <w:bookmarkEnd w:id="0"/>
      <w:bookmarkEnd w:id="1"/>
      <w:bookmarkEnd w:id="2"/>
    </w:p>
    <w:p w14:paraId="6B525520" w14:textId="056E3F9E" w:rsidR="003C01CA" w:rsidRDefault="00CC1A81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 w:rsidRPr="00B76CCD">
        <w:rPr>
          <w:rFonts w:cs="Arial"/>
        </w:rPr>
        <w:fldChar w:fldCharType="begin"/>
      </w:r>
      <w:r w:rsidRPr="00B76CCD">
        <w:rPr>
          <w:rFonts w:cs="Arial"/>
        </w:rPr>
        <w:instrText xml:space="preserve"> TOC \o "1-2" \h \z \u </w:instrText>
      </w:r>
      <w:r w:rsidRPr="00B76CCD">
        <w:rPr>
          <w:rFonts w:cs="Arial"/>
        </w:rPr>
        <w:fldChar w:fldCharType="separate"/>
      </w:r>
      <w:hyperlink w:anchor="_Toc62207125" w:history="1"/>
    </w:p>
    <w:p w14:paraId="5098AB2E" w14:textId="471BBD7D" w:rsidR="003C01CA" w:rsidRDefault="00850A91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26" w:history="1">
        <w:r w:rsidR="003C01CA" w:rsidRPr="00521082">
          <w:rPr>
            <w:rStyle w:val="Hyperlink"/>
            <w:noProof/>
          </w:rPr>
          <w:t>1.0</w:t>
        </w:r>
        <w:r w:rsidR="003C01CA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C01CA" w:rsidRPr="00521082">
          <w:rPr>
            <w:rStyle w:val="Hyperlink"/>
            <w:noProof/>
          </w:rPr>
          <w:t>Introduction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_Toc62207126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4</w:t>
        </w:r>
        <w:r w:rsidR="003C01CA">
          <w:rPr>
            <w:noProof/>
            <w:webHidden/>
          </w:rPr>
          <w:fldChar w:fldCharType="end"/>
        </w:r>
      </w:hyperlink>
    </w:p>
    <w:p w14:paraId="0BEBD59C" w14:textId="67F7843D" w:rsidR="003C01CA" w:rsidRDefault="00850A91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27" w:history="1">
        <w:r w:rsidR="003C01CA" w:rsidRPr="00521082">
          <w:rPr>
            <w:rStyle w:val="Hyperlink"/>
            <w:noProof/>
          </w:rPr>
          <w:t>1.1</w:t>
        </w:r>
        <w:r w:rsidR="003C01CA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C01CA" w:rsidRPr="00521082">
          <w:rPr>
            <w:rStyle w:val="Hyperlink"/>
            <w:noProof/>
          </w:rPr>
          <w:t>Required Software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_Toc62207127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4</w:t>
        </w:r>
        <w:r w:rsidR="003C01CA">
          <w:rPr>
            <w:noProof/>
            <w:webHidden/>
          </w:rPr>
          <w:fldChar w:fldCharType="end"/>
        </w:r>
      </w:hyperlink>
    </w:p>
    <w:p w14:paraId="716E899A" w14:textId="6B3127B8" w:rsidR="003C01CA" w:rsidRDefault="00850A91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28" w:history="1">
        <w:r w:rsidR="003C01CA" w:rsidRPr="00521082">
          <w:rPr>
            <w:rStyle w:val="Hyperlink"/>
            <w:noProof/>
          </w:rPr>
          <w:t>2.0</w:t>
        </w:r>
        <w:r w:rsidR="003C01CA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C01CA" w:rsidRPr="00521082">
          <w:rPr>
            <w:rStyle w:val="Hyperlink"/>
            <w:noProof/>
          </w:rPr>
          <w:t>Risk Assessment Algorithm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_Toc62207128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5</w:t>
        </w:r>
        <w:r w:rsidR="003C01CA">
          <w:rPr>
            <w:noProof/>
            <w:webHidden/>
          </w:rPr>
          <w:fldChar w:fldCharType="end"/>
        </w:r>
      </w:hyperlink>
    </w:p>
    <w:p w14:paraId="38A1C12C" w14:textId="57F14AE2" w:rsidR="003C01CA" w:rsidRDefault="00850A91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29" w:history="1">
        <w:r w:rsidR="003C01CA" w:rsidRPr="00521082">
          <w:rPr>
            <w:rStyle w:val="Hyperlink"/>
            <w:noProof/>
          </w:rPr>
          <w:t>2.1</w:t>
        </w:r>
        <w:r w:rsidR="003C01CA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C01CA" w:rsidRPr="00521082">
          <w:rPr>
            <w:rStyle w:val="Hyperlink"/>
            <w:noProof/>
          </w:rPr>
          <w:t>3D Probability of Collision Calculation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_Toc62207129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5</w:t>
        </w:r>
        <w:r w:rsidR="003C01CA">
          <w:rPr>
            <w:noProof/>
            <w:webHidden/>
          </w:rPr>
          <w:fldChar w:fldCharType="end"/>
        </w:r>
      </w:hyperlink>
    </w:p>
    <w:p w14:paraId="307C81F0" w14:textId="3A3C254C" w:rsidR="003C01CA" w:rsidRDefault="00850A91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30" w:history="1">
        <w:r w:rsidR="003C01CA" w:rsidRPr="00521082">
          <w:rPr>
            <w:rStyle w:val="Hyperlink"/>
            <w:noProof/>
          </w:rPr>
          <w:t>3.0</w:t>
        </w:r>
        <w:r w:rsidR="003C01CA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C01CA" w:rsidRPr="00521082">
          <w:rPr>
            <w:rStyle w:val="Hyperlink"/>
            <w:noProof/>
          </w:rPr>
          <w:t>Acronyms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_Toc62207130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8</w:t>
        </w:r>
        <w:r w:rsidR="003C01CA">
          <w:rPr>
            <w:noProof/>
            <w:webHidden/>
          </w:rPr>
          <w:fldChar w:fldCharType="end"/>
        </w:r>
      </w:hyperlink>
    </w:p>
    <w:p w14:paraId="33919C92" w14:textId="710EE1EE" w:rsidR="003C01CA" w:rsidRDefault="00850A91">
      <w:pPr>
        <w:pStyle w:val="TOC1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31" w:history="1">
        <w:r w:rsidR="003C01CA" w:rsidRPr="00521082">
          <w:rPr>
            <w:rStyle w:val="Hyperlink"/>
            <w:noProof/>
          </w:rPr>
          <w:t>4.0</w:t>
        </w:r>
        <w:r w:rsidR="003C01CA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</w:rPr>
          <w:tab/>
        </w:r>
        <w:r w:rsidR="003C01CA" w:rsidRPr="00521082">
          <w:rPr>
            <w:rStyle w:val="Hyperlink"/>
            <w:noProof/>
          </w:rPr>
          <w:t>References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_Toc62207131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9</w:t>
        </w:r>
        <w:r w:rsidR="003C01CA">
          <w:rPr>
            <w:noProof/>
            <w:webHidden/>
          </w:rPr>
          <w:fldChar w:fldCharType="end"/>
        </w:r>
      </w:hyperlink>
    </w:p>
    <w:p w14:paraId="11757AAF" w14:textId="780ED019" w:rsidR="00CC1A81" w:rsidRPr="00B76CCD" w:rsidRDefault="00CC1A81" w:rsidP="00CC1A81">
      <w:pPr>
        <w:tabs>
          <w:tab w:val="right" w:leader="dot" w:pos="10800"/>
        </w:tabs>
        <w:spacing w:before="60" w:after="0" w:line="288" w:lineRule="auto"/>
        <w:rPr>
          <w:rFonts w:ascii="Arial" w:hAnsi="Arial" w:cs="Arial"/>
        </w:rPr>
      </w:pPr>
      <w:r w:rsidRPr="00B76CCD">
        <w:rPr>
          <w:rFonts w:ascii="Arial" w:hAnsi="Arial" w:cs="Arial"/>
        </w:rPr>
        <w:fldChar w:fldCharType="end"/>
      </w:r>
    </w:p>
    <w:p w14:paraId="62F04112" w14:textId="77777777" w:rsidR="00CC1A81" w:rsidRPr="009D7F1C" w:rsidRDefault="00CC1A81" w:rsidP="00CC1A81">
      <w:pPr>
        <w:rPr>
          <w:rFonts w:ascii="Arial" w:hAnsi="Arial" w:cs="Arial"/>
          <w:sz w:val="32"/>
          <w:szCs w:val="32"/>
        </w:rPr>
      </w:pPr>
      <w:r w:rsidRPr="009D7F1C">
        <w:rPr>
          <w:rFonts w:ascii="Arial" w:hAnsi="Arial" w:cs="Arial"/>
          <w:b/>
          <w:sz w:val="32"/>
          <w:szCs w:val="32"/>
        </w:rPr>
        <w:t>List of Tables</w:t>
      </w:r>
    </w:p>
    <w:p w14:paraId="6B474B22" w14:textId="4B69BEA1" w:rsidR="003C01CA" w:rsidRDefault="00CC1A81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 w:rsidRPr="00B76CCD">
        <w:rPr>
          <w:rFonts w:cs="Arial"/>
          <w:noProof/>
        </w:rPr>
        <w:fldChar w:fldCharType="begin"/>
      </w:r>
      <w:r w:rsidRPr="00B76CCD">
        <w:rPr>
          <w:rFonts w:cs="Arial"/>
          <w:noProof/>
        </w:rPr>
        <w:instrText xml:space="preserve"> TOC \h \z \c "Table" </w:instrText>
      </w:r>
      <w:r w:rsidRPr="00B76CCD">
        <w:rPr>
          <w:rFonts w:cs="Arial"/>
          <w:noProof/>
        </w:rPr>
        <w:fldChar w:fldCharType="separate"/>
      </w:r>
      <w:hyperlink w:anchor="_Toc62207132" w:history="1">
        <w:r w:rsidR="003C01CA" w:rsidRPr="00983F3B">
          <w:rPr>
            <w:rStyle w:val="Hyperlink"/>
            <w:noProof/>
          </w:rPr>
          <w:t>Table 1: 3D Probability of Collision Function Input Parameters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_Toc62207132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6</w:t>
        </w:r>
        <w:r w:rsidR="003C01CA">
          <w:rPr>
            <w:noProof/>
            <w:webHidden/>
          </w:rPr>
          <w:fldChar w:fldCharType="end"/>
        </w:r>
      </w:hyperlink>
    </w:p>
    <w:p w14:paraId="291A4486" w14:textId="62057C4A" w:rsidR="003C01CA" w:rsidRDefault="00850A91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33" w:history="1">
        <w:r w:rsidR="003C01CA" w:rsidRPr="00983F3B">
          <w:rPr>
            <w:rStyle w:val="Hyperlink"/>
            <w:noProof/>
          </w:rPr>
          <w:t>Table 2: 3D Probability of Collision Function Output Parameters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_Toc62207133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6</w:t>
        </w:r>
        <w:r w:rsidR="003C01CA">
          <w:rPr>
            <w:noProof/>
            <w:webHidden/>
          </w:rPr>
          <w:fldChar w:fldCharType="end"/>
        </w:r>
      </w:hyperlink>
    </w:p>
    <w:p w14:paraId="6FC3952E" w14:textId="2D605704" w:rsidR="003C01CA" w:rsidRDefault="00850A91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62207134" w:history="1">
        <w:r w:rsidR="003C01CA" w:rsidRPr="00983F3B">
          <w:rPr>
            <w:rStyle w:val="Hyperlink"/>
            <w:noProof/>
          </w:rPr>
          <w:t>Table 3: 3D Probability of Collision Function Unit Test Cases</w:t>
        </w:r>
        <w:r w:rsidR="003C01CA">
          <w:rPr>
            <w:noProof/>
            <w:webHidden/>
          </w:rPr>
          <w:tab/>
        </w:r>
        <w:r w:rsidR="003C01CA">
          <w:rPr>
            <w:noProof/>
            <w:webHidden/>
          </w:rPr>
          <w:fldChar w:fldCharType="begin"/>
        </w:r>
        <w:r w:rsidR="003C01CA">
          <w:rPr>
            <w:noProof/>
            <w:webHidden/>
          </w:rPr>
          <w:instrText xml:space="preserve"> PAGEREF _Toc62207134 \h </w:instrText>
        </w:r>
        <w:r w:rsidR="003C01CA">
          <w:rPr>
            <w:noProof/>
            <w:webHidden/>
          </w:rPr>
        </w:r>
        <w:r w:rsidR="003C01CA">
          <w:rPr>
            <w:noProof/>
            <w:webHidden/>
          </w:rPr>
          <w:fldChar w:fldCharType="separate"/>
        </w:r>
        <w:r w:rsidR="003C01CA">
          <w:rPr>
            <w:noProof/>
            <w:webHidden/>
          </w:rPr>
          <w:t>7</w:t>
        </w:r>
        <w:r w:rsidR="003C01CA">
          <w:rPr>
            <w:noProof/>
            <w:webHidden/>
          </w:rPr>
          <w:fldChar w:fldCharType="end"/>
        </w:r>
      </w:hyperlink>
    </w:p>
    <w:p w14:paraId="21419966" w14:textId="08C79261" w:rsidR="00CC1A81" w:rsidRPr="00B76CCD" w:rsidRDefault="00CC1A81" w:rsidP="00CC1A81">
      <w:pPr>
        <w:pStyle w:val="TableofFigures"/>
        <w:tabs>
          <w:tab w:val="right" w:leader="dot" w:pos="9360"/>
        </w:tabs>
        <w:spacing w:before="0" w:line="288" w:lineRule="auto"/>
        <w:rPr>
          <w:rFonts w:cs="Arial"/>
          <w:noProof/>
        </w:rPr>
        <w:sectPr w:rsidR="00CC1A81" w:rsidRPr="00B76CCD" w:rsidSect="00305BF7">
          <w:footerReference w:type="default" r:id="rId10"/>
          <w:pgSz w:w="12240" w:h="15840" w:code="1"/>
          <w:pgMar w:top="720" w:right="720" w:bottom="720" w:left="720" w:header="720" w:footer="214" w:gutter="0"/>
          <w:pgNumType w:fmt="lowerRoman" w:start="1"/>
          <w:cols w:space="720"/>
          <w:titlePg/>
          <w:docGrid w:linePitch="360"/>
        </w:sectPr>
      </w:pPr>
      <w:r w:rsidRPr="00B76CCD">
        <w:rPr>
          <w:rFonts w:cs="Arial"/>
          <w:noProof/>
        </w:rPr>
        <w:fldChar w:fldCharType="end"/>
      </w:r>
    </w:p>
    <w:p w14:paraId="4F5A66DC" w14:textId="77777777" w:rsidR="00CC1A81" w:rsidRPr="00B76CCD" w:rsidRDefault="00CC1A81" w:rsidP="00CC1A81">
      <w:pPr>
        <w:pStyle w:val="Heading1"/>
      </w:pPr>
      <w:bookmarkStart w:id="5" w:name="_Toc427069173"/>
      <w:bookmarkStart w:id="6" w:name="_Toc62207126"/>
      <w:bookmarkEnd w:id="3"/>
      <w:bookmarkEnd w:id="4"/>
      <w:r w:rsidRPr="00B76CCD">
        <w:lastRenderedPageBreak/>
        <w:t>Introduction</w:t>
      </w:r>
      <w:bookmarkEnd w:id="5"/>
      <w:bookmarkEnd w:id="6"/>
    </w:p>
    <w:p w14:paraId="5A28E168" w14:textId="77777777" w:rsidR="00CC1A81" w:rsidRDefault="00CC1A81" w:rsidP="00CC1A81">
      <w:pPr>
        <w:pStyle w:val="BodyText"/>
      </w:pPr>
      <w:r w:rsidRPr="009A56D5">
        <w:t xml:space="preserve">The CARA Software Development Kit (SDK) contains entries and artifacts for each major algorithm </w:t>
      </w:r>
      <w:r w:rsidRPr="006E38E5">
        <w:t>needed to perform the required Collision Avoidance (CA) calculations outlined in the CA Standard.  For a typical</w:t>
      </w:r>
      <w:r w:rsidRPr="009A56D5">
        <w:t xml:space="preserve"> algorithm, the SDK will include a version of the algorithm, a driver program to take information from </w:t>
      </w:r>
      <w:r>
        <w:t>a text format</w:t>
      </w:r>
      <w:r w:rsidRPr="009A56D5">
        <w:t xml:space="preserve"> CDM and execute the algorithm, producing the needed calculation o</w:t>
      </w:r>
      <w:r>
        <w:t>r output, and a series</w:t>
      </w:r>
      <w:r w:rsidRPr="009A56D5">
        <w:t xml:space="preserve"> of test cases that exercise the algorithm and produce validated results</w:t>
      </w:r>
      <w:r>
        <w:t>.</w:t>
      </w:r>
    </w:p>
    <w:p w14:paraId="6D5C4AAA" w14:textId="77777777" w:rsidR="00CC1A81" w:rsidRDefault="00CC1A81" w:rsidP="00CC1A81">
      <w:pPr>
        <w:pStyle w:val="BodyText"/>
      </w:pPr>
      <w:r>
        <w:t>This document describes a specific algorithm, its associated inputs and outputs, the methodology used within the algorithm and examples of usage.</w:t>
      </w:r>
    </w:p>
    <w:p w14:paraId="08A94D94" w14:textId="77777777" w:rsidR="00CC1A81" w:rsidRDefault="00CC1A81" w:rsidP="00CC1A81">
      <w:pPr>
        <w:pStyle w:val="Heading2"/>
      </w:pPr>
      <w:bookmarkStart w:id="7" w:name="_Toc62207127"/>
      <w:r>
        <w:t>Required Software</w:t>
      </w:r>
      <w:bookmarkEnd w:id="7"/>
    </w:p>
    <w:p w14:paraId="6211D6F1" w14:textId="77777777" w:rsidR="00CC1A81" w:rsidRDefault="00CC1A81" w:rsidP="00CC1A81">
      <w:pPr>
        <w:rPr>
          <w:rFonts w:ascii="Arial" w:hAnsi="Arial" w:cs="Arial"/>
        </w:rPr>
      </w:pPr>
      <w:r w:rsidRPr="006E38E5">
        <w:rPr>
          <w:rFonts w:ascii="Arial" w:hAnsi="Arial" w:cs="Arial"/>
        </w:rPr>
        <w:t>The follo</w:t>
      </w:r>
      <w:r>
        <w:rPr>
          <w:rFonts w:ascii="Arial" w:hAnsi="Arial" w:cs="Arial"/>
        </w:rPr>
        <w:t>wing list is of software and hardware requirements for use of this SDK:</w:t>
      </w:r>
    </w:p>
    <w:p w14:paraId="616FD3E2" w14:textId="77777777" w:rsidR="00CC1A81" w:rsidRPr="009542E8" w:rsidRDefault="00CC1A81" w:rsidP="00CC1A81">
      <w:pPr>
        <w:pStyle w:val="ListParagraph"/>
        <w:rPr>
          <w:rFonts w:eastAsia="Times New Roman"/>
          <w:b/>
          <w:bCs/>
          <w:sz w:val="32"/>
          <w:szCs w:val="32"/>
        </w:rPr>
      </w:pPr>
      <w:proofErr w:type="spellStart"/>
      <w:r>
        <w:t>Matlab</w:t>
      </w:r>
      <w:proofErr w:type="spellEnd"/>
      <w:r>
        <w:t xml:space="preserve"> 2016b</w:t>
      </w:r>
      <w:r>
        <w:br w:type="page"/>
      </w:r>
    </w:p>
    <w:p w14:paraId="1A207A5E" w14:textId="77777777" w:rsidR="00CC1A81" w:rsidRPr="00B76CCD" w:rsidRDefault="00CC1A81" w:rsidP="00CC1A81">
      <w:pPr>
        <w:pStyle w:val="Heading1"/>
      </w:pPr>
      <w:bookmarkStart w:id="8" w:name="_Toc62207128"/>
      <w:r>
        <w:lastRenderedPageBreak/>
        <w:t>Risk Assessment Algorithm</w:t>
      </w:r>
      <w:bookmarkEnd w:id="8"/>
    </w:p>
    <w:p w14:paraId="6B0325E3" w14:textId="6427B772" w:rsidR="00CC1A81" w:rsidRDefault="00A572FC" w:rsidP="00CC1A81">
      <w:pPr>
        <w:pStyle w:val="Heading2"/>
      </w:pPr>
      <w:bookmarkStart w:id="9" w:name="_Toc506456186"/>
      <w:bookmarkStart w:id="10" w:name="_Ref511050272"/>
      <w:bookmarkStart w:id="11" w:name="_Ref511050278"/>
      <w:bookmarkStart w:id="12" w:name="_Toc62207129"/>
      <w:r>
        <w:t>3</w:t>
      </w:r>
      <w:r w:rsidR="00CC1A81">
        <w:t>D Probability of Collision Calculation</w:t>
      </w:r>
      <w:bookmarkEnd w:id="9"/>
      <w:bookmarkEnd w:id="10"/>
      <w:bookmarkEnd w:id="11"/>
      <w:bookmarkEnd w:id="12"/>
    </w:p>
    <w:p w14:paraId="72D16914" w14:textId="57A16CF6" w:rsidR="00CC1A81" w:rsidRPr="004E2264" w:rsidRDefault="00CC1A81" w:rsidP="00CC1A81">
      <w:pPr>
        <w:pStyle w:val="BodyText"/>
      </w:pPr>
      <w:r>
        <w:t xml:space="preserve">One method that may be employed </w:t>
      </w:r>
      <w:r w:rsidR="003C01CA">
        <w:t>to</w:t>
      </w:r>
      <w:r>
        <w:t xml:space="preserve"> </w:t>
      </w:r>
      <w:r w:rsidR="003C01CA">
        <w:t>estimate</w:t>
      </w:r>
      <w:r>
        <w:t xml:space="preserve"> the probability of collision </w:t>
      </w:r>
      <w:r w:rsidR="00441D42">
        <w:t xml:space="preserve">(Pc) </w:t>
      </w:r>
      <w:r w:rsidR="003C01CA">
        <w:t xml:space="preserve">is </w:t>
      </w:r>
      <w:r w:rsidR="00A572FC">
        <w:t>the “3D-Nc” algorithm formulated by Hall</w:t>
      </w:r>
      <w:r w:rsidR="00D471DD">
        <w:t xml:space="preserve"> (2021)</w:t>
      </w:r>
      <w:r w:rsidR="00A572FC">
        <w:rPr>
          <w:rStyle w:val="EndnoteReference"/>
        </w:rPr>
        <w:endnoteReference w:id="1"/>
      </w:r>
      <w:r w:rsidR="00441D42">
        <w:t xml:space="preserve"> which estimates the statistically expected number of collisions (</w:t>
      </w:r>
      <w:proofErr w:type="spellStart"/>
      <w:proofErr w:type="gramStart"/>
      <w:r w:rsidR="00441D42">
        <w:t>Nc</w:t>
      </w:r>
      <w:proofErr w:type="spellEnd"/>
      <w:proofErr w:type="gramEnd"/>
      <w:r w:rsidR="00441D42">
        <w:t>) for satellite encounters. When applied to a single, high relative velocity satellite conjunction, the 3D-N</w:t>
      </w:r>
      <w:r w:rsidR="00A84652">
        <w:t xml:space="preserve">c method provides a direct </w:t>
      </w:r>
      <w:r w:rsidR="00441D42">
        <w:t xml:space="preserve">estimate of the collision probability (i.e., Pc = </w:t>
      </w:r>
      <w:proofErr w:type="spellStart"/>
      <w:proofErr w:type="gramStart"/>
      <w:r w:rsidR="00441D42">
        <w:t>Nc</w:t>
      </w:r>
      <w:proofErr w:type="spellEnd"/>
      <w:proofErr w:type="gramEnd"/>
      <w:r w:rsidR="00441D42">
        <w:t xml:space="preserve"> for temporally-isolated conjunctions).  When applied to a low relative velocity conjunction and/or to a multi-encounter interaction</w:t>
      </w:r>
      <w:r w:rsidR="00A84652">
        <w:t xml:space="preserve"> between two satellites</w:t>
      </w:r>
      <w:r w:rsidR="00441D42">
        <w:t xml:space="preserve">, the 3D-Nc method provides an upper limit estimate of the collision probability (i.e., Pc ≤ </w:t>
      </w:r>
      <w:proofErr w:type="spellStart"/>
      <w:proofErr w:type="gramStart"/>
      <w:r w:rsidR="00441D42">
        <w:t>Nc</w:t>
      </w:r>
      <w:proofErr w:type="spellEnd"/>
      <w:proofErr w:type="gramEnd"/>
      <w:r w:rsidR="00441D42">
        <w:t xml:space="preserve"> for extended/blended conjunctions).</w:t>
      </w:r>
    </w:p>
    <w:p w14:paraId="66B90898" w14:textId="7C396815" w:rsidR="00CC1A81" w:rsidRDefault="00293352" w:rsidP="00CC1A81">
      <w:pPr>
        <w:pStyle w:val="Heading3"/>
      </w:pPr>
      <w:bookmarkStart w:id="13" w:name="_Toc506456187"/>
      <w:r>
        <w:t>3D-</w:t>
      </w:r>
      <w:r w:rsidR="00CC1A81">
        <w:t>P</w:t>
      </w:r>
      <w:r>
        <w:t>c for an Isolated Conjunction</w:t>
      </w:r>
      <w:r w:rsidR="00CC1A81">
        <w:t xml:space="preserve"> – Mathematical Formulas</w:t>
      </w:r>
      <w:bookmarkEnd w:id="13"/>
    </w:p>
    <w:p w14:paraId="638B9173" w14:textId="012403B4" w:rsidR="00CC1A81" w:rsidRDefault="00293352" w:rsidP="00CC1A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an </w:t>
      </w:r>
      <w:r w:rsidR="00C96702">
        <w:rPr>
          <w:rFonts w:ascii="Arial" w:hAnsi="Arial" w:cs="Arial"/>
        </w:rPr>
        <w:t>isolated conjunction,</w:t>
      </w:r>
      <w:r w:rsidR="00FE1FD7">
        <w:rPr>
          <w:rFonts w:ascii="Arial" w:hAnsi="Arial" w:cs="Arial"/>
        </w:rPr>
        <w:t xml:space="preserve"> </w:t>
      </w:r>
      <w:r w:rsidR="00C96702">
        <w:rPr>
          <w:rFonts w:ascii="Arial" w:hAnsi="Arial" w:cs="Arial"/>
        </w:rPr>
        <w:t>t</w:t>
      </w:r>
      <w:r w:rsidR="00CC1A81" w:rsidRPr="004E2264">
        <w:rPr>
          <w:rFonts w:ascii="Arial" w:hAnsi="Arial" w:cs="Arial"/>
        </w:rPr>
        <w:t xml:space="preserve">he </w:t>
      </w:r>
      <w:r w:rsidR="00441D42">
        <w:rPr>
          <w:rFonts w:ascii="Arial" w:hAnsi="Arial" w:cs="Arial"/>
        </w:rPr>
        <w:t>three</w:t>
      </w:r>
      <w:r w:rsidR="00CC1A81">
        <w:rPr>
          <w:rFonts w:ascii="Arial" w:hAnsi="Arial" w:cs="Arial"/>
        </w:rPr>
        <w:t xml:space="preserve">-dimensional probability of collision </w:t>
      </w:r>
      <w:r>
        <w:rPr>
          <w:rFonts w:ascii="Arial" w:hAnsi="Arial" w:cs="Arial"/>
        </w:rPr>
        <w:t xml:space="preserve">(3D-Pc) </w:t>
      </w:r>
      <w:r w:rsidR="00FE1FD7">
        <w:rPr>
          <w:rFonts w:ascii="Arial" w:hAnsi="Arial" w:cs="Arial"/>
        </w:rPr>
        <w:t xml:space="preserve">approximation </w:t>
      </w:r>
      <w:r w:rsidR="00CC1A81">
        <w:rPr>
          <w:rFonts w:ascii="Arial" w:hAnsi="Arial" w:cs="Arial"/>
        </w:rPr>
        <w:t>is calculated</w:t>
      </w:r>
      <w:r w:rsidR="00C96702">
        <w:rPr>
          <w:rFonts w:ascii="Arial" w:hAnsi="Arial" w:cs="Arial"/>
        </w:rPr>
        <w:t xml:space="preserve"> by integrating the statistically expected collision rate over time</w:t>
      </w:r>
      <w:r w:rsidR="00CC1A81">
        <w:rPr>
          <w:rFonts w:ascii="Arial" w:hAnsi="Arial" w:cs="Arial"/>
        </w:rPr>
        <w:t xml:space="preserve">: </w:t>
      </w:r>
    </w:p>
    <w:p w14:paraId="7C57C7A2" w14:textId="732910C3" w:rsidR="00CC1A81" w:rsidRPr="00781590" w:rsidRDefault="00850A91" w:rsidP="00CC1A81">
      <w:pPr>
        <w:jc w:val="center"/>
        <w:rPr>
          <w:rFonts w:ascii="Arial" w:eastAsia="Times New Roman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dt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14:paraId="62A1879C" w14:textId="0818376C" w:rsidR="005D29D3" w:rsidRDefault="00FE1FD7" w:rsidP="009C44C6">
      <w:pPr>
        <w:jc w:val="both"/>
        <w:rPr>
          <w:rFonts w:ascii="Arial" w:eastAsia="Times New Roman" w:hAnsi="Arial" w:cs="Arial"/>
        </w:rPr>
      </w:pPr>
      <w:r w:rsidRPr="00FE1FD7">
        <w:rPr>
          <w:rFonts w:ascii="Arial" w:hAnsi="Arial" w:cs="Arial"/>
        </w:rPr>
        <w:t xml:space="preserve">This is the number of collisions statistically expected to occur at some time during the </w:t>
      </w:r>
      <w:proofErr w:type="gramStart"/>
      <w:r w:rsidRPr="00FE1FD7">
        <w:rPr>
          <w:rFonts w:ascii="Arial" w:hAnsi="Arial" w:cs="Arial"/>
        </w:rPr>
        <w:t xml:space="preserve">interval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≤t&lt;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</w:rPr>
        <w:t>.</w:t>
      </w:r>
      <w:r w:rsidRPr="00FE1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</w:t>
      </w:r>
      <w:r>
        <w:rPr>
          <w:rFonts w:ascii="Arial" w:eastAsia="Times New Roman" w:hAnsi="Arial" w:cs="Arial"/>
        </w:rPr>
        <w:t>or high relative velocity conjunctions, this</w:t>
      </w:r>
      <w:r w:rsidR="00BC0974">
        <w:rPr>
          <w:rFonts w:ascii="Arial" w:eastAsia="Times New Roman" w:hAnsi="Arial" w:cs="Arial"/>
        </w:rPr>
        <w:t xml:space="preserve"> time</w:t>
      </w:r>
      <w:r>
        <w:rPr>
          <w:rFonts w:ascii="Arial" w:eastAsia="Times New Roman" w:hAnsi="Arial" w:cs="Arial"/>
        </w:rPr>
        <w:t xml:space="preserve"> interval</w:t>
      </w:r>
      <w:r w:rsidRPr="00FE1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typically only </w:t>
      </w:r>
      <w:r w:rsidRPr="00FE1FD7">
        <w:rPr>
          <w:rFonts w:ascii="Arial" w:hAnsi="Arial" w:cs="Arial"/>
        </w:rPr>
        <w:t>need</w:t>
      </w:r>
      <w:r>
        <w:rPr>
          <w:rFonts w:ascii="Arial" w:hAnsi="Arial" w:cs="Arial"/>
        </w:rPr>
        <w:t>s</w:t>
      </w:r>
      <w:r w:rsidRPr="00FE1FD7">
        <w:rPr>
          <w:rFonts w:ascii="Arial" w:hAnsi="Arial" w:cs="Arial"/>
        </w:rPr>
        <w:t xml:space="preserve"> to span a </w:t>
      </w:r>
      <w:r>
        <w:rPr>
          <w:rFonts w:ascii="Arial" w:hAnsi="Arial" w:cs="Arial"/>
        </w:rPr>
        <w:t>very short duration near the time of closest approach (TCA)</w:t>
      </w:r>
      <w:r w:rsidR="005D29D3">
        <w:rPr>
          <w:rFonts w:ascii="Arial" w:eastAsia="Times New Roman" w:hAnsi="Arial" w:cs="Arial"/>
        </w:rPr>
        <w:t>.</w:t>
      </w:r>
    </w:p>
    <w:p w14:paraId="67BAB7AD" w14:textId="0E5DB97D" w:rsidR="00CC1A81" w:rsidRDefault="00FE1FD7" w:rsidP="009C44C6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>The statistically expected collision rate</w:t>
      </w:r>
      <w:r w:rsidR="009C44C6">
        <w:rPr>
          <w:rFonts w:ascii="Arial" w:eastAsia="Times New Roman" w:hAnsi="Arial" w:cs="Arial"/>
        </w:rPr>
        <w:t xml:space="preserve"> is calculated by integrati</w:t>
      </w:r>
      <w:bookmarkStart w:id="14" w:name="_GoBack"/>
      <w:bookmarkEnd w:id="14"/>
      <w:r w:rsidR="009C44C6">
        <w:rPr>
          <w:rFonts w:ascii="Arial" w:eastAsia="Times New Roman" w:hAnsi="Arial" w:cs="Arial"/>
        </w:rPr>
        <w:t>ng</w:t>
      </w:r>
      <w:r w:rsidR="00403A62">
        <w:rPr>
          <w:rFonts w:ascii="Arial" w:eastAsia="Times New Roman" w:hAnsi="Arial" w:cs="Arial"/>
        </w:rPr>
        <w:t xml:space="preserve"> the product of two functions</w:t>
      </w:r>
      <w:r w:rsidR="009C44C6">
        <w:rPr>
          <w:rFonts w:ascii="Arial" w:eastAsia="Times New Roman" w:hAnsi="Arial" w:cs="Arial"/>
        </w:rPr>
        <w:t xml:space="preserve"> over the unit sphere:</w:t>
      </w:r>
    </w:p>
    <w:p w14:paraId="4FF1C00A" w14:textId="37BAA597" w:rsidR="009C44C6" w:rsidRDefault="00850A91" w:rsidP="009C44C6">
      <w:pPr>
        <w:jc w:val="center"/>
        <w:rPr>
          <w:rFonts w:ascii="Arial" w:eastAsia="Times New Roman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̆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̆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14:paraId="08611248" w14:textId="1093FAA1" w:rsidR="009C44C6" w:rsidRDefault="00F7189B" w:rsidP="009C44C6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</w:t>
      </w:r>
      <w:r w:rsidR="00BC0974">
        <w:rPr>
          <w:rFonts w:ascii="Arial" w:eastAsia="Times New Roman" w:hAnsi="Arial" w:cs="Arial"/>
        </w:rPr>
        <w:t>his</w:t>
      </w:r>
      <w:r>
        <w:rPr>
          <w:rFonts w:ascii="Arial" w:eastAsia="Times New Roman" w:hAnsi="Arial" w:cs="Arial"/>
        </w:rPr>
        <w:t xml:space="preserve"> </w:t>
      </w:r>
      <w:r w:rsidR="00BC0974">
        <w:rPr>
          <w:rFonts w:ascii="Arial" w:eastAsia="Times New Roman" w:hAnsi="Arial" w:cs="Arial"/>
        </w:rPr>
        <w:t xml:space="preserve">collision </w:t>
      </w:r>
      <w:r>
        <w:rPr>
          <w:rFonts w:ascii="Arial" w:eastAsia="Times New Roman" w:hAnsi="Arial" w:cs="Arial"/>
        </w:rPr>
        <w:t xml:space="preserve">rate </w:t>
      </w:r>
      <w:r w:rsidR="009C44C6">
        <w:rPr>
          <w:rFonts w:ascii="Arial" w:eastAsia="Times New Roman" w:hAnsi="Arial" w:cs="Arial"/>
        </w:rPr>
        <w:t>typically peaks very sharply</w:t>
      </w:r>
      <w:r>
        <w:rPr>
          <w:rFonts w:ascii="Arial" w:eastAsia="Times New Roman" w:hAnsi="Arial" w:cs="Arial"/>
        </w:rPr>
        <w:t xml:space="preserve"> in time</w:t>
      </w:r>
      <w:r w:rsidR="009C44C6">
        <w:rPr>
          <w:rFonts w:ascii="Arial" w:eastAsia="Times New Roman" w:hAnsi="Arial" w:cs="Arial"/>
        </w:rPr>
        <w:t xml:space="preserve"> at or near TCA for high r</w:t>
      </w:r>
      <w:r>
        <w:rPr>
          <w:rFonts w:ascii="Arial" w:eastAsia="Times New Roman" w:hAnsi="Arial" w:cs="Arial"/>
        </w:rPr>
        <w:t xml:space="preserve">elative velocity conjunctions. </w:t>
      </w:r>
      <w:r w:rsidR="005D29D3">
        <w:rPr>
          <w:rFonts w:ascii="Arial" w:eastAsia="Times New Roman" w:hAnsi="Arial" w:cs="Arial"/>
        </w:rPr>
        <w:t xml:space="preserve">The radius </w:t>
      </w:r>
      <m:oMath>
        <m:r>
          <w:rPr>
            <w:rFonts w:ascii="Cambria Math" w:hAnsi="Cambria Math"/>
          </w:rPr>
          <m:t>R</m:t>
        </m:r>
      </m:oMath>
      <w:r w:rsidR="005D29D3">
        <w:rPr>
          <w:rFonts w:ascii="Arial" w:eastAsia="Times New Roman" w:hAnsi="Arial" w:cs="Arial"/>
        </w:rPr>
        <w:t xml:space="preserve"> represents the combined circumscribing, hard-body radii of th</w:t>
      </w:r>
      <w:r w:rsidR="00BC0974">
        <w:rPr>
          <w:rFonts w:ascii="Arial" w:eastAsia="Times New Roman" w:hAnsi="Arial" w:cs="Arial"/>
        </w:rPr>
        <w:t xml:space="preserve">e two satellites. </w:t>
      </w:r>
      <w:r w:rsidR="009C44C6">
        <w:rPr>
          <w:rFonts w:ascii="Arial" w:eastAsia="Times New Roman" w:hAnsi="Arial" w:cs="Arial"/>
        </w:rPr>
        <w:t xml:space="preserve">The two </w:t>
      </w:r>
      <w:r>
        <w:rPr>
          <w:rFonts w:ascii="Arial" w:eastAsia="Times New Roman" w:hAnsi="Arial" w:cs="Arial"/>
        </w:rPr>
        <w:t xml:space="preserve">required </w:t>
      </w:r>
      <w:r w:rsidR="009C44C6">
        <w:rPr>
          <w:rFonts w:ascii="Arial" w:eastAsia="Times New Roman" w:hAnsi="Arial" w:cs="Arial"/>
        </w:rPr>
        <w:t xml:space="preserve">integrand functions and their arguments are calculated </w:t>
      </w:r>
      <w:r w:rsidR="00403A62">
        <w:rPr>
          <w:rFonts w:ascii="Arial" w:eastAsia="Times New Roman" w:hAnsi="Arial" w:cs="Arial"/>
        </w:rPr>
        <w:t>from</w:t>
      </w:r>
      <w:r w:rsidR="009C44C6">
        <w:rPr>
          <w:rFonts w:ascii="Arial" w:eastAsia="Times New Roman" w:hAnsi="Arial" w:cs="Arial"/>
        </w:rPr>
        <w:t xml:space="preserve"> the </w:t>
      </w:r>
      <w:r w:rsidR="00403A62">
        <w:rPr>
          <w:rFonts w:ascii="Arial" w:eastAsia="Times New Roman" w:hAnsi="Arial" w:cs="Arial"/>
        </w:rPr>
        <w:t xml:space="preserve">TCA </w:t>
      </w:r>
      <w:r w:rsidR="009C44C6">
        <w:rPr>
          <w:rFonts w:ascii="Arial" w:eastAsia="Times New Roman" w:hAnsi="Arial" w:cs="Arial"/>
        </w:rPr>
        <w:t>orbital states and covariance matrices of the two satellites involved in the conjunction</w:t>
      </w:r>
      <w:r>
        <w:rPr>
          <w:rFonts w:ascii="Arial" w:eastAsia="Times New Roman" w:hAnsi="Arial" w:cs="Arial"/>
        </w:rPr>
        <w:t xml:space="preserve">, as </w:t>
      </w:r>
      <w:r w:rsidR="005F79EE">
        <w:rPr>
          <w:rFonts w:ascii="Arial" w:eastAsia="Times New Roman" w:hAnsi="Arial" w:cs="Arial"/>
        </w:rPr>
        <w:t>described</w:t>
      </w:r>
      <w:r>
        <w:rPr>
          <w:rFonts w:ascii="Arial" w:eastAsia="Times New Roman" w:hAnsi="Arial" w:cs="Arial"/>
        </w:rPr>
        <w:t xml:space="preserve"> in detail in the Hall</w:t>
      </w:r>
      <w:r w:rsidR="005F79EE">
        <w:rPr>
          <w:rFonts w:ascii="Arial" w:eastAsia="Times New Roman" w:hAnsi="Arial" w:cs="Arial"/>
        </w:rPr>
        <w:t xml:space="preserve"> (2021)</w:t>
      </w:r>
      <w:r>
        <w:rPr>
          <w:rFonts w:ascii="Arial" w:eastAsia="Times New Roman" w:hAnsi="Arial" w:cs="Arial"/>
        </w:rPr>
        <w:t xml:space="preserve"> 3D-Nc method paper. </w:t>
      </w:r>
    </w:p>
    <w:p w14:paraId="53CEBF1B" w14:textId="4A5704EB" w:rsidR="00CC1A81" w:rsidRPr="006431DD" w:rsidRDefault="009C44C6" w:rsidP="005A6772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The required integrals above are </w:t>
      </w:r>
      <w:r w:rsidR="005F79EE">
        <w:rPr>
          <w:rFonts w:ascii="Arial" w:eastAsia="Times New Roman" w:hAnsi="Arial" w:cs="Arial"/>
        </w:rPr>
        <w:t xml:space="preserve">both </w:t>
      </w:r>
      <w:r>
        <w:rPr>
          <w:rFonts w:ascii="Arial" w:eastAsia="Times New Roman" w:hAnsi="Arial" w:cs="Arial"/>
        </w:rPr>
        <w:t xml:space="preserve">evaluated numerically, with the 1D time integration using trapezoidal quadrature, and the 2D unit-sphere integration using </w:t>
      </w:r>
      <w:proofErr w:type="spellStart"/>
      <w:r>
        <w:rPr>
          <w:rFonts w:ascii="Arial" w:eastAsia="Times New Roman" w:hAnsi="Arial" w:cs="Arial"/>
        </w:rPr>
        <w:t>Lebedev</w:t>
      </w:r>
      <w:proofErr w:type="spellEnd"/>
      <w:r>
        <w:rPr>
          <w:rFonts w:ascii="Arial" w:eastAsia="Times New Roman" w:hAnsi="Arial" w:cs="Arial"/>
        </w:rPr>
        <w:t xml:space="preserve"> quadrature</w:t>
      </w:r>
      <w:r w:rsidR="005D29D3">
        <w:rPr>
          <w:rFonts w:ascii="Arial" w:eastAsia="Times New Roman" w:hAnsi="Arial" w:cs="Arial"/>
        </w:rPr>
        <w:t>. Calculating the overall Pc estimate therefore</w:t>
      </w:r>
      <w:r w:rsidR="005A6772">
        <w:rPr>
          <w:rFonts w:ascii="Arial" w:eastAsia="Times New Roman" w:hAnsi="Arial" w:cs="Arial"/>
        </w:rPr>
        <w:t xml:space="preserve"> </w:t>
      </w:r>
      <w:r w:rsidR="005D29D3">
        <w:rPr>
          <w:rFonts w:ascii="Arial" w:eastAsia="Times New Roman" w:hAnsi="Arial" w:cs="Arial"/>
        </w:rPr>
        <w:t>entails</w:t>
      </w:r>
      <w:r w:rsidR="005A6772">
        <w:rPr>
          <w:rFonts w:ascii="Arial" w:eastAsia="Times New Roman" w:hAnsi="Arial" w:cs="Arial"/>
        </w:rPr>
        <w:t xml:space="preserve"> 3D numerical integration</w:t>
      </w:r>
      <w:r w:rsidR="005D29D3">
        <w:rPr>
          <w:rFonts w:ascii="Arial" w:eastAsia="Times New Roman" w:hAnsi="Arial" w:cs="Arial"/>
        </w:rPr>
        <w:t>.</w:t>
      </w:r>
    </w:p>
    <w:p w14:paraId="3D865191" w14:textId="12BD2440" w:rsidR="00CC1A81" w:rsidRDefault="00AC5741" w:rsidP="00CC1A81">
      <w:pPr>
        <w:pStyle w:val="Heading3"/>
      </w:pPr>
      <w:bookmarkStart w:id="15" w:name="_Toc506456188"/>
      <w:r>
        <w:t>3D-Pc for an Isolated Conjunction</w:t>
      </w:r>
      <w:r w:rsidR="00CC1A81">
        <w:t xml:space="preserve"> – Source Code Description</w:t>
      </w:r>
      <w:bookmarkEnd w:id="15"/>
    </w:p>
    <w:p w14:paraId="64F3EA96" w14:textId="363A97F8" w:rsidR="00CC1A81" w:rsidRDefault="00CC1A81" w:rsidP="00CC1A81">
      <w:pPr>
        <w:pStyle w:val="BodyText"/>
      </w:pPr>
      <w:r>
        <w:t>The primary function contained within t</w:t>
      </w:r>
      <w:r w:rsidR="00972A68">
        <w:t>he SDK used for estimating the 3</w:t>
      </w:r>
      <w:r>
        <w:t>D Probability of Collision of a</w:t>
      </w:r>
      <w:r w:rsidR="005F79EE">
        <w:t>n isolated close approach event is</w:t>
      </w:r>
      <w:r>
        <w:t>:</w:t>
      </w:r>
    </w:p>
    <w:p w14:paraId="7C7B5E32" w14:textId="082B88E9" w:rsidR="00CC1A81" w:rsidRDefault="00972A68" w:rsidP="00CC1A81">
      <w:pPr>
        <w:pStyle w:val="BodyText"/>
      </w:pPr>
      <w:r>
        <w:tab/>
        <w:t>Pc3</w:t>
      </w:r>
      <w:r w:rsidR="00CC1A81">
        <w:t>D_</w:t>
      </w:r>
      <w:r>
        <w:t>Hall</w:t>
      </w:r>
      <w:r w:rsidR="00CC1A81">
        <w:t>.m</w:t>
      </w:r>
    </w:p>
    <w:p w14:paraId="23D99EF9" w14:textId="5532DDE4" w:rsidR="00CC1A81" w:rsidRDefault="005F79EE" w:rsidP="00CC1A81">
      <w:pPr>
        <w:pStyle w:val="BodyText"/>
      </w:pPr>
      <w:r>
        <w:t xml:space="preserve">This function </w:t>
      </w:r>
      <w:r w:rsidR="00CC1A81">
        <w:t>estimates the probability of collision using the formula above.</w:t>
      </w:r>
    </w:p>
    <w:p w14:paraId="6EB48534" w14:textId="6FD1D173" w:rsidR="00CC1A81" w:rsidRDefault="00CC1A81" w:rsidP="00CC1A81">
      <w:pPr>
        <w:pStyle w:val="BodyText"/>
      </w:pPr>
      <w:r>
        <w:t xml:space="preserve">As inputs, the </w:t>
      </w:r>
      <w:r w:rsidR="0059558A">
        <w:t>function</w:t>
      </w:r>
      <w:r>
        <w:t xml:space="preserve"> accepts the following:</w:t>
      </w:r>
    </w:p>
    <w:p w14:paraId="1E67186D" w14:textId="6C3B60B4" w:rsidR="00CC1A81" w:rsidRPr="008203BF" w:rsidRDefault="00CC1A81" w:rsidP="00CC1A81">
      <w:pPr>
        <w:pStyle w:val="Caption"/>
      </w:pPr>
      <w:bookmarkStart w:id="16" w:name="_Toc62207132"/>
      <w:r w:rsidRPr="008203BF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3C01CA">
        <w:rPr>
          <w:noProof/>
        </w:rPr>
        <w:t>1</w:t>
      </w:r>
      <w:r>
        <w:rPr>
          <w:noProof/>
        </w:rPr>
        <w:fldChar w:fldCharType="end"/>
      </w:r>
      <w:r w:rsidRPr="008203BF">
        <w:t xml:space="preserve">: </w:t>
      </w:r>
      <w:r w:rsidR="00972A68">
        <w:t>3</w:t>
      </w:r>
      <w:r>
        <w:t>D Probability of Collision</w:t>
      </w:r>
      <w:r w:rsidRPr="008203BF">
        <w:t xml:space="preserve"> </w:t>
      </w:r>
      <w:r w:rsidR="00972A68">
        <w:t>Function</w:t>
      </w:r>
      <w:r w:rsidRPr="008203BF">
        <w:t xml:space="preserve"> Input Parameters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C1A81" w:rsidRPr="009542E8" w14:paraId="7EDD0210" w14:textId="77777777" w:rsidTr="00305BF7">
        <w:trPr>
          <w:jc w:val="center"/>
        </w:trPr>
        <w:tc>
          <w:tcPr>
            <w:tcW w:w="2335" w:type="dxa"/>
            <w:shd w:val="clear" w:color="auto" w:fill="D9D9D9"/>
          </w:tcPr>
          <w:p w14:paraId="7420BCE0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Input Variable</w:t>
            </w:r>
          </w:p>
        </w:tc>
        <w:tc>
          <w:tcPr>
            <w:tcW w:w="7015" w:type="dxa"/>
            <w:shd w:val="clear" w:color="auto" w:fill="D9D9D9"/>
          </w:tcPr>
          <w:p w14:paraId="26FACED1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Definition</w:t>
            </w:r>
          </w:p>
        </w:tc>
      </w:tr>
      <w:tr w:rsidR="00CC1A81" w:rsidRPr="009542E8" w14:paraId="2BA2650F" w14:textId="77777777" w:rsidTr="00305BF7">
        <w:trPr>
          <w:jc w:val="center"/>
        </w:trPr>
        <w:tc>
          <w:tcPr>
            <w:tcW w:w="2335" w:type="dxa"/>
            <w:shd w:val="clear" w:color="auto" w:fill="auto"/>
          </w:tcPr>
          <w:p w14:paraId="7FA50D5B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r1</w:t>
            </w:r>
          </w:p>
        </w:tc>
        <w:tc>
          <w:tcPr>
            <w:tcW w:w="7015" w:type="dxa"/>
            <w:shd w:val="clear" w:color="auto" w:fill="auto"/>
          </w:tcPr>
          <w:p w14:paraId="79FE4B79" w14:textId="21EF028E" w:rsidR="00CC1A81" w:rsidRPr="009542E8" w:rsidRDefault="00CC1A81" w:rsidP="00305BF7">
            <w:pPr>
              <w:pStyle w:val="BodyText"/>
              <w:spacing w:after="0"/>
            </w:pPr>
            <w:r w:rsidRPr="009542E8">
              <w:t xml:space="preserve">[3X1] </w:t>
            </w:r>
            <w:r w:rsidR="00DF52A9">
              <w:t xml:space="preserve">TCA </w:t>
            </w:r>
            <w:r w:rsidRPr="009542E8">
              <w:t>ECI Position Vector of the Primary Object (meters)</w:t>
            </w:r>
          </w:p>
        </w:tc>
      </w:tr>
      <w:tr w:rsidR="00CC1A81" w:rsidRPr="009542E8" w14:paraId="26D2DDD6" w14:textId="77777777" w:rsidTr="00305BF7">
        <w:trPr>
          <w:jc w:val="center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</w:tcPr>
          <w:p w14:paraId="100BACEB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v1</w:t>
            </w: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2AF57D41" w14:textId="2C0364C8" w:rsidR="00CC1A81" w:rsidRPr="009542E8" w:rsidRDefault="00CC1A81" w:rsidP="00305BF7">
            <w:pPr>
              <w:pStyle w:val="BodyText"/>
              <w:spacing w:after="0"/>
            </w:pPr>
            <w:r w:rsidRPr="009542E8">
              <w:t xml:space="preserve">[3X1] </w:t>
            </w:r>
            <w:r w:rsidR="00DF52A9">
              <w:t xml:space="preserve">TCA </w:t>
            </w:r>
            <w:r w:rsidRPr="009542E8">
              <w:t>ECI Velocity Vector of the Primary Object (meters/second)</w:t>
            </w:r>
          </w:p>
        </w:tc>
      </w:tr>
      <w:tr w:rsidR="00CC1A81" w:rsidRPr="009542E8" w14:paraId="4C8A2031" w14:textId="77777777" w:rsidTr="00305BF7">
        <w:trPr>
          <w:jc w:val="center"/>
        </w:trPr>
        <w:tc>
          <w:tcPr>
            <w:tcW w:w="2335" w:type="dxa"/>
            <w:shd w:val="clear" w:color="auto" w:fill="auto"/>
          </w:tcPr>
          <w:p w14:paraId="02952F91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cov1</w:t>
            </w:r>
          </w:p>
        </w:tc>
        <w:tc>
          <w:tcPr>
            <w:tcW w:w="7015" w:type="dxa"/>
            <w:shd w:val="clear" w:color="auto" w:fill="auto"/>
          </w:tcPr>
          <w:p w14:paraId="304E7278" w14:textId="70260227" w:rsidR="00CC1A81" w:rsidRPr="009542E8" w:rsidRDefault="00CC1A81" w:rsidP="00305BF7">
            <w:pPr>
              <w:pStyle w:val="BodyText"/>
              <w:spacing w:after="0"/>
            </w:pPr>
            <w:r w:rsidRPr="009542E8">
              <w:t xml:space="preserve">[6X6] </w:t>
            </w:r>
            <w:r w:rsidR="00DF52A9">
              <w:t xml:space="preserve">TCA </w:t>
            </w:r>
            <w:r w:rsidRPr="009542E8">
              <w:t>Primary State covariance matrix corresponding to input primary object reference frame</w:t>
            </w:r>
          </w:p>
        </w:tc>
      </w:tr>
      <w:tr w:rsidR="00CC1A81" w:rsidRPr="009542E8" w14:paraId="320E88A6" w14:textId="77777777" w:rsidTr="00305BF7">
        <w:trPr>
          <w:jc w:val="center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</w:tcPr>
          <w:p w14:paraId="6A01C3ED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r2</w:t>
            </w: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60C649EA" w14:textId="3036D97A" w:rsidR="00CC1A81" w:rsidRPr="009542E8" w:rsidRDefault="00CC1A81" w:rsidP="00305BF7">
            <w:pPr>
              <w:pStyle w:val="BodyText"/>
              <w:spacing w:after="0"/>
            </w:pPr>
            <w:r w:rsidRPr="009542E8">
              <w:t xml:space="preserve">[3X1] </w:t>
            </w:r>
            <w:r w:rsidR="00DF52A9">
              <w:t xml:space="preserve">TCA </w:t>
            </w:r>
            <w:r w:rsidRPr="009542E8">
              <w:t>ECI Position Vector of the Secondary Object (meters)</w:t>
            </w:r>
          </w:p>
        </w:tc>
      </w:tr>
      <w:tr w:rsidR="00CC1A81" w:rsidRPr="009542E8" w14:paraId="375DA5F4" w14:textId="77777777" w:rsidTr="00305BF7">
        <w:trPr>
          <w:jc w:val="center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</w:tcPr>
          <w:p w14:paraId="729D1EB2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v2</w:t>
            </w: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10AF7D11" w14:textId="75ED55B7" w:rsidR="00CC1A81" w:rsidRPr="009542E8" w:rsidRDefault="00CC1A81" w:rsidP="00305BF7">
            <w:pPr>
              <w:pStyle w:val="BodyText"/>
              <w:spacing w:after="0"/>
            </w:pPr>
            <w:r w:rsidRPr="009542E8">
              <w:t xml:space="preserve">[3X1] </w:t>
            </w:r>
            <w:r w:rsidR="00DF52A9">
              <w:t xml:space="preserve">TCA </w:t>
            </w:r>
            <w:r w:rsidRPr="009542E8">
              <w:t>ECI Velocity Vector of the Secondary Object (meters/second)</w:t>
            </w:r>
          </w:p>
        </w:tc>
      </w:tr>
      <w:tr w:rsidR="00CC1A81" w:rsidRPr="009542E8" w14:paraId="75ADB78F" w14:textId="77777777" w:rsidTr="00305BF7">
        <w:trPr>
          <w:jc w:val="center"/>
        </w:trPr>
        <w:tc>
          <w:tcPr>
            <w:tcW w:w="2335" w:type="dxa"/>
            <w:shd w:val="clear" w:color="auto" w:fill="auto"/>
          </w:tcPr>
          <w:p w14:paraId="1EB464FF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cov2</w:t>
            </w:r>
          </w:p>
        </w:tc>
        <w:tc>
          <w:tcPr>
            <w:tcW w:w="7015" w:type="dxa"/>
            <w:shd w:val="clear" w:color="auto" w:fill="auto"/>
          </w:tcPr>
          <w:p w14:paraId="09935EEF" w14:textId="5B405C72" w:rsidR="00CC1A81" w:rsidRPr="009542E8" w:rsidRDefault="00CC1A81" w:rsidP="00305BF7">
            <w:pPr>
              <w:pStyle w:val="BodyText"/>
              <w:spacing w:after="0"/>
            </w:pPr>
            <w:r w:rsidRPr="009542E8">
              <w:t xml:space="preserve">[6X6] </w:t>
            </w:r>
            <w:r w:rsidR="00DF52A9">
              <w:t xml:space="preserve">TCA </w:t>
            </w:r>
            <w:r w:rsidRPr="009542E8">
              <w:t>Secondary State covariance matrix corresponding to input primary object reference frame</w:t>
            </w:r>
          </w:p>
        </w:tc>
      </w:tr>
      <w:tr w:rsidR="00CC1A81" w:rsidRPr="009542E8" w14:paraId="10DB0ADE" w14:textId="77777777" w:rsidTr="00305BF7">
        <w:trPr>
          <w:jc w:val="center"/>
        </w:trPr>
        <w:tc>
          <w:tcPr>
            <w:tcW w:w="2335" w:type="dxa"/>
            <w:shd w:val="clear" w:color="auto" w:fill="auto"/>
          </w:tcPr>
          <w:p w14:paraId="2467E6C1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HBR</w:t>
            </w:r>
          </w:p>
        </w:tc>
        <w:tc>
          <w:tcPr>
            <w:tcW w:w="7015" w:type="dxa"/>
            <w:shd w:val="clear" w:color="auto" w:fill="auto"/>
          </w:tcPr>
          <w:p w14:paraId="410C530E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Combined hard body radius or exclusion zone of the two objects (m)</w:t>
            </w:r>
          </w:p>
        </w:tc>
      </w:tr>
      <w:tr w:rsidR="00CC1A81" w:rsidRPr="009542E8" w14:paraId="3A21EC79" w14:textId="77777777" w:rsidTr="00305BF7">
        <w:trPr>
          <w:jc w:val="center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</w:tcPr>
          <w:p w14:paraId="3E3CA4C4" w14:textId="1F782844" w:rsidR="00CC1A81" w:rsidRPr="009542E8" w:rsidRDefault="00972A68" w:rsidP="00305BF7">
            <w:pPr>
              <w:pStyle w:val="BodyText"/>
              <w:spacing w:after="0"/>
            </w:pPr>
            <w:proofErr w:type="spellStart"/>
            <w:r>
              <w:t>params</w:t>
            </w:r>
            <w:proofErr w:type="spellEnd"/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3789BCEF" w14:textId="0D668627" w:rsidR="003B5AC7" w:rsidRPr="009542E8" w:rsidRDefault="00972A68" w:rsidP="003B5AC7">
            <w:pPr>
              <w:pStyle w:val="BodyText"/>
              <w:spacing w:after="0"/>
            </w:pPr>
            <w:r>
              <w:t xml:space="preserve">A </w:t>
            </w:r>
            <w:proofErr w:type="spellStart"/>
            <w:r w:rsidR="00DF52A9">
              <w:t>Matlab</w:t>
            </w:r>
            <w:proofErr w:type="spellEnd"/>
            <w:r w:rsidR="00DF52A9">
              <w:t xml:space="preserve"> </w:t>
            </w:r>
            <w:r>
              <w:t xml:space="preserve">structure </w:t>
            </w:r>
            <w:r w:rsidR="00DF52A9">
              <w:t>holding</w:t>
            </w:r>
            <w:r>
              <w:t xml:space="preserve"> paramete</w:t>
            </w:r>
            <w:r w:rsidR="003B5AC7">
              <w:t xml:space="preserve">rs required for the calculation (e.g., </w:t>
            </w:r>
            <w:proofErr w:type="spellStart"/>
            <w:r w:rsidR="003B5AC7">
              <w:t>Lebedev</w:t>
            </w:r>
            <w:proofErr w:type="spellEnd"/>
            <w:r w:rsidR="003B5AC7">
              <w:t xml:space="preserve"> unit-sphere quadrature coefficients).</w:t>
            </w:r>
            <w:r>
              <w:t xml:space="preserve"> </w:t>
            </w:r>
            <w:r w:rsidR="003B5AC7">
              <w:t>The function default_params_Pc3D_Hall.m initiates</w:t>
            </w:r>
            <w:r>
              <w:t xml:space="preserve"> </w:t>
            </w:r>
            <w:r w:rsidR="003B5AC7">
              <w:t>these parameters to their default values.</w:t>
            </w:r>
          </w:p>
        </w:tc>
      </w:tr>
    </w:tbl>
    <w:p w14:paraId="488401E2" w14:textId="77777777" w:rsidR="00CC1A81" w:rsidRDefault="00CC1A81" w:rsidP="00CC1A81">
      <w:pPr>
        <w:pStyle w:val="BodyText"/>
      </w:pPr>
    </w:p>
    <w:p w14:paraId="0B4920B5" w14:textId="25FFA5E5" w:rsidR="00CC1A81" w:rsidRDefault="00CF09DD" w:rsidP="00CC1A81">
      <w:pPr>
        <w:pStyle w:val="BodyText"/>
      </w:pPr>
      <w:r>
        <w:t>The 3</w:t>
      </w:r>
      <w:r w:rsidR="00CC1A81">
        <w:t xml:space="preserve">D Probability of Collision </w:t>
      </w:r>
      <w:r w:rsidR="0059558A">
        <w:t>function</w:t>
      </w:r>
      <w:r w:rsidR="00CC1A81">
        <w:t xml:space="preserve"> outputs the following:</w:t>
      </w:r>
    </w:p>
    <w:p w14:paraId="0F787EEC" w14:textId="436E1872" w:rsidR="00CC1A81" w:rsidRDefault="00CC1A81" w:rsidP="00CC1A81">
      <w:pPr>
        <w:pStyle w:val="Caption"/>
      </w:pPr>
      <w:bookmarkStart w:id="17" w:name="_Toc62207133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3C01CA">
        <w:rPr>
          <w:noProof/>
        </w:rPr>
        <w:t>2</w:t>
      </w:r>
      <w:r>
        <w:rPr>
          <w:noProof/>
        </w:rPr>
        <w:fldChar w:fldCharType="end"/>
      </w:r>
      <w:r w:rsidRPr="00AD2FDD">
        <w:rPr>
          <w:noProof/>
        </w:rPr>
        <w:t xml:space="preserve">: </w:t>
      </w:r>
      <w:r w:rsidR="00CF09DD">
        <w:t>3D Probability of Collision</w:t>
      </w:r>
      <w:r w:rsidR="00CF09DD" w:rsidRPr="008203BF">
        <w:t xml:space="preserve"> </w:t>
      </w:r>
      <w:r w:rsidR="00CF09DD">
        <w:t>Function Out</w:t>
      </w:r>
      <w:r w:rsidR="00CF09DD" w:rsidRPr="008203BF">
        <w:t>put Parameters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C1A81" w:rsidRPr="009542E8" w14:paraId="7DAF7361" w14:textId="77777777" w:rsidTr="00305BF7">
        <w:trPr>
          <w:jc w:val="center"/>
        </w:trPr>
        <w:tc>
          <w:tcPr>
            <w:tcW w:w="2335" w:type="dxa"/>
            <w:shd w:val="clear" w:color="auto" w:fill="D9D9D9"/>
          </w:tcPr>
          <w:p w14:paraId="1CA9DBEF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Output Variable</w:t>
            </w:r>
          </w:p>
        </w:tc>
        <w:tc>
          <w:tcPr>
            <w:tcW w:w="7015" w:type="dxa"/>
            <w:shd w:val="clear" w:color="auto" w:fill="D9D9D9"/>
          </w:tcPr>
          <w:p w14:paraId="3B671C24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Definition</w:t>
            </w:r>
          </w:p>
        </w:tc>
      </w:tr>
      <w:tr w:rsidR="00CC1A81" w:rsidRPr="009542E8" w14:paraId="6E8530F9" w14:textId="77777777" w:rsidTr="00305BF7">
        <w:trPr>
          <w:jc w:val="center"/>
        </w:trPr>
        <w:tc>
          <w:tcPr>
            <w:tcW w:w="2335" w:type="dxa"/>
            <w:shd w:val="clear" w:color="auto" w:fill="auto"/>
          </w:tcPr>
          <w:p w14:paraId="4EEA5C6E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Pc</w:t>
            </w:r>
          </w:p>
        </w:tc>
        <w:tc>
          <w:tcPr>
            <w:tcW w:w="7015" w:type="dxa"/>
            <w:shd w:val="clear" w:color="auto" w:fill="auto"/>
          </w:tcPr>
          <w:p w14:paraId="0FE8BC1C" w14:textId="727B4731" w:rsidR="00CC1A81" w:rsidRPr="009542E8" w:rsidRDefault="00CC1A81" w:rsidP="00DF52A9">
            <w:pPr>
              <w:pStyle w:val="BodyText"/>
              <w:spacing w:after="0"/>
            </w:pPr>
            <w:r w:rsidRPr="009542E8">
              <w:t xml:space="preserve">Probability of Collision calculated using </w:t>
            </w:r>
            <w:r w:rsidR="00DF52A9">
              <w:t xml:space="preserve">the 3D-Nc method </w:t>
            </w:r>
            <w:r w:rsidRPr="009542E8">
              <w:t xml:space="preserve">approximation </w:t>
            </w:r>
            <w:r w:rsidR="00BD52AF">
              <w:t xml:space="preserve">as </w:t>
            </w:r>
            <w:r w:rsidR="00DF52A9">
              <w:t>applied to a single conjunction.</w:t>
            </w:r>
          </w:p>
        </w:tc>
      </w:tr>
      <w:tr w:rsidR="00CC1A81" w:rsidRPr="009542E8" w14:paraId="23B6F1E4" w14:textId="77777777" w:rsidTr="00305BF7">
        <w:trPr>
          <w:jc w:val="center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</w:tcPr>
          <w:p w14:paraId="06B4A025" w14:textId="204B1959" w:rsidR="00CC1A81" w:rsidRPr="009542E8" w:rsidRDefault="00BD52AF" w:rsidP="00305BF7">
            <w:pPr>
              <w:pStyle w:val="BodyText"/>
              <w:spacing w:after="0"/>
            </w:pPr>
            <w:r>
              <w:t>out</w:t>
            </w:r>
          </w:p>
        </w:tc>
        <w:tc>
          <w:tcPr>
            <w:tcW w:w="7015" w:type="dxa"/>
            <w:tcBorders>
              <w:bottom w:val="single" w:sz="4" w:space="0" w:color="auto"/>
            </w:tcBorders>
            <w:shd w:val="clear" w:color="auto" w:fill="auto"/>
          </w:tcPr>
          <w:p w14:paraId="5A705D44" w14:textId="32E040EC" w:rsidR="00CC1A81" w:rsidRPr="009542E8" w:rsidRDefault="00BD52AF" w:rsidP="00994EF1">
            <w:pPr>
              <w:pStyle w:val="BodyText"/>
              <w:spacing w:after="0"/>
            </w:pPr>
            <w:r>
              <w:t xml:space="preserve">A </w:t>
            </w:r>
            <w:proofErr w:type="spellStart"/>
            <w:r>
              <w:t>Matlab</w:t>
            </w:r>
            <w:proofErr w:type="spellEnd"/>
            <w:r>
              <w:t xml:space="preserve"> structure holding a large number of auxiliary output variables, such as arrays holding the integration time points</w:t>
            </w:r>
            <w:proofErr w:type="gramStart"/>
            <w: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and the associated estimated collision rates,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>. See the header of the Pc3D_Hall.m function for a detailed description of these auxiliary outputs. For users that only need conjunction Pc estimates, this output can be neglected.</w:t>
            </w:r>
          </w:p>
        </w:tc>
      </w:tr>
    </w:tbl>
    <w:p w14:paraId="7B83FEA9" w14:textId="77777777" w:rsidR="00CC1A81" w:rsidRDefault="00CC1A81" w:rsidP="00CC1A81">
      <w:pPr>
        <w:pStyle w:val="BodyText"/>
      </w:pPr>
    </w:p>
    <w:p w14:paraId="15F3B5EF" w14:textId="0996E3CB" w:rsidR="000E04A6" w:rsidRDefault="00994EF1" w:rsidP="00CC1A81">
      <w:pPr>
        <w:pStyle w:val="BodyText"/>
      </w:pPr>
      <w:r>
        <w:lastRenderedPageBreak/>
        <w:t>Validation cases for the</w:t>
      </w:r>
      <w:r w:rsidR="00CC1A81">
        <w:t xml:space="preserve"> algorithm are contained within the </w:t>
      </w:r>
      <w:r w:rsidR="000E04A6">
        <w:t>unit test suite for the SDK at:</w:t>
      </w:r>
    </w:p>
    <w:p w14:paraId="18F1A417" w14:textId="161DF2AE" w:rsidR="00CC1A81" w:rsidRDefault="00CC1A81" w:rsidP="000E04A6">
      <w:pPr>
        <w:pStyle w:val="BodyText"/>
        <w:ind w:firstLine="720"/>
      </w:pPr>
      <w:r>
        <w:t>..\</w:t>
      </w:r>
      <w:r w:rsidR="00D471DD">
        <w:t>SDK\</w:t>
      </w:r>
      <w:proofErr w:type="spellStart"/>
      <w:r w:rsidR="00D471DD">
        <w:t>ThreeDimensionalPc</w:t>
      </w:r>
      <w:proofErr w:type="spellEnd"/>
      <w:r>
        <w:t>\</w:t>
      </w:r>
      <w:proofErr w:type="spellStart"/>
      <w:r w:rsidR="00D471DD">
        <w:t>UnitTest</w:t>
      </w:r>
      <w:proofErr w:type="spellEnd"/>
      <w:r w:rsidR="00D471DD">
        <w:t>\</w:t>
      </w:r>
      <w:r w:rsidRPr="0077064E">
        <w:t>Pc</w:t>
      </w:r>
      <w:r w:rsidR="00D471DD">
        <w:t>3</w:t>
      </w:r>
      <w:r>
        <w:t>D_</w:t>
      </w:r>
      <w:r w:rsidR="00D471DD">
        <w:t>Hall</w:t>
      </w:r>
      <w:r w:rsidRPr="0077064E">
        <w:t>_UnitTest</w:t>
      </w:r>
      <w:r>
        <w:t>.m</w:t>
      </w:r>
    </w:p>
    <w:p w14:paraId="0930CF57" w14:textId="29CF77DC" w:rsidR="00CC1A81" w:rsidRDefault="00CC1A81" w:rsidP="00CC1A81">
      <w:pPr>
        <w:pStyle w:val="BodyText"/>
      </w:pPr>
      <w:r>
        <w:t xml:space="preserve">These test cases were developed using previously defined stressing cases developed by </w:t>
      </w:r>
      <w:proofErr w:type="spellStart"/>
      <w:r>
        <w:t>Alfano</w:t>
      </w:r>
      <w:proofErr w:type="spellEnd"/>
      <w:r>
        <w:t xml:space="preserve"> </w:t>
      </w:r>
      <w:r w:rsidR="00D471DD">
        <w:t>(</w:t>
      </w:r>
      <w:r>
        <w:t>2009</w:t>
      </w:r>
      <w:bookmarkStart w:id="18" w:name="_Ref509348204"/>
      <w:r w:rsidR="00D471DD">
        <w:t>)</w:t>
      </w:r>
      <w:r>
        <w:rPr>
          <w:rStyle w:val="EndnoteReference"/>
        </w:rPr>
        <w:endnoteReference w:id="2"/>
      </w:r>
      <w:bookmarkEnd w:id="18"/>
      <w:r>
        <w:t xml:space="preserve">, </w:t>
      </w:r>
      <w:r w:rsidR="00994EF1">
        <w:t>supplemented with</w:t>
      </w:r>
      <w:r>
        <w:t xml:space="preserve"> test cases developed by </w:t>
      </w:r>
      <w:proofErr w:type="spellStart"/>
      <w:r>
        <w:t>Omitron</w:t>
      </w:r>
      <w:proofErr w:type="spellEnd"/>
      <w:r>
        <w:t xml:space="preserve"> to test specific </w:t>
      </w:r>
      <w:r w:rsidR="00994EF1">
        <w:t>issues related to the 3D-Pc calculation</w:t>
      </w:r>
      <w:r>
        <w:t>.</w:t>
      </w:r>
    </w:p>
    <w:p w14:paraId="308EECEF" w14:textId="7C1499F8" w:rsidR="00CC1A81" w:rsidRDefault="00CC1A81" w:rsidP="00CC1A81">
      <w:pPr>
        <w:pStyle w:val="Caption"/>
      </w:pPr>
      <w:bookmarkStart w:id="19" w:name="_Toc62207134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3C01CA">
        <w:rPr>
          <w:noProof/>
        </w:rPr>
        <w:t>3</w:t>
      </w:r>
      <w:r>
        <w:rPr>
          <w:noProof/>
        </w:rPr>
        <w:fldChar w:fldCharType="end"/>
      </w:r>
      <w:r w:rsidRPr="00036BEC">
        <w:rPr>
          <w:noProof/>
        </w:rPr>
        <w:t xml:space="preserve">: </w:t>
      </w:r>
      <w:r w:rsidR="0059558A">
        <w:t>3D Probability of Collision</w:t>
      </w:r>
      <w:r w:rsidR="0059558A" w:rsidRPr="008203BF">
        <w:t xml:space="preserve"> </w:t>
      </w:r>
      <w:r>
        <w:rPr>
          <w:noProof/>
        </w:rPr>
        <w:t>Function Unit Test Cases</w:t>
      </w:r>
      <w:bookmarkEnd w:id="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C1A81" w:rsidRPr="009542E8" w14:paraId="47522B92" w14:textId="77777777" w:rsidTr="00DA28B1">
        <w:trPr>
          <w:jc w:val="center"/>
        </w:trPr>
        <w:tc>
          <w:tcPr>
            <w:tcW w:w="2335" w:type="dxa"/>
            <w:shd w:val="clear" w:color="auto" w:fill="D9D9D9"/>
          </w:tcPr>
          <w:p w14:paraId="76246CBB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 ID</w:t>
            </w:r>
          </w:p>
        </w:tc>
        <w:tc>
          <w:tcPr>
            <w:tcW w:w="7015" w:type="dxa"/>
            <w:shd w:val="clear" w:color="auto" w:fill="D9D9D9"/>
          </w:tcPr>
          <w:p w14:paraId="6E6C2EF4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Description</w:t>
            </w:r>
          </w:p>
        </w:tc>
      </w:tr>
      <w:tr w:rsidR="00CC1A81" w:rsidRPr="009542E8" w14:paraId="43EDBDE7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365E4D4B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test01</w:t>
            </w:r>
          </w:p>
        </w:tc>
        <w:tc>
          <w:tcPr>
            <w:tcW w:w="7015" w:type="dxa"/>
            <w:shd w:val="clear" w:color="auto" w:fill="auto"/>
          </w:tcPr>
          <w:p w14:paraId="5AC7F423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1</w:t>
            </w:r>
          </w:p>
        </w:tc>
      </w:tr>
      <w:tr w:rsidR="00CC1A81" w:rsidRPr="009542E8" w14:paraId="31887E06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129B22EF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test02</w:t>
            </w:r>
          </w:p>
        </w:tc>
        <w:tc>
          <w:tcPr>
            <w:tcW w:w="7015" w:type="dxa"/>
            <w:shd w:val="clear" w:color="auto" w:fill="auto"/>
          </w:tcPr>
          <w:p w14:paraId="6497E065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2</w:t>
            </w:r>
          </w:p>
        </w:tc>
      </w:tr>
      <w:tr w:rsidR="00CC1A81" w:rsidRPr="009542E8" w14:paraId="3C7954E5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5C578545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test03</w:t>
            </w:r>
          </w:p>
        </w:tc>
        <w:tc>
          <w:tcPr>
            <w:tcW w:w="7015" w:type="dxa"/>
            <w:shd w:val="clear" w:color="auto" w:fill="auto"/>
          </w:tcPr>
          <w:p w14:paraId="24A080C9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3</w:t>
            </w:r>
          </w:p>
        </w:tc>
      </w:tr>
      <w:tr w:rsidR="00CC1A81" w:rsidRPr="009542E8" w14:paraId="29361692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15BA9FAC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test04</w:t>
            </w:r>
          </w:p>
        </w:tc>
        <w:tc>
          <w:tcPr>
            <w:tcW w:w="7015" w:type="dxa"/>
            <w:shd w:val="clear" w:color="auto" w:fill="auto"/>
          </w:tcPr>
          <w:p w14:paraId="338C5217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4</w:t>
            </w:r>
          </w:p>
        </w:tc>
      </w:tr>
      <w:tr w:rsidR="00CC1A81" w:rsidRPr="009542E8" w14:paraId="19464B98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1B0CAD31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test05</w:t>
            </w:r>
          </w:p>
        </w:tc>
        <w:tc>
          <w:tcPr>
            <w:tcW w:w="7015" w:type="dxa"/>
            <w:shd w:val="clear" w:color="auto" w:fill="auto"/>
          </w:tcPr>
          <w:p w14:paraId="505CF596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5</w:t>
            </w:r>
          </w:p>
        </w:tc>
      </w:tr>
      <w:tr w:rsidR="00CC1A81" w:rsidRPr="009542E8" w14:paraId="6B8593E6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38CEC05D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test06</w:t>
            </w:r>
          </w:p>
        </w:tc>
        <w:tc>
          <w:tcPr>
            <w:tcW w:w="7015" w:type="dxa"/>
            <w:shd w:val="clear" w:color="auto" w:fill="auto"/>
          </w:tcPr>
          <w:p w14:paraId="6EB687D3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6</w:t>
            </w:r>
          </w:p>
        </w:tc>
      </w:tr>
      <w:tr w:rsidR="00CC1A81" w:rsidRPr="009542E8" w14:paraId="36358D32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7E87CE45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test07</w:t>
            </w:r>
          </w:p>
        </w:tc>
        <w:tc>
          <w:tcPr>
            <w:tcW w:w="7015" w:type="dxa"/>
            <w:shd w:val="clear" w:color="auto" w:fill="auto"/>
          </w:tcPr>
          <w:p w14:paraId="3B0126AD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7</w:t>
            </w:r>
          </w:p>
        </w:tc>
      </w:tr>
      <w:tr w:rsidR="00CC1A81" w:rsidRPr="009542E8" w14:paraId="44A34EC3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3F76828B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test08</w:t>
            </w:r>
          </w:p>
        </w:tc>
        <w:tc>
          <w:tcPr>
            <w:tcW w:w="7015" w:type="dxa"/>
            <w:shd w:val="clear" w:color="auto" w:fill="auto"/>
          </w:tcPr>
          <w:p w14:paraId="407ADDFF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8</w:t>
            </w:r>
          </w:p>
        </w:tc>
      </w:tr>
      <w:tr w:rsidR="00CC1A81" w:rsidRPr="009542E8" w14:paraId="6B327DFC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4811617C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test09</w:t>
            </w:r>
          </w:p>
        </w:tc>
        <w:tc>
          <w:tcPr>
            <w:tcW w:w="7015" w:type="dxa"/>
            <w:shd w:val="clear" w:color="auto" w:fill="auto"/>
          </w:tcPr>
          <w:p w14:paraId="5DD5B94C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9</w:t>
            </w:r>
          </w:p>
        </w:tc>
      </w:tr>
      <w:tr w:rsidR="00CC1A81" w:rsidRPr="009542E8" w14:paraId="0C448F13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0B182389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test10</w:t>
            </w:r>
          </w:p>
        </w:tc>
        <w:tc>
          <w:tcPr>
            <w:tcW w:w="7015" w:type="dxa"/>
            <w:shd w:val="clear" w:color="auto" w:fill="auto"/>
          </w:tcPr>
          <w:p w14:paraId="38180354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Alfano</w:t>
            </w:r>
            <w:proofErr w:type="spellEnd"/>
            <w:r w:rsidRPr="009542E8">
              <w:t xml:space="preserve"> test case 10</w:t>
            </w:r>
          </w:p>
        </w:tc>
      </w:tr>
      <w:tr w:rsidR="00CC1A81" w:rsidRPr="009542E8" w14:paraId="681E800B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02531400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test12</w:t>
            </w:r>
          </w:p>
        </w:tc>
        <w:tc>
          <w:tcPr>
            <w:tcW w:w="7015" w:type="dxa"/>
            <w:shd w:val="clear" w:color="auto" w:fill="auto"/>
          </w:tcPr>
          <w:p w14:paraId="4833039D" w14:textId="77777777" w:rsidR="00CC1A81" w:rsidRPr="009542E8" w:rsidRDefault="00CC1A81" w:rsidP="00305BF7">
            <w:pPr>
              <w:pStyle w:val="BodyText"/>
              <w:spacing w:after="0"/>
            </w:pPr>
            <w:proofErr w:type="spellStart"/>
            <w:r w:rsidRPr="009542E8">
              <w:t>Omitron</w:t>
            </w:r>
            <w:proofErr w:type="spellEnd"/>
            <w:r w:rsidRPr="009542E8">
              <w:t xml:space="preserve"> test case designed to test circular cross-sectional area calculation of probability of collision</w:t>
            </w:r>
          </w:p>
        </w:tc>
      </w:tr>
      <w:tr w:rsidR="00CC1A81" w:rsidRPr="009542E8" w14:paraId="1FFBB596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752306F3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test13</w:t>
            </w:r>
          </w:p>
        </w:tc>
        <w:tc>
          <w:tcPr>
            <w:tcW w:w="7015" w:type="dxa"/>
            <w:shd w:val="clear" w:color="auto" w:fill="auto"/>
          </w:tcPr>
          <w:p w14:paraId="5BCE9A20" w14:textId="63BEFF03" w:rsidR="00CC1A81" w:rsidRPr="009542E8" w:rsidRDefault="00CC1A81" w:rsidP="000E04A6">
            <w:pPr>
              <w:pStyle w:val="BodyText"/>
              <w:spacing w:after="0"/>
            </w:pPr>
            <w:proofErr w:type="spellStart"/>
            <w:r w:rsidRPr="009542E8">
              <w:t>Omitron</w:t>
            </w:r>
            <w:proofErr w:type="spellEnd"/>
            <w:r w:rsidRPr="009542E8">
              <w:t xml:space="preserve"> test case designed to test </w:t>
            </w:r>
            <w:r w:rsidR="003042EB">
              <w:t>non-positive definite (NPD) covariance matrix</w:t>
            </w:r>
            <w:r w:rsidR="000E04A6">
              <w:t xml:space="preserve"> processing</w:t>
            </w:r>
          </w:p>
        </w:tc>
      </w:tr>
      <w:tr w:rsidR="00CC1A81" w:rsidRPr="009542E8" w14:paraId="1D571A70" w14:textId="77777777" w:rsidTr="00DA28B1">
        <w:trPr>
          <w:jc w:val="center"/>
        </w:trPr>
        <w:tc>
          <w:tcPr>
            <w:tcW w:w="2335" w:type="dxa"/>
            <w:shd w:val="clear" w:color="auto" w:fill="auto"/>
          </w:tcPr>
          <w:p w14:paraId="16720DEB" w14:textId="77777777" w:rsidR="00CC1A81" w:rsidRPr="009542E8" w:rsidRDefault="00CC1A81" w:rsidP="00305BF7">
            <w:pPr>
              <w:pStyle w:val="BodyText"/>
              <w:spacing w:after="0"/>
            </w:pPr>
            <w:r w:rsidRPr="009542E8">
              <w:t>test14</w:t>
            </w:r>
          </w:p>
        </w:tc>
        <w:tc>
          <w:tcPr>
            <w:tcW w:w="7015" w:type="dxa"/>
            <w:shd w:val="clear" w:color="auto" w:fill="auto"/>
          </w:tcPr>
          <w:p w14:paraId="308C9C5B" w14:textId="50EFD322" w:rsidR="00CC1A81" w:rsidRPr="009542E8" w:rsidRDefault="00CC1A81" w:rsidP="002003C1">
            <w:pPr>
              <w:pStyle w:val="BodyText"/>
              <w:spacing w:after="0"/>
            </w:pPr>
            <w:proofErr w:type="spellStart"/>
            <w:r w:rsidRPr="009542E8">
              <w:t>Omitron</w:t>
            </w:r>
            <w:proofErr w:type="spellEnd"/>
            <w:r w:rsidRPr="009542E8">
              <w:t xml:space="preserve"> test case designed to test </w:t>
            </w:r>
            <w:r w:rsidR="000E04A6">
              <w:t>a</w:t>
            </w:r>
            <w:r w:rsidR="003042EB">
              <w:t xml:space="preserve"> high-velocity conjunction for which </w:t>
            </w:r>
            <w:r w:rsidR="002003C1">
              <w:t xml:space="preserve">the 3D-Pc estimate has been verified by Monte Carlo simulation Pc analysis, and for which </w:t>
            </w:r>
            <w:r w:rsidR="003042EB">
              <w:t xml:space="preserve">2D-Pc estimate is erroneously ~15 orders of magnitude </w:t>
            </w:r>
            <w:r w:rsidR="002003C1">
              <w:t>too small</w:t>
            </w:r>
            <w:r w:rsidR="003042EB">
              <w:t>.</w:t>
            </w:r>
          </w:p>
        </w:tc>
      </w:tr>
    </w:tbl>
    <w:p w14:paraId="466EDE41" w14:textId="77777777" w:rsidR="00CC1A81" w:rsidRDefault="00CC1A81" w:rsidP="00CC1A81">
      <w:bookmarkStart w:id="20" w:name="_Toc506456192"/>
    </w:p>
    <w:p w14:paraId="7EF3B85B" w14:textId="7B587262" w:rsidR="00CC1A81" w:rsidRPr="009542E8" w:rsidRDefault="00CC1A81" w:rsidP="007F4B19">
      <w:pPr>
        <w:pStyle w:val="Heading3"/>
        <w:rPr>
          <w:rFonts w:eastAsia="Times New Roman" w:cs="Arial"/>
          <w:b w:val="0"/>
          <w:sz w:val="28"/>
          <w:szCs w:val="26"/>
        </w:rPr>
      </w:pPr>
      <w:r>
        <w:br w:type="page"/>
      </w:r>
      <w:bookmarkEnd w:id="20"/>
    </w:p>
    <w:p w14:paraId="66F48081" w14:textId="77777777" w:rsidR="00CC1A81" w:rsidRDefault="00CC1A81" w:rsidP="00CC1A81">
      <w:pPr>
        <w:pStyle w:val="Heading1"/>
      </w:pPr>
      <w:bookmarkStart w:id="21" w:name="_Toc62207130"/>
      <w:r w:rsidRPr="00B76CCD">
        <w:lastRenderedPageBreak/>
        <w:t>Acronyms</w:t>
      </w:r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C20256" w:rsidRPr="009542E8" w14:paraId="207C927A" w14:textId="77777777" w:rsidTr="00305BF7">
        <w:tc>
          <w:tcPr>
            <w:tcW w:w="2700" w:type="dxa"/>
            <w:shd w:val="clear" w:color="auto" w:fill="auto"/>
          </w:tcPr>
          <w:p w14:paraId="18642ED9" w14:textId="1127B880" w:rsidR="00C20256" w:rsidRPr="009542E8" w:rsidRDefault="00C20256" w:rsidP="00305BF7">
            <w:pPr>
              <w:spacing w:after="0"/>
            </w:pPr>
            <w:r>
              <w:t>2D</w:t>
            </w:r>
          </w:p>
        </w:tc>
        <w:tc>
          <w:tcPr>
            <w:tcW w:w="6650" w:type="dxa"/>
            <w:shd w:val="clear" w:color="auto" w:fill="auto"/>
          </w:tcPr>
          <w:p w14:paraId="5665F533" w14:textId="5FB814AF" w:rsidR="00C20256" w:rsidRPr="009542E8" w:rsidRDefault="00C20256" w:rsidP="00305BF7">
            <w:pPr>
              <w:spacing w:after="0"/>
            </w:pPr>
            <w:r>
              <w:t>T</w:t>
            </w:r>
            <w:r w:rsidR="00B926E7">
              <w:t>wo D</w:t>
            </w:r>
            <w:r>
              <w:t>imensional</w:t>
            </w:r>
          </w:p>
        </w:tc>
      </w:tr>
      <w:tr w:rsidR="00C20256" w:rsidRPr="009542E8" w14:paraId="3B95E1E1" w14:textId="77777777" w:rsidTr="00305BF7">
        <w:tc>
          <w:tcPr>
            <w:tcW w:w="2700" w:type="dxa"/>
            <w:shd w:val="clear" w:color="auto" w:fill="auto"/>
          </w:tcPr>
          <w:p w14:paraId="673B6280" w14:textId="1BF2849E" w:rsidR="00C20256" w:rsidRPr="009542E8" w:rsidRDefault="00C20256" w:rsidP="00305BF7">
            <w:pPr>
              <w:spacing w:after="0"/>
            </w:pPr>
            <w:r>
              <w:t>3D</w:t>
            </w:r>
          </w:p>
        </w:tc>
        <w:tc>
          <w:tcPr>
            <w:tcW w:w="6650" w:type="dxa"/>
            <w:shd w:val="clear" w:color="auto" w:fill="auto"/>
          </w:tcPr>
          <w:p w14:paraId="6C3EAD93" w14:textId="7040CBD7" w:rsidR="00C20256" w:rsidRPr="009542E8" w:rsidRDefault="00C20256" w:rsidP="00305BF7">
            <w:pPr>
              <w:spacing w:after="0"/>
            </w:pPr>
            <w:r>
              <w:t>T</w:t>
            </w:r>
            <w:r w:rsidR="00B926E7">
              <w:t>hree D</w:t>
            </w:r>
            <w:r>
              <w:t>imensional</w:t>
            </w:r>
          </w:p>
        </w:tc>
      </w:tr>
      <w:tr w:rsidR="00CC1A81" w:rsidRPr="009542E8" w14:paraId="6A9D53FE" w14:textId="77777777" w:rsidTr="00305BF7">
        <w:tc>
          <w:tcPr>
            <w:tcW w:w="2700" w:type="dxa"/>
            <w:shd w:val="clear" w:color="auto" w:fill="auto"/>
          </w:tcPr>
          <w:p w14:paraId="4CF2C209" w14:textId="77777777" w:rsidR="00CC1A81" w:rsidRPr="009542E8" w:rsidRDefault="00CC1A81" w:rsidP="00305BF7">
            <w:pPr>
              <w:spacing w:after="0"/>
            </w:pPr>
            <w:r w:rsidRPr="009542E8">
              <w:t>CARA</w:t>
            </w:r>
          </w:p>
        </w:tc>
        <w:tc>
          <w:tcPr>
            <w:tcW w:w="6650" w:type="dxa"/>
            <w:shd w:val="clear" w:color="auto" w:fill="auto"/>
          </w:tcPr>
          <w:p w14:paraId="180A9FB3" w14:textId="77777777" w:rsidR="00CC1A81" w:rsidRPr="009542E8" w:rsidRDefault="00CC1A81" w:rsidP="00305BF7">
            <w:pPr>
              <w:spacing w:after="0"/>
            </w:pPr>
            <w:r w:rsidRPr="009542E8">
              <w:t>Conjunction Assessment Risk Analysis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DA28B1" w:rsidRPr="0034618F" w14:paraId="7C74ACC9" w14:textId="77777777" w:rsidTr="00EA0676">
        <w:tc>
          <w:tcPr>
            <w:tcW w:w="2700" w:type="dxa"/>
          </w:tcPr>
          <w:p w14:paraId="587B24C4" w14:textId="77777777" w:rsidR="00DA28B1" w:rsidRPr="0034618F" w:rsidRDefault="00DA28B1" w:rsidP="00EA0676">
            <w:pPr>
              <w:rPr>
                <w:rFonts w:cstheme="minorHAnsi"/>
              </w:rPr>
            </w:pPr>
            <w:r w:rsidRPr="0034618F">
              <w:rPr>
                <w:rFonts w:cstheme="minorHAnsi"/>
              </w:rPr>
              <w:t>CDM</w:t>
            </w:r>
          </w:p>
        </w:tc>
        <w:tc>
          <w:tcPr>
            <w:tcW w:w="6650" w:type="dxa"/>
          </w:tcPr>
          <w:p w14:paraId="073E4F4B" w14:textId="77777777" w:rsidR="00DA28B1" w:rsidRPr="0034618F" w:rsidRDefault="00DA28B1" w:rsidP="00EA0676">
            <w:pPr>
              <w:rPr>
                <w:rFonts w:cstheme="minorHAnsi"/>
              </w:rPr>
            </w:pPr>
            <w:r w:rsidRPr="0034618F">
              <w:rPr>
                <w:rFonts w:cstheme="minorHAnsi"/>
              </w:rPr>
              <w:t>Conjunction Data Message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CC1A81" w:rsidRPr="009542E8" w14:paraId="3F0EA339" w14:textId="77777777" w:rsidTr="00305BF7">
        <w:tc>
          <w:tcPr>
            <w:tcW w:w="2700" w:type="dxa"/>
            <w:shd w:val="clear" w:color="auto" w:fill="auto"/>
          </w:tcPr>
          <w:p w14:paraId="1898953A" w14:textId="77777777" w:rsidR="00CC1A81" w:rsidRPr="009542E8" w:rsidRDefault="00CC1A81" w:rsidP="00305BF7">
            <w:pPr>
              <w:spacing w:after="0"/>
            </w:pPr>
            <w:r w:rsidRPr="009542E8">
              <w:t>ECI</w:t>
            </w:r>
          </w:p>
        </w:tc>
        <w:tc>
          <w:tcPr>
            <w:tcW w:w="6650" w:type="dxa"/>
            <w:shd w:val="clear" w:color="auto" w:fill="auto"/>
          </w:tcPr>
          <w:p w14:paraId="30A18240" w14:textId="77777777" w:rsidR="00CC1A81" w:rsidRPr="009542E8" w:rsidRDefault="00CC1A81" w:rsidP="00305BF7">
            <w:pPr>
              <w:spacing w:after="0"/>
            </w:pPr>
            <w:r w:rsidRPr="009542E8">
              <w:t>Earth Centered Inertial</w:t>
            </w:r>
          </w:p>
        </w:tc>
      </w:tr>
      <w:tr w:rsidR="00CC1A81" w:rsidRPr="009542E8" w14:paraId="44C8A5C2" w14:textId="77777777" w:rsidTr="00305BF7">
        <w:tc>
          <w:tcPr>
            <w:tcW w:w="2700" w:type="dxa"/>
            <w:shd w:val="clear" w:color="auto" w:fill="auto"/>
          </w:tcPr>
          <w:p w14:paraId="2F98909C" w14:textId="77777777" w:rsidR="00CC1A81" w:rsidRPr="009542E8" w:rsidRDefault="00CC1A81" w:rsidP="00305BF7">
            <w:pPr>
              <w:spacing w:after="0"/>
            </w:pPr>
            <w:r w:rsidRPr="009542E8">
              <w:t>HBR</w:t>
            </w:r>
          </w:p>
        </w:tc>
        <w:tc>
          <w:tcPr>
            <w:tcW w:w="6650" w:type="dxa"/>
            <w:shd w:val="clear" w:color="auto" w:fill="auto"/>
          </w:tcPr>
          <w:p w14:paraId="0AF06E6B" w14:textId="77777777" w:rsidR="00CC1A81" w:rsidRPr="009542E8" w:rsidRDefault="00CC1A81" w:rsidP="00305BF7">
            <w:pPr>
              <w:spacing w:after="0"/>
            </w:pPr>
            <w:r w:rsidRPr="009542E8">
              <w:t>Hard Body Radius</w:t>
            </w:r>
          </w:p>
        </w:tc>
      </w:tr>
      <w:tr w:rsidR="00DA28B1" w:rsidRPr="009542E8" w14:paraId="06BBC064" w14:textId="77777777" w:rsidTr="00305BF7">
        <w:tc>
          <w:tcPr>
            <w:tcW w:w="2700" w:type="dxa"/>
            <w:shd w:val="clear" w:color="auto" w:fill="auto"/>
          </w:tcPr>
          <w:p w14:paraId="66664E45" w14:textId="081278C0" w:rsidR="00DA28B1" w:rsidRPr="009542E8" w:rsidRDefault="00DA28B1" w:rsidP="00DA28B1">
            <w:pPr>
              <w:spacing w:after="0"/>
            </w:pPr>
            <w:r w:rsidRPr="0034618F">
              <w:rPr>
                <w:rFonts w:cstheme="minorHAnsi"/>
              </w:rPr>
              <w:t>NPD</w:t>
            </w:r>
          </w:p>
        </w:tc>
        <w:tc>
          <w:tcPr>
            <w:tcW w:w="6650" w:type="dxa"/>
            <w:shd w:val="clear" w:color="auto" w:fill="auto"/>
          </w:tcPr>
          <w:p w14:paraId="7DD59B82" w14:textId="47AF0550" w:rsidR="00DA28B1" w:rsidRPr="009542E8" w:rsidRDefault="00DA28B1" w:rsidP="00DA28B1">
            <w:pPr>
              <w:spacing w:after="0"/>
            </w:pPr>
            <w:r w:rsidRPr="0034618F">
              <w:rPr>
                <w:rFonts w:cstheme="minorHAnsi"/>
              </w:rPr>
              <w:t>Non-Positive Definite</w:t>
            </w:r>
          </w:p>
        </w:tc>
      </w:tr>
      <w:tr w:rsidR="00CC1A81" w:rsidRPr="009542E8" w14:paraId="7AB49D45" w14:textId="77777777" w:rsidTr="00305BF7">
        <w:tc>
          <w:tcPr>
            <w:tcW w:w="2700" w:type="dxa"/>
            <w:shd w:val="clear" w:color="auto" w:fill="auto"/>
          </w:tcPr>
          <w:p w14:paraId="608BE7BB" w14:textId="77777777" w:rsidR="00CC1A81" w:rsidRPr="009542E8" w:rsidRDefault="00CC1A81" w:rsidP="00305BF7">
            <w:pPr>
              <w:spacing w:after="0"/>
            </w:pPr>
            <w:r w:rsidRPr="009542E8">
              <w:t>Pc</w:t>
            </w:r>
          </w:p>
        </w:tc>
        <w:tc>
          <w:tcPr>
            <w:tcW w:w="6650" w:type="dxa"/>
            <w:shd w:val="clear" w:color="auto" w:fill="auto"/>
          </w:tcPr>
          <w:p w14:paraId="7245CC1E" w14:textId="77777777" w:rsidR="00CC1A81" w:rsidRPr="009542E8" w:rsidRDefault="00CC1A81" w:rsidP="00305BF7">
            <w:pPr>
              <w:spacing w:after="0"/>
            </w:pPr>
            <w:r w:rsidRPr="009542E8">
              <w:t>Probability of Collision</w:t>
            </w:r>
          </w:p>
        </w:tc>
      </w:tr>
      <w:tr w:rsidR="00CC1A81" w:rsidRPr="009542E8" w14:paraId="42F688EF" w14:textId="77777777" w:rsidTr="00305BF7">
        <w:tc>
          <w:tcPr>
            <w:tcW w:w="2700" w:type="dxa"/>
            <w:shd w:val="clear" w:color="auto" w:fill="auto"/>
          </w:tcPr>
          <w:p w14:paraId="7E02625D" w14:textId="77777777" w:rsidR="00CC1A81" w:rsidRPr="009542E8" w:rsidRDefault="00CC1A81" w:rsidP="00305BF7">
            <w:pPr>
              <w:spacing w:after="0"/>
            </w:pPr>
            <w:r w:rsidRPr="009542E8">
              <w:t>SDK</w:t>
            </w:r>
          </w:p>
        </w:tc>
        <w:tc>
          <w:tcPr>
            <w:tcW w:w="6650" w:type="dxa"/>
            <w:shd w:val="clear" w:color="auto" w:fill="auto"/>
          </w:tcPr>
          <w:p w14:paraId="3C848531" w14:textId="65427161" w:rsidR="00403A62" w:rsidRPr="009542E8" w:rsidRDefault="00CC1A81" w:rsidP="00305BF7">
            <w:pPr>
              <w:spacing w:after="0"/>
            </w:pPr>
            <w:r w:rsidRPr="009542E8">
              <w:t>Software Development Kit</w:t>
            </w:r>
          </w:p>
        </w:tc>
      </w:tr>
      <w:tr w:rsidR="00403A62" w:rsidRPr="009542E8" w14:paraId="70D65084" w14:textId="77777777" w:rsidTr="00305BF7">
        <w:tc>
          <w:tcPr>
            <w:tcW w:w="2700" w:type="dxa"/>
            <w:shd w:val="clear" w:color="auto" w:fill="auto"/>
          </w:tcPr>
          <w:p w14:paraId="5AE5815B" w14:textId="53C1550F" w:rsidR="00403A62" w:rsidRPr="009542E8" w:rsidRDefault="00403A62" w:rsidP="00403A62">
            <w:pPr>
              <w:spacing w:after="0"/>
            </w:pPr>
            <w:r>
              <w:t>TCA</w:t>
            </w:r>
          </w:p>
        </w:tc>
        <w:tc>
          <w:tcPr>
            <w:tcW w:w="6650" w:type="dxa"/>
            <w:shd w:val="clear" w:color="auto" w:fill="auto"/>
          </w:tcPr>
          <w:p w14:paraId="31A061D7" w14:textId="442DF08B" w:rsidR="00403A62" w:rsidRPr="009542E8" w:rsidRDefault="00403A62" w:rsidP="00403A62">
            <w:pPr>
              <w:spacing w:after="0"/>
            </w:pPr>
            <w:r>
              <w:t>T</w:t>
            </w:r>
            <w:r w:rsidR="00B926E7">
              <w:t>ime of Closest A</w:t>
            </w:r>
            <w:r>
              <w:t>pproach</w:t>
            </w:r>
          </w:p>
        </w:tc>
      </w:tr>
    </w:tbl>
    <w:p w14:paraId="06F01464" w14:textId="77777777" w:rsidR="00CC1A81" w:rsidRPr="00B76CCD" w:rsidRDefault="00CC1A81" w:rsidP="00CC1A81">
      <w:pPr>
        <w:rPr>
          <w:rFonts w:ascii="Arial" w:hAnsi="Arial" w:cs="Arial"/>
        </w:rPr>
      </w:pPr>
    </w:p>
    <w:p w14:paraId="434AF275" w14:textId="77777777" w:rsidR="00CC1A81" w:rsidRPr="00B76CCD" w:rsidRDefault="00CC1A81" w:rsidP="00CC1A81">
      <w:pPr>
        <w:rPr>
          <w:rFonts w:ascii="Arial" w:hAnsi="Arial" w:cs="Arial"/>
        </w:rPr>
      </w:pPr>
      <w:r w:rsidRPr="00B76CCD">
        <w:rPr>
          <w:rFonts w:ascii="Arial" w:hAnsi="Arial" w:cs="Arial"/>
        </w:rPr>
        <w:br w:type="page"/>
      </w:r>
    </w:p>
    <w:p w14:paraId="2D4439D6" w14:textId="77777777" w:rsidR="00CC1A81" w:rsidRPr="00B76CCD" w:rsidRDefault="00CC1A81" w:rsidP="00CC1A81">
      <w:pPr>
        <w:pStyle w:val="Heading1"/>
      </w:pPr>
      <w:bookmarkStart w:id="22" w:name="_Toc62207131"/>
      <w:r w:rsidRPr="00B76CCD">
        <w:lastRenderedPageBreak/>
        <w:t>References</w:t>
      </w:r>
      <w:bookmarkEnd w:id="22"/>
    </w:p>
    <w:p w14:paraId="445B111F" w14:textId="77777777" w:rsidR="00C20697" w:rsidRPr="00B93B96" w:rsidRDefault="00C20697" w:rsidP="00736100">
      <w:pPr>
        <w:rPr>
          <w:b/>
        </w:rPr>
      </w:pPr>
    </w:p>
    <w:sectPr w:rsidR="00C20697" w:rsidRPr="00B93B9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C7DB5" w14:textId="77777777" w:rsidR="00850A91" w:rsidRDefault="00850A91" w:rsidP="00C20697">
      <w:pPr>
        <w:spacing w:after="0" w:line="240" w:lineRule="auto"/>
      </w:pPr>
      <w:r>
        <w:separator/>
      </w:r>
    </w:p>
  </w:endnote>
  <w:endnote w:type="continuationSeparator" w:id="0">
    <w:p w14:paraId="10AF042B" w14:textId="77777777" w:rsidR="00850A91" w:rsidRDefault="00850A91" w:rsidP="00C20697">
      <w:pPr>
        <w:spacing w:after="0" w:line="240" w:lineRule="auto"/>
      </w:pPr>
      <w:r>
        <w:continuationSeparator/>
      </w:r>
    </w:p>
  </w:endnote>
  <w:endnote w:id="1">
    <w:p w14:paraId="3C5390E4" w14:textId="13D9369E" w:rsidR="00A572FC" w:rsidRPr="00A572FC" w:rsidRDefault="00A572FC" w:rsidP="00441D42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    Hall, D. T. </w:t>
      </w:r>
      <w:r>
        <w:rPr>
          <w:i/>
        </w:rPr>
        <w:t>Expected Collision Rates for Tracked Satellites</w:t>
      </w:r>
      <w:r>
        <w:t>. Journal of Spacecraft and Rockets</w:t>
      </w:r>
      <w:r w:rsidR="00441D42">
        <w:t>, In Press, Jan 2021.</w:t>
      </w:r>
    </w:p>
  </w:endnote>
  <w:endnote w:id="2">
    <w:p w14:paraId="14894AFA" w14:textId="77777777" w:rsidR="00A572FC" w:rsidRPr="00B32971" w:rsidRDefault="00A572FC" w:rsidP="00CC1A81">
      <w:pPr>
        <w:pStyle w:val="EndnoteText"/>
        <w:ind w:left="360" w:hanging="360"/>
      </w:pPr>
      <w:r>
        <w:rPr>
          <w:rStyle w:val="EndnoteReference"/>
        </w:rPr>
        <w:endnoteRef/>
      </w:r>
      <w:r>
        <w:t xml:space="preserve"> </w:t>
      </w:r>
      <w:r>
        <w:tab/>
      </w:r>
      <w:proofErr w:type="spellStart"/>
      <w:r>
        <w:t>Alfano</w:t>
      </w:r>
      <w:proofErr w:type="spellEnd"/>
      <w:r>
        <w:t xml:space="preserve">, S. </w:t>
      </w:r>
      <w:r>
        <w:rPr>
          <w:i/>
        </w:rPr>
        <w:t>Satellite Conjunction Monte Carlo Analysis.</w:t>
      </w:r>
      <w:r>
        <w:t xml:space="preserve"> AAS 09-233. 2009.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B3CE7" w14:textId="77777777" w:rsidR="00A572FC" w:rsidRPr="004C1EFC" w:rsidRDefault="00A572FC" w:rsidP="00305BF7">
    <w:pPr>
      <w:ind w:right="72"/>
      <w:rPr>
        <w:sz w:val="20"/>
        <w:szCs w:val="20"/>
      </w:rPr>
    </w:pPr>
  </w:p>
  <w:p w14:paraId="70DC5EA7" w14:textId="41719EDE" w:rsidR="00A572FC" w:rsidRDefault="00A572FC" w:rsidP="00305B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28B1">
      <w:rPr>
        <w:noProof/>
      </w:rPr>
      <w:t>iii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Times New Roman"/>
        <w:bCs/>
        <w:color w:val="000000" w:themeColor="text1"/>
        <w:sz w:val="24"/>
        <w:szCs w:val="18"/>
      </w:rPr>
      <w:id w:val="1154257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A4DD3" w14:textId="77777777" w:rsidR="00A572FC" w:rsidRPr="004C1EFC" w:rsidRDefault="00A572FC" w:rsidP="00305BF7">
        <w:pPr>
          <w:ind w:right="72"/>
          <w:rPr>
            <w:sz w:val="20"/>
            <w:szCs w:val="20"/>
          </w:rPr>
        </w:pPr>
      </w:p>
      <w:p w14:paraId="23283B18" w14:textId="5B557B11" w:rsidR="00A572FC" w:rsidRDefault="00A572FC" w:rsidP="00305B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8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35C4E" w14:textId="77777777" w:rsidR="00850A91" w:rsidRDefault="00850A91" w:rsidP="00C20697">
      <w:pPr>
        <w:spacing w:after="0" w:line="240" w:lineRule="auto"/>
      </w:pPr>
      <w:r>
        <w:separator/>
      </w:r>
    </w:p>
  </w:footnote>
  <w:footnote w:type="continuationSeparator" w:id="0">
    <w:p w14:paraId="7B744E4B" w14:textId="77777777" w:rsidR="00850A91" w:rsidRDefault="00850A91" w:rsidP="00C20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0DD"/>
    <w:multiLevelType w:val="hybridMultilevel"/>
    <w:tmpl w:val="9D3A3F38"/>
    <w:lvl w:ilvl="0" w:tplc="91FE4E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1570"/>
    <w:multiLevelType w:val="hybridMultilevel"/>
    <w:tmpl w:val="1E5CF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67457"/>
    <w:multiLevelType w:val="multilevel"/>
    <w:tmpl w:val="3D66D5BC"/>
    <w:styleLink w:val="Style2"/>
    <w:lvl w:ilvl="0">
      <w:start w:val="1"/>
      <w:numFmt w:val="decimal"/>
      <w:lvlText w:val="%1.0"/>
      <w:lvlJc w:val="left"/>
      <w:pPr>
        <w:ind w:left="720" w:hanging="720"/>
      </w:pPr>
      <w:rPr>
        <w:rFonts w:ascii="Calibri" w:hAnsi="Calibri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7110DD1"/>
    <w:multiLevelType w:val="hybridMultilevel"/>
    <w:tmpl w:val="75C6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B4DB8"/>
    <w:multiLevelType w:val="hybridMultilevel"/>
    <w:tmpl w:val="80F0FA74"/>
    <w:lvl w:ilvl="0" w:tplc="FEE07282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192C7320"/>
    <w:multiLevelType w:val="hybridMultilevel"/>
    <w:tmpl w:val="76D0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70FF"/>
    <w:multiLevelType w:val="hybridMultilevel"/>
    <w:tmpl w:val="5928C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EA42F9"/>
    <w:multiLevelType w:val="multilevel"/>
    <w:tmpl w:val="30A45532"/>
    <w:styleLink w:val="Style3"/>
    <w:lvl w:ilvl="0">
      <w:start w:val="1"/>
      <w:numFmt w:val="decimal"/>
      <w:lvlText w:val="%1.0"/>
      <w:lvlJc w:val="left"/>
      <w:pPr>
        <w:ind w:left="720" w:hanging="72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74D43D7"/>
    <w:multiLevelType w:val="hybridMultilevel"/>
    <w:tmpl w:val="AFFA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9156F"/>
    <w:multiLevelType w:val="hybridMultilevel"/>
    <w:tmpl w:val="EF22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D1A36"/>
    <w:multiLevelType w:val="hybridMultilevel"/>
    <w:tmpl w:val="9B8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C16E2"/>
    <w:multiLevelType w:val="hybridMultilevel"/>
    <w:tmpl w:val="3E06BF7E"/>
    <w:lvl w:ilvl="0" w:tplc="E79A7B66">
      <w:start w:val="1"/>
      <w:numFmt w:val="decimal"/>
      <w:lvlText w:val="%1.0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pStyle w:val="Heading9"/>
      <w:lvlText w:val="%9."/>
      <w:lvlJc w:val="right"/>
      <w:pPr>
        <w:ind w:left="7560" w:hanging="180"/>
      </w:pPr>
    </w:lvl>
  </w:abstractNum>
  <w:abstractNum w:abstractNumId="12" w15:restartNumberingAfterBreak="0">
    <w:nsid w:val="5ACD22DA"/>
    <w:multiLevelType w:val="multilevel"/>
    <w:tmpl w:val="3BB63826"/>
    <w:lvl w:ilvl="0">
      <w:start w:val="1"/>
      <w:numFmt w:val="decimal"/>
      <w:pStyle w:val="Heading1"/>
      <w:lvlText w:val="%1.0"/>
      <w:lvlJc w:val="left"/>
      <w:pPr>
        <w:ind w:left="6480" w:hanging="360"/>
      </w:pPr>
      <w:rPr>
        <w:rFonts w:ascii="Arial" w:hAnsi="Arial" w:cs="Arial" w:hint="default"/>
        <w:b/>
        <w:bCs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044" w:hanging="50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4050" w:hanging="720"/>
      </w:pPr>
      <w:rPr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  <w:rPr>
        <w:rFonts w:cs="Times New Roman"/>
        <w:b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13" w15:restartNumberingAfterBreak="0">
    <w:nsid w:val="5C9A465A"/>
    <w:multiLevelType w:val="hybridMultilevel"/>
    <w:tmpl w:val="6E5C28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FE12FE"/>
    <w:multiLevelType w:val="hybridMultilevel"/>
    <w:tmpl w:val="708C4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pStyle w:val="Heading7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1B1AC3"/>
    <w:multiLevelType w:val="hybridMultilevel"/>
    <w:tmpl w:val="29FAD1D2"/>
    <w:lvl w:ilvl="0" w:tplc="ADDE9DC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806F6"/>
    <w:multiLevelType w:val="hybridMultilevel"/>
    <w:tmpl w:val="802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32EA6"/>
    <w:multiLevelType w:val="hybridMultilevel"/>
    <w:tmpl w:val="8DC6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E7EF7"/>
    <w:multiLevelType w:val="hybridMultilevel"/>
    <w:tmpl w:val="2FBE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8"/>
  </w:num>
  <w:num w:numId="8">
    <w:abstractNumId w:val="17"/>
  </w:num>
  <w:num w:numId="9">
    <w:abstractNumId w:val="13"/>
  </w:num>
  <w:num w:numId="10">
    <w:abstractNumId w:val="6"/>
  </w:num>
  <w:num w:numId="11">
    <w:abstractNumId w:val="3"/>
  </w:num>
  <w:num w:numId="12">
    <w:abstractNumId w:val="0"/>
  </w:num>
  <w:num w:numId="13">
    <w:abstractNumId w:val="16"/>
  </w:num>
  <w:num w:numId="14">
    <w:abstractNumId w:val="18"/>
  </w:num>
  <w:num w:numId="15">
    <w:abstractNumId w:val="15"/>
  </w:num>
  <w:num w:numId="16">
    <w:abstractNumId w:val="5"/>
  </w:num>
  <w:num w:numId="17">
    <w:abstractNumId w:val="9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7D"/>
    <w:rsid w:val="000E04A6"/>
    <w:rsid w:val="001F33A2"/>
    <w:rsid w:val="001F4FF6"/>
    <w:rsid w:val="002003C1"/>
    <w:rsid w:val="00226B01"/>
    <w:rsid w:val="0023637D"/>
    <w:rsid w:val="00293352"/>
    <w:rsid w:val="002E2D45"/>
    <w:rsid w:val="003042EB"/>
    <w:rsid w:val="00305BF7"/>
    <w:rsid w:val="00346305"/>
    <w:rsid w:val="00372C08"/>
    <w:rsid w:val="003B5AC7"/>
    <w:rsid w:val="003C01CA"/>
    <w:rsid w:val="00403A62"/>
    <w:rsid w:val="00441D42"/>
    <w:rsid w:val="004E797B"/>
    <w:rsid w:val="0059558A"/>
    <w:rsid w:val="005A6772"/>
    <w:rsid w:val="005D29D3"/>
    <w:rsid w:val="005F79EE"/>
    <w:rsid w:val="00692479"/>
    <w:rsid w:val="006B68CC"/>
    <w:rsid w:val="00720155"/>
    <w:rsid w:val="00736100"/>
    <w:rsid w:val="00756F6D"/>
    <w:rsid w:val="007C72BB"/>
    <w:rsid w:val="007F4B19"/>
    <w:rsid w:val="00840E62"/>
    <w:rsid w:val="00850A91"/>
    <w:rsid w:val="00920476"/>
    <w:rsid w:val="00972A68"/>
    <w:rsid w:val="00994EF1"/>
    <w:rsid w:val="009C44C6"/>
    <w:rsid w:val="00A01040"/>
    <w:rsid w:val="00A572FC"/>
    <w:rsid w:val="00A84652"/>
    <w:rsid w:val="00AC5741"/>
    <w:rsid w:val="00B022AD"/>
    <w:rsid w:val="00B926E7"/>
    <w:rsid w:val="00B93B96"/>
    <w:rsid w:val="00BC0974"/>
    <w:rsid w:val="00BD52AF"/>
    <w:rsid w:val="00C20256"/>
    <w:rsid w:val="00C20697"/>
    <w:rsid w:val="00C96702"/>
    <w:rsid w:val="00CC1A81"/>
    <w:rsid w:val="00CC643C"/>
    <w:rsid w:val="00CF09DD"/>
    <w:rsid w:val="00D101EE"/>
    <w:rsid w:val="00D471DD"/>
    <w:rsid w:val="00DA28B1"/>
    <w:rsid w:val="00DF52A9"/>
    <w:rsid w:val="00E45A14"/>
    <w:rsid w:val="00E46B77"/>
    <w:rsid w:val="00EC6633"/>
    <w:rsid w:val="00F7189B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69A2"/>
  <w15:chartTrackingRefBased/>
  <w15:docId w15:val="{AEE625DB-8D83-48A7-AAF4-CDA7E9B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0697"/>
    <w:pPr>
      <w:keepNext/>
      <w:keepLines/>
      <w:numPr>
        <w:numId w:val="6"/>
      </w:numPr>
      <w:tabs>
        <w:tab w:val="left" w:pos="0"/>
        <w:tab w:val="left" w:pos="90"/>
        <w:tab w:val="left" w:pos="630"/>
      </w:tabs>
      <w:spacing w:before="480" w:after="0" w:line="240" w:lineRule="auto"/>
      <w:ind w:left="0" w:firstLine="0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Heading1"/>
    <w:next w:val="Normal"/>
    <w:link w:val="Heading2Char"/>
    <w:autoRedefine/>
    <w:uiPriority w:val="1"/>
    <w:unhideWhenUsed/>
    <w:qFormat/>
    <w:rsid w:val="00C20697"/>
    <w:pPr>
      <w:numPr>
        <w:ilvl w:val="1"/>
      </w:numPr>
      <w:tabs>
        <w:tab w:val="clear" w:pos="0"/>
        <w:tab w:val="clear" w:pos="90"/>
        <w:tab w:val="clear" w:pos="630"/>
        <w:tab w:val="left" w:pos="1080"/>
      </w:tabs>
      <w:spacing w:before="200"/>
      <w:outlineLvl w:val="1"/>
    </w:pPr>
    <w:rPr>
      <w:bCs/>
      <w:color w:val="000000"/>
      <w:sz w:val="28"/>
      <w:szCs w:val="26"/>
      <w14:textFill>
        <w14:solidFill>
          <w14:srgbClr w14:val="000000">
            <w14:lumMod w14:val="75000"/>
          </w14:srgbClr>
        </w14:solidFill>
      </w14:textFill>
    </w:rPr>
  </w:style>
  <w:style w:type="paragraph" w:styleId="Heading3">
    <w:name w:val="heading 3"/>
    <w:aliases w:val="FDSS - II Heading 3"/>
    <w:basedOn w:val="Normal"/>
    <w:next w:val="Normal"/>
    <w:link w:val="Heading3Char"/>
    <w:uiPriority w:val="1"/>
    <w:unhideWhenUsed/>
    <w:qFormat/>
    <w:rsid w:val="00C20697"/>
    <w:pPr>
      <w:keepNext/>
      <w:keepLines/>
      <w:numPr>
        <w:ilvl w:val="2"/>
        <w:numId w:val="6"/>
      </w:numPr>
      <w:tabs>
        <w:tab w:val="left" w:leader="dot" w:pos="1440"/>
      </w:tabs>
      <w:spacing w:before="120" w:after="0" w:line="240" w:lineRule="auto"/>
      <w:ind w:left="1260"/>
      <w:outlineLvl w:val="2"/>
    </w:pPr>
    <w:rPr>
      <w:rFonts w:ascii="Arial" w:eastAsiaTheme="majorEastAsia" w:hAnsi="Arial" w:cs="Times New Roman"/>
      <w:b/>
      <w:color w:val="000000" w:themeColor="text1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697"/>
    <w:pPr>
      <w:keepNext/>
      <w:keepLines/>
      <w:numPr>
        <w:ilvl w:val="3"/>
        <w:numId w:val="6"/>
      </w:numPr>
      <w:spacing w:before="40" w:after="0"/>
      <w:ind w:left="1440" w:right="612"/>
      <w:outlineLvl w:val="3"/>
    </w:pPr>
    <w:rPr>
      <w:rFonts w:ascii="Arial" w:eastAsiaTheme="majorEastAsia" w:hAnsi="Arial" w:cs="Arial"/>
      <w:b/>
      <w:i/>
      <w:sz w:val="24"/>
      <w:szCs w:val="1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069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06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20697"/>
    <w:pPr>
      <w:keepNext/>
      <w:keepLines/>
      <w:numPr>
        <w:ilvl w:val="6"/>
        <w:numId w:val="2"/>
      </w:numPr>
      <w:spacing w:before="40" w:after="0"/>
      <w:ind w:left="138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(Appendix titles)"/>
    <w:basedOn w:val="Normal"/>
    <w:next w:val="Normal"/>
    <w:link w:val="Heading8Char"/>
    <w:uiPriority w:val="9"/>
    <w:unhideWhenUsed/>
    <w:qFormat/>
    <w:rsid w:val="00C20697"/>
    <w:pPr>
      <w:keepNext/>
      <w:keepLines/>
      <w:spacing w:before="40" w:after="0"/>
      <w:ind w:left="153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97"/>
    <w:pPr>
      <w:keepNext/>
      <w:keepLines/>
      <w:numPr>
        <w:ilvl w:val="8"/>
        <w:numId w:val="1"/>
      </w:numPr>
      <w:spacing w:before="40" w:after="0"/>
      <w:ind w:left="167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0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0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0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E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0697"/>
    <w:rPr>
      <w:rFonts w:ascii="Arial" w:eastAsiaTheme="majorEastAsia" w:hAnsi="Arial" w:cs="Arial"/>
      <w:b/>
      <w:color w:val="000000" w:themeColor="text1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2Char">
    <w:name w:val="Heading 2 Char"/>
    <w:basedOn w:val="DefaultParagraphFont"/>
    <w:link w:val="Heading2"/>
    <w:uiPriority w:val="1"/>
    <w:rsid w:val="00C20697"/>
    <w:rPr>
      <w:rFonts w:ascii="Arial" w:eastAsiaTheme="majorEastAsia" w:hAnsi="Arial" w:cs="Arial"/>
      <w:b/>
      <w:bCs/>
      <w:color w:val="000000"/>
      <w:sz w:val="28"/>
      <w:szCs w:val="26"/>
      <w14:textFill>
        <w14:solidFill>
          <w14:srgbClr w14:val="000000">
            <w14:lumMod w14:val="75000"/>
          </w14:srgbClr>
        </w14:solidFill>
      </w14:textFill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aliases w:val="FDSS - II Heading 3 Char"/>
    <w:basedOn w:val="DefaultParagraphFont"/>
    <w:link w:val="Heading3"/>
    <w:uiPriority w:val="1"/>
    <w:rsid w:val="00C20697"/>
    <w:rPr>
      <w:rFonts w:ascii="Arial" w:eastAsiaTheme="majorEastAsia" w:hAnsi="Arial" w:cs="Times New Roman"/>
      <w:b/>
      <w:color w:val="000000" w:themeColor="text1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4Char">
    <w:name w:val="Heading 4 Char"/>
    <w:basedOn w:val="DefaultParagraphFont"/>
    <w:link w:val="Heading4"/>
    <w:uiPriority w:val="9"/>
    <w:rsid w:val="00C20697"/>
    <w:rPr>
      <w:rFonts w:ascii="Arial" w:eastAsiaTheme="majorEastAsia" w:hAnsi="Arial" w:cs="Arial"/>
      <w:b/>
      <w:i/>
      <w:sz w:val="24"/>
      <w:szCs w:val="1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5Char">
    <w:name w:val="Heading 5 Char"/>
    <w:basedOn w:val="DefaultParagraphFont"/>
    <w:link w:val="Heading5"/>
    <w:uiPriority w:val="9"/>
    <w:rsid w:val="00C206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206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206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(Appendix titles) Char"/>
    <w:basedOn w:val="DefaultParagraphFont"/>
    <w:link w:val="Heading8"/>
    <w:uiPriority w:val="9"/>
    <w:rsid w:val="00C206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C20697"/>
    <w:pPr>
      <w:numPr>
        <w:numId w:val="15"/>
      </w:numPr>
      <w:spacing w:before="240" w:after="120" w:line="240" w:lineRule="auto"/>
      <w:contextualSpacing/>
    </w:pPr>
    <w:rPr>
      <w:rFonts w:ascii="Arial" w:hAnsi="Arial" w:cs="Arial"/>
      <w:color w:val="000000" w:themeColor="text1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20697"/>
    <w:rPr>
      <w:rFonts w:ascii="Arial" w:hAnsi="Arial" w:cs="Arial"/>
      <w:color w:val="000000" w:themeColor="text1"/>
      <w:sz w:val="24"/>
      <w:szCs w:val="24"/>
    </w:rPr>
  </w:style>
  <w:style w:type="paragraph" w:customStyle="1" w:styleId="FDSS-IIHeading4">
    <w:name w:val="FDSS-II Heading 4"/>
    <w:basedOn w:val="Normal"/>
    <w:link w:val="FDSS-IIHeading4Char"/>
    <w:rsid w:val="00C20697"/>
    <w:pPr>
      <w:keepNext/>
      <w:keepLines/>
      <w:tabs>
        <w:tab w:val="left" w:pos="90"/>
      </w:tabs>
      <w:spacing w:before="40" w:after="0"/>
      <w:ind w:right="612"/>
      <w:outlineLvl w:val="1"/>
    </w:pPr>
    <w:rPr>
      <w:rFonts w:ascii="Arial" w:eastAsiaTheme="majorEastAsia" w:hAnsi="Arial" w:cstheme="majorBidi"/>
      <w:b/>
      <w:bCs/>
      <w:i/>
      <w:color w:val="000000" w:themeColor="text1"/>
      <w:sz w:val="28"/>
      <w:szCs w:val="28"/>
    </w:rPr>
  </w:style>
  <w:style w:type="character" w:customStyle="1" w:styleId="FDSS-IIHeading4Char">
    <w:name w:val="FDSS-II Heading 4 Char"/>
    <w:basedOn w:val="DefaultParagraphFont"/>
    <w:link w:val="FDSS-IIHeading4"/>
    <w:rsid w:val="00C20697"/>
    <w:rPr>
      <w:rFonts w:ascii="Arial" w:eastAsiaTheme="majorEastAsia" w:hAnsi="Arial" w:cstheme="majorBidi"/>
      <w:b/>
      <w:bCs/>
      <w:i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link w:val="CaptionChar"/>
    <w:autoRedefine/>
    <w:unhideWhenUsed/>
    <w:qFormat/>
    <w:rsid w:val="00C20697"/>
    <w:pPr>
      <w:keepNext/>
      <w:spacing w:after="0" w:line="240" w:lineRule="auto"/>
      <w:jc w:val="center"/>
    </w:pPr>
    <w:rPr>
      <w:rFonts w:ascii="Arial" w:hAnsi="Arial"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C20697"/>
    <w:pPr>
      <w:pBdr>
        <w:bottom w:val="single" w:sz="8" w:space="4" w:color="5B9BD5" w:themeColor="accent1"/>
      </w:pBdr>
      <w:spacing w:before="240" w:after="300" w:line="240" w:lineRule="auto"/>
      <w:contextualSpacing/>
      <w:jc w:val="center"/>
    </w:pPr>
    <w:rPr>
      <w:rFonts w:ascii="Times New Roman" w:eastAsiaTheme="majorEastAsia" w:hAnsi="Times New Roman" w:cstheme="majorBidi"/>
      <w:bC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697"/>
    <w:rPr>
      <w:rFonts w:ascii="Times New Roman" w:eastAsiaTheme="majorEastAsia" w:hAnsi="Times New Roman" w:cstheme="majorBidi"/>
      <w:bCs/>
      <w:color w:val="000000" w:themeColor="text1"/>
      <w:spacing w:val="5"/>
      <w:kern w:val="28"/>
      <w:sz w:val="52"/>
      <w:szCs w:val="52"/>
    </w:rPr>
  </w:style>
  <w:style w:type="character" w:styleId="Hyperlink">
    <w:name w:val="Hyperlink"/>
    <w:uiPriority w:val="99"/>
    <w:rsid w:val="00C20697"/>
    <w:rPr>
      <w:rFonts w:ascii="Arial" w:hAnsi="Arial"/>
      <w:color w:val="0D0D0D"/>
      <w:sz w:val="18"/>
      <w:u w:val="none"/>
    </w:rPr>
  </w:style>
  <w:style w:type="paragraph" w:customStyle="1" w:styleId="corporateaddress">
    <w:name w:val="corporateaddress"/>
    <w:basedOn w:val="Normal"/>
    <w:rsid w:val="00C20697"/>
    <w:pPr>
      <w:spacing w:before="240" w:after="60" w:line="240" w:lineRule="auto"/>
    </w:pPr>
    <w:rPr>
      <w:rFonts w:ascii="Arial" w:hAnsi="Arial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697"/>
    <w:pPr>
      <w:numPr>
        <w:numId w:val="0"/>
      </w:numPr>
      <w:spacing w:line="276" w:lineRule="auto"/>
      <w:outlineLvl w:val="9"/>
    </w:pPr>
    <w:rPr>
      <w:bCs/>
      <w:lang w:eastAsia="ja-JP"/>
    </w:rPr>
  </w:style>
  <w:style w:type="paragraph" w:styleId="TOC1">
    <w:name w:val="toc 1"/>
    <w:basedOn w:val="Normal"/>
    <w:next w:val="Normal"/>
    <w:autoRedefine/>
    <w:uiPriority w:val="39"/>
    <w:rsid w:val="00720155"/>
    <w:pPr>
      <w:tabs>
        <w:tab w:val="left" w:pos="660"/>
        <w:tab w:val="right" w:leader="dot" w:pos="10800"/>
      </w:tabs>
      <w:spacing w:after="0" w:line="288" w:lineRule="auto"/>
      <w:ind w:right="-360"/>
    </w:pPr>
    <w:rPr>
      <w:rFonts w:ascii="Arial" w:hAnsi="Arial" w:cs="Times New Roman"/>
      <w:bCs/>
      <w:color w:val="000000" w:themeColor="text1"/>
      <w:sz w:val="24"/>
      <w:szCs w:val="18"/>
    </w:rPr>
  </w:style>
  <w:style w:type="paragraph" w:styleId="Header">
    <w:name w:val="header"/>
    <w:basedOn w:val="Normal"/>
    <w:link w:val="HeaderChar"/>
    <w:uiPriority w:val="99"/>
    <w:rsid w:val="00C20697"/>
    <w:pPr>
      <w:tabs>
        <w:tab w:val="center" w:pos="4680"/>
        <w:tab w:val="right" w:pos="9360"/>
      </w:tabs>
      <w:spacing w:before="240" w:after="0" w:line="240" w:lineRule="auto"/>
    </w:pPr>
    <w:rPr>
      <w:rFonts w:ascii="Arial" w:hAnsi="Arial" w:cs="Times New Roman"/>
      <w:bCs/>
      <w:color w:val="000000" w:themeColor="text1"/>
      <w:sz w:val="24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0697"/>
    <w:rPr>
      <w:rFonts w:ascii="Arial" w:hAnsi="Arial" w:cs="Times New Roman"/>
      <w:bCs/>
      <w:color w:val="000000" w:themeColor="text1"/>
      <w:sz w:val="24"/>
      <w:szCs w:val="18"/>
    </w:rPr>
  </w:style>
  <w:style w:type="paragraph" w:styleId="Footer">
    <w:name w:val="footer"/>
    <w:basedOn w:val="Normal"/>
    <w:link w:val="FooterChar"/>
    <w:uiPriority w:val="99"/>
    <w:rsid w:val="00C20697"/>
    <w:pPr>
      <w:tabs>
        <w:tab w:val="center" w:pos="4680"/>
        <w:tab w:val="right" w:pos="9360"/>
      </w:tabs>
      <w:spacing w:before="240" w:after="0" w:line="240" w:lineRule="auto"/>
    </w:pPr>
    <w:rPr>
      <w:rFonts w:ascii="Arial" w:hAnsi="Arial" w:cs="Times New Roman"/>
      <w:bCs/>
      <w:color w:val="000000" w:themeColor="text1"/>
      <w:sz w:val="24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0697"/>
    <w:rPr>
      <w:rFonts w:ascii="Arial" w:hAnsi="Arial" w:cs="Times New Roman"/>
      <w:b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rsid w:val="00C20697"/>
    <w:pPr>
      <w:spacing w:before="240" w:after="0" w:line="240" w:lineRule="auto"/>
    </w:pPr>
    <w:rPr>
      <w:rFonts w:ascii="Arial" w:hAnsi="Arial" w:cs="Times New Roman"/>
      <w:bCs/>
      <w:color w:val="000000" w:themeColor="text1"/>
      <w:sz w:val="24"/>
      <w:szCs w:val="18"/>
    </w:rPr>
  </w:style>
  <w:style w:type="paragraph" w:customStyle="1" w:styleId="6KTitle">
    <w:name w:val="6K Title"/>
    <w:basedOn w:val="Title"/>
    <w:autoRedefine/>
    <w:rsid w:val="00C20697"/>
    <w:pPr>
      <w:pBdr>
        <w:bottom w:val="none" w:sz="0" w:space="0" w:color="auto"/>
      </w:pBdr>
      <w:spacing w:after="60" w:line="276" w:lineRule="auto"/>
      <w:ind w:left="432" w:hanging="432"/>
      <w:contextualSpacing w:val="0"/>
      <w:outlineLvl w:val="0"/>
    </w:pPr>
    <w:rPr>
      <w:rFonts w:ascii="Arial" w:eastAsia="Calibri" w:hAnsi="Arial" w:cs="Arial"/>
      <w:color w:val="auto"/>
      <w:spacing w:val="0"/>
      <w:sz w:val="36"/>
      <w:szCs w:val="36"/>
    </w:rPr>
  </w:style>
  <w:style w:type="paragraph" w:customStyle="1" w:styleId="TableText">
    <w:name w:val="TableText"/>
    <w:basedOn w:val="Normal"/>
    <w:rsid w:val="00C20697"/>
    <w:pPr>
      <w:spacing w:before="60" w:after="60" w:line="240" w:lineRule="auto"/>
      <w:ind w:left="432" w:hanging="432"/>
    </w:pPr>
    <w:rPr>
      <w:rFonts w:ascii="Arial" w:eastAsia="Times New Roman" w:hAnsi="Arial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20697"/>
  </w:style>
  <w:style w:type="paragraph" w:styleId="NoSpacing">
    <w:name w:val="No Spacing"/>
    <w:link w:val="NoSpacingChar"/>
    <w:uiPriority w:val="1"/>
    <w:qFormat/>
    <w:rsid w:val="00C20697"/>
    <w:pPr>
      <w:spacing w:before="240" w:after="0" w:line="240" w:lineRule="auto"/>
    </w:pPr>
    <w:rPr>
      <w:rFonts w:eastAsiaTheme="minorEastAsia"/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C20697"/>
    <w:rPr>
      <w:rFonts w:eastAsiaTheme="minorEastAsia"/>
      <w:b/>
    </w:rPr>
  </w:style>
  <w:style w:type="paragraph" w:customStyle="1" w:styleId="TableParagraph">
    <w:name w:val="Table Paragraph"/>
    <w:basedOn w:val="Normal"/>
    <w:uiPriority w:val="1"/>
    <w:qFormat/>
    <w:rsid w:val="00C20697"/>
    <w:pPr>
      <w:widowControl w:val="0"/>
      <w:spacing w:after="0" w:line="240" w:lineRule="auto"/>
    </w:pPr>
    <w:rPr>
      <w:rFonts w:ascii="Arial" w:eastAsia="MS Mincho" w:hAnsi="Arial"/>
      <w:b/>
    </w:rPr>
  </w:style>
  <w:style w:type="paragraph" w:styleId="TOC2">
    <w:name w:val="toc 2"/>
    <w:basedOn w:val="Normal"/>
    <w:next w:val="Normal"/>
    <w:autoRedefine/>
    <w:uiPriority w:val="39"/>
    <w:rsid w:val="00720155"/>
    <w:pPr>
      <w:tabs>
        <w:tab w:val="left" w:pos="90"/>
        <w:tab w:val="left" w:pos="880"/>
        <w:tab w:val="left" w:pos="1440"/>
        <w:tab w:val="right" w:leader="dot" w:pos="10800"/>
      </w:tabs>
      <w:spacing w:before="240" w:after="100" w:line="240" w:lineRule="auto"/>
    </w:pPr>
    <w:rPr>
      <w:rFonts w:ascii="Arial" w:hAnsi="Arial" w:cs="Times New Roman"/>
      <w:bCs/>
      <w:color w:val="000000" w:themeColor="text1"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C20697"/>
    <w:rPr>
      <w:color w:val="808080"/>
    </w:rPr>
  </w:style>
  <w:style w:type="paragraph" w:styleId="BodyText">
    <w:name w:val="Body Text"/>
    <w:basedOn w:val="Normal"/>
    <w:link w:val="BodyTextChar"/>
    <w:uiPriority w:val="99"/>
    <w:qFormat/>
    <w:rsid w:val="00C20697"/>
    <w:pPr>
      <w:spacing w:before="240" w:after="120" w:line="240" w:lineRule="auto"/>
    </w:pPr>
    <w:rPr>
      <w:rFonts w:ascii="Arial" w:hAnsi="Arial" w:cs="Arial"/>
      <w:bCs/>
      <w:color w:val="000000" w:themeColor="text1"/>
      <w:sz w:val="24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C20697"/>
    <w:rPr>
      <w:rFonts w:ascii="Arial" w:hAnsi="Arial" w:cs="Arial"/>
      <w:bCs/>
      <w:color w:val="000000" w:themeColor="text1"/>
      <w:sz w:val="24"/>
      <w:szCs w:val="18"/>
    </w:rPr>
  </w:style>
  <w:style w:type="numbering" w:customStyle="1" w:styleId="Style2">
    <w:name w:val="Style2"/>
    <w:uiPriority w:val="99"/>
    <w:rsid w:val="00C20697"/>
    <w:pPr>
      <w:numPr>
        <w:numId w:val="4"/>
      </w:numPr>
    </w:pPr>
  </w:style>
  <w:style w:type="numbering" w:customStyle="1" w:styleId="Style3">
    <w:name w:val="Style3"/>
    <w:uiPriority w:val="99"/>
    <w:rsid w:val="00C20697"/>
    <w:pPr>
      <w:numPr>
        <w:numId w:val="5"/>
      </w:numPr>
    </w:pPr>
  </w:style>
  <w:style w:type="character" w:customStyle="1" w:styleId="CaptionChar">
    <w:name w:val="Caption Char"/>
    <w:link w:val="Caption"/>
    <w:locked/>
    <w:rsid w:val="00C20697"/>
    <w:rPr>
      <w:rFonts w:ascii="Arial" w:hAnsi="Arial" w:cs="Times New Roman"/>
      <w:b/>
    </w:rPr>
  </w:style>
  <w:style w:type="paragraph" w:styleId="Subtitle">
    <w:name w:val="Subtitle"/>
    <w:basedOn w:val="Normal"/>
    <w:link w:val="SubtitleChar"/>
    <w:uiPriority w:val="99"/>
    <w:rsid w:val="00C20697"/>
    <w:pPr>
      <w:spacing w:before="40" w:after="2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C20697"/>
    <w:rPr>
      <w:rFonts w:ascii="Arial" w:eastAsia="Times New Roman" w:hAnsi="Arial" w:cs="Arial"/>
      <w:b/>
      <w:bCs/>
      <w:sz w:val="20"/>
      <w:szCs w:val="20"/>
    </w:rPr>
  </w:style>
  <w:style w:type="character" w:styleId="Emphasis">
    <w:name w:val="Emphasis"/>
    <w:basedOn w:val="DefaultParagraphFont"/>
    <w:uiPriority w:val="20"/>
    <w:rsid w:val="00C20697"/>
    <w:rPr>
      <w:i/>
      <w:iCs/>
    </w:rPr>
  </w:style>
  <w:style w:type="paragraph" w:customStyle="1" w:styleId="FDSS-IIHeading1">
    <w:name w:val="FDSS-II Heading 1"/>
    <w:basedOn w:val="Heading1"/>
    <w:link w:val="FDSS-IIHeading1Char"/>
    <w:rsid w:val="00C20697"/>
  </w:style>
  <w:style w:type="character" w:customStyle="1" w:styleId="FDSS-IIHeading1Char">
    <w:name w:val="FDSS-II Heading 1 Char"/>
    <w:basedOn w:val="Heading1Char"/>
    <w:link w:val="FDSS-IIHeading1"/>
    <w:rsid w:val="00C20697"/>
    <w:rPr>
      <w:rFonts w:ascii="Arial" w:eastAsiaTheme="majorEastAsia" w:hAnsi="Arial" w:cs="Arial"/>
      <w:b/>
      <w:color w:val="000000" w:themeColor="text1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FDSS-IIHEADING2">
    <w:name w:val="FDSS-II HEADING 2"/>
    <w:basedOn w:val="Heading2"/>
    <w:link w:val="FDSS-IIHEADING2Char"/>
    <w:rsid w:val="00C20697"/>
    <w:rPr>
      <w:bCs w:val="0"/>
    </w:rPr>
  </w:style>
  <w:style w:type="character" w:customStyle="1" w:styleId="FDSS-IIHEADING2Char">
    <w:name w:val="FDSS-II HEADING 2 Char"/>
    <w:basedOn w:val="Heading2Char"/>
    <w:link w:val="FDSS-IIHEADING2"/>
    <w:rsid w:val="00C20697"/>
    <w:rPr>
      <w:rFonts w:ascii="Arial" w:eastAsiaTheme="majorEastAsia" w:hAnsi="Arial" w:cs="Arial"/>
      <w:b/>
      <w:bCs w:val="0"/>
      <w:color w:val="000000"/>
      <w:sz w:val="28"/>
      <w:szCs w:val="26"/>
      <w14:textFill>
        <w14:solidFill>
          <w14:srgbClr w14:val="000000">
            <w14:lumMod w14:val="75000"/>
          </w14:srgbClr>
        </w14:solidFill>
      </w14:textFill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FDSS-IIHEADING3">
    <w:name w:val="FDSS-II HEADING 3"/>
    <w:basedOn w:val="Heading3"/>
    <w:link w:val="FDSS-IIHEADING3Char"/>
    <w:rsid w:val="00C20697"/>
  </w:style>
  <w:style w:type="character" w:customStyle="1" w:styleId="FDSS-IIHEADING3Char">
    <w:name w:val="FDSS-II HEADING 3 Char"/>
    <w:basedOn w:val="Heading3Char"/>
    <w:link w:val="FDSS-IIHEADING3"/>
    <w:rsid w:val="00C20697"/>
    <w:rPr>
      <w:rFonts w:ascii="Arial" w:eastAsiaTheme="majorEastAsia" w:hAnsi="Arial" w:cs="Times New Roman"/>
      <w:b/>
      <w:color w:val="000000" w:themeColor="text1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FDSS-IIHEADING40">
    <w:name w:val="FDSS-II HEADING 4"/>
    <w:basedOn w:val="Heading4"/>
    <w:link w:val="FDSS-IIHEADING4Char0"/>
    <w:rsid w:val="00C20697"/>
  </w:style>
  <w:style w:type="character" w:customStyle="1" w:styleId="FDSS-IIHEADING4Char0">
    <w:name w:val="FDSS-II HEADING 4 Char"/>
    <w:basedOn w:val="Heading4Char"/>
    <w:link w:val="FDSS-IIHEADING40"/>
    <w:rsid w:val="00C20697"/>
    <w:rPr>
      <w:rFonts w:ascii="Arial" w:eastAsiaTheme="majorEastAsia" w:hAnsi="Arial" w:cs="Arial"/>
      <w:b/>
      <w:i/>
      <w:sz w:val="24"/>
      <w:szCs w:val="1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FDSS-IIHeading30">
    <w:name w:val="FDSS-II Heading 3"/>
    <w:basedOn w:val="Heading2"/>
    <w:link w:val="FDSS-IIHeading3Char0"/>
    <w:rsid w:val="00C20697"/>
    <w:pPr>
      <w:numPr>
        <w:ilvl w:val="0"/>
        <w:numId w:val="0"/>
      </w:numPr>
      <w:ind w:left="810"/>
    </w:pPr>
    <w:rPr>
      <w:bCs w:val="0"/>
    </w:rPr>
  </w:style>
  <w:style w:type="character" w:customStyle="1" w:styleId="FDSS-IIHeading3Char0">
    <w:name w:val="FDSS-II Heading 3 Char"/>
    <w:basedOn w:val="Heading2Char"/>
    <w:link w:val="FDSS-IIHeading30"/>
    <w:locked/>
    <w:rsid w:val="00C20697"/>
    <w:rPr>
      <w:rFonts w:ascii="Arial" w:eastAsiaTheme="majorEastAsia" w:hAnsi="Arial" w:cs="Arial"/>
      <w:b/>
      <w:bCs w:val="0"/>
      <w:color w:val="000000"/>
      <w:sz w:val="28"/>
      <w:szCs w:val="26"/>
      <w14:textFill>
        <w14:solidFill>
          <w14:srgbClr w14:val="000000">
            <w14:lumMod w14:val="75000"/>
          </w14:srgbClr>
        </w14:solidFill>
      </w14:textFill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NormalWeb">
    <w:name w:val="Normal (Web)"/>
    <w:basedOn w:val="Normal"/>
    <w:uiPriority w:val="99"/>
    <w:semiHidden/>
    <w:unhideWhenUsed/>
    <w:rsid w:val="00C2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20697"/>
    <w:pPr>
      <w:spacing w:before="72" w:after="72" w:line="280" w:lineRule="atLeast"/>
      <w:jc w:val="both"/>
    </w:pPr>
    <w:rPr>
      <w:rFonts w:ascii="Arial" w:hAnsi="Arial" w:cs="Times New Roman"/>
      <w:color w:val="000000" w:themeColor="text1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C20697"/>
    <w:pPr>
      <w:spacing w:before="240" w:after="120" w:line="240" w:lineRule="auto"/>
    </w:pPr>
    <w:rPr>
      <w:rFonts w:ascii="Arial" w:hAnsi="Arial"/>
      <w:color w:val="000000" w:themeColor="text1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20697"/>
    <w:rPr>
      <w:rFonts w:ascii="Arial" w:hAnsi="Arial"/>
      <w:color w:val="000000" w:themeColor="text1"/>
      <w:sz w:val="24"/>
      <w:szCs w:val="20"/>
    </w:rPr>
  </w:style>
  <w:style w:type="character" w:styleId="EndnoteReference">
    <w:name w:val="endnote reference"/>
    <w:basedOn w:val="DefaultParagraphFont"/>
    <w:unhideWhenUsed/>
    <w:rsid w:val="00C20697"/>
    <w:rPr>
      <w:vertAlign w:val="superscript"/>
    </w:rPr>
  </w:style>
  <w:style w:type="paragraph" w:styleId="Revision">
    <w:name w:val="Revision"/>
    <w:hidden/>
    <w:uiPriority w:val="99"/>
    <w:semiHidden/>
    <w:rsid w:val="00C20697"/>
    <w:pPr>
      <w:spacing w:after="0" w:line="240" w:lineRule="auto"/>
    </w:pPr>
    <w:rPr>
      <w:rFonts w:cs="Times New Roman"/>
      <w:bCs/>
      <w:color w:val="000000" w:themeColor="text1"/>
      <w:sz w:val="24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20697"/>
    <w:pPr>
      <w:spacing w:after="0" w:line="240" w:lineRule="auto"/>
      <w:ind w:left="240" w:hanging="240"/>
    </w:pPr>
    <w:rPr>
      <w:rFonts w:ascii="Arial" w:hAnsi="Arial" w:cs="Times New Roman"/>
      <w:bCs/>
      <w:color w:val="000000" w:themeColor="text1"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0697"/>
    <w:pPr>
      <w:spacing w:after="0" w:line="240" w:lineRule="auto"/>
    </w:pPr>
    <w:rPr>
      <w:rFonts w:ascii="Arial" w:hAnsi="Arial" w:cs="Times New Roman"/>
      <w:bCs/>
      <w:color w:val="000000" w:themeColor="text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697"/>
    <w:rPr>
      <w:rFonts w:ascii="Arial" w:hAnsi="Arial" w:cs="Times New Roman"/>
      <w:bCs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697"/>
    <w:rPr>
      <w:vertAlign w:val="superscript"/>
    </w:rPr>
  </w:style>
  <w:style w:type="paragraph" w:customStyle="1" w:styleId="Els-body-text">
    <w:name w:val="Els-body-text"/>
    <w:rsid w:val="00C20697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EC8D0-3340-4910-9D64-D9CC5CFCA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Mashiku, Alinda K. (GSFC-5950)</dc:creator>
  <cp:keywords/>
  <dc:description/>
  <cp:lastModifiedBy>Travis Lechtenberg</cp:lastModifiedBy>
  <cp:revision>35</cp:revision>
  <cp:lastPrinted>2019-12-04T14:21:00Z</cp:lastPrinted>
  <dcterms:created xsi:type="dcterms:W3CDTF">2019-12-04T14:15:00Z</dcterms:created>
  <dcterms:modified xsi:type="dcterms:W3CDTF">2021-01-25T17:50:00Z</dcterms:modified>
</cp:coreProperties>
</file>