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B1E26" w14:textId="79984F1A" w:rsidR="00FE7C46" w:rsidRDefault="001F41CB">
      <w:pPr>
        <w:pStyle w:val="Title"/>
      </w:pPr>
      <w:r>
        <w:rPr>
          <w:noProof/>
        </w:rPr>
        <mc:AlternateContent>
          <mc:Choice Requires="wps">
            <w:drawing>
              <wp:anchor distT="0" distB="0" distL="114300" distR="114300" simplePos="0" relativeHeight="251657728" behindDoc="0" locked="0" layoutInCell="1" allowOverlap="1" wp14:anchorId="2C5B31E0" wp14:editId="4195307F">
                <wp:simplePos x="0" y="0"/>
                <wp:positionH relativeFrom="column">
                  <wp:align>right</wp:align>
                </wp:positionH>
                <wp:positionV relativeFrom="margin">
                  <wp:align>inside</wp:align>
                </wp:positionV>
                <wp:extent cx="2348230" cy="342900"/>
                <wp:effectExtent l="4445"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23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6EDBC6" w14:textId="51D21A5F" w:rsidR="00861611" w:rsidRDefault="00861611">
                            <w:pPr>
                              <w:pStyle w:val="PaperNumber"/>
                            </w:pPr>
                            <w:r>
                              <w:t>AAS 19-631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B31E0" id="_x0000_t202" coordsize="21600,21600" o:spt="202" path="m,l,21600r21600,l21600,xe">
                <v:stroke joinstyle="miter"/>
                <v:path gradientshapeok="t" o:connecttype="rect"/>
              </v:shapetype>
              <v:shape id="Text Box 2" o:spid="_x0000_s1026" type="#_x0000_t202" style="position:absolute;left:0;text-align:left;margin-left:133.7pt;margin-top:0;width:184.9pt;height:27pt;z-index:251657728;visibility:visible;mso-wrap-style:square;mso-width-percent:0;mso-height-percent:0;mso-wrap-distance-left:9pt;mso-wrap-distance-top:0;mso-wrap-distance-right:9pt;mso-wrap-distance-bottom:0;mso-position-horizontal:right;mso-position-horizontal-relative:text;mso-position-vertical:insid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whAIAAA8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" stroked="f">
                <v:textbox>
                  <w:txbxContent>
                    <w:p w14:paraId="7C6EDBC6" w14:textId="51D21A5F" w:rsidR="00861611" w:rsidRDefault="00861611">
                      <w:pPr>
                        <w:pStyle w:val="PaperNumber"/>
                      </w:pPr>
                      <w:r>
                        <w:t>AAS 19-631</w:t>
                      </w:r>
                    </w:p>
                  </w:txbxContent>
                </v:textbox>
                <w10:wrap anchory="margin"/>
              </v:shape>
            </w:pict>
          </mc:Fallback>
        </mc:AlternateContent>
      </w:r>
      <w:r w:rsidR="00081892" w:rsidRPr="00081892">
        <w:t xml:space="preserve"> </w:t>
      </w:r>
      <w:r w:rsidR="00081892">
        <w:t>Determining Appropriate Risk Remediation Thresholds from Empirical Conjunction Data Using Survival Probability Methods</w:t>
      </w:r>
    </w:p>
    <w:p w14:paraId="39A07E15" w14:textId="12FA69E1" w:rsidR="00FE7C46" w:rsidRPr="000D5871" w:rsidRDefault="00E77C95" w:rsidP="004B7A44">
      <w:pPr>
        <w:pStyle w:val="Author"/>
      </w:pPr>
      <w:r w:rsidRPr="000D5871">
        <w:t xml:space="preserve">Doyle </w:t>
      </w:r>
      <w:r w:rsidR="00061165" w:rsidRPr="000D5871">
        <w:t xml:space="preserve">T. </w:t>
      </w:r>
      <w:r w:rsidR="007809B7">
        <w:t>Hall</w:t>
      </w:r>
      <w:r w:rsidR="00D21324">
        <w:rPr>
          <w:rStyle w:val="FootnoteReference"/>
        </w:rPr>
        <w:footnoteReference w:id="2"/>
      </w:r>
    </w:p>
    <w:p w14:paraId="5D11C325" w14:textId="761B5D52" w:rsidR="00FE7C46" w:rsidRPr="00722502" w:rsidRDefault="00013980" w:rsidP="00722502">
      <w:pPr>
        <w:pStyle w:val="StyleAbstractLeft075Right075"/>
      </w:pPr>
      <w:r w:rsidRPr="002734F5">
        <w:rPr>
          <w:sz w:val="22"/>
        </w:rPr>
        <w:t>Satellites sometimes maneuver before conjunctions to remediate the risk of an on-orbit collision.  Many missions use probability of collision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oMath>
      <w:r w:rsidRPr="002734F5">
        <w:rPr>
          <w:sz w:val="22"/>
        </w:rPr>
        <w:t xml:space="preserve">) thresholds to decide when such maneuvers should be performed.  These thresholds tend to be conservative because of policies that require satellites survive their lifetimes without collision with high confidence (e.g., 99.9%).  This study presents a semi-empirical method to estimate remediation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c</m:t>
            </m:r>
          </m:sub>
        </m:sSub>
      </m:oMath>
      <w:r w:rsidRPr="002734F5">
        <w:rPr>
          <w:sz w:val="22"/>
        </w:rPr>
        <w:t xml:space="preserve"> thresholds that satisfy such lifetime risk requirements. The formulation combines survival probability analysis with empirical conjunction histories to estimate remediation thresholds as a function of satellite size, remaining on-orbit duration, lifetime collision probability limit, collision consequence, and other parameters</w:t>
      </w:r>
      <w:r w:rsidR="00E77C95" w:rsidRPr="002734F5">
        <w:rPr>
          <w:sz w:val="22"/>
        </w:rPr>
        <w:t>.</w:t>
      </w:r>
    </w:p>
    <w:p w14:paraId="0D784247" w14:textId="77777777" w:rsidR="00FE7C46" w:rsidRDefault="00FE7C46" w:rsidP="004B7A44">
      <w:pPr>
        <w:pStyle w:val="Section"/>
      </w:pPr>
      <w:r>
        <w:t>Introduction</w:t>
      </w:r>
    </w:p>
    <w:p w14:paraId="7B0994E7" w14:textId="2FF801CE" w:rsidR="00260FC6" w:rsidRDefault="00260FC6" w:rsidP="00722502">
      <w:r>
        <w:t xml:space="preserve">As the population of artificial Earth-orbiting satellites grows, the likelihood of </w:t>
      </w:r>
      <w:r w:rsidR="00D971D0">
        <w:t xml:space="preserve">on-orbit </w:t>
      </w:r>
      <w:r>
        <w:t xml:space="preserve">collisions </w:t>
      </w:r>
      <w:r w:rsidR="005E10F0">
        <w:t xml:space="preserve">also </w:t>
      </w:r>
      <w:r>
        <w:t>increases.  Such collisions pose a direct threat to spacecraft occupied by humans, such as the International Space Station</w:t>
      </w:r>
      <w:r w:rsidR="00667EB1">
        <w:t>, as well as</w:t>
      </w:r>
      <w:r>
        <w:t xml:space="preserve"> a much larger number of currently active robotic satellites, which represent significant investments by many international commercial, military and scientific organizations.  Collisions also pose an indirect threat to future spacecraft, through the generation of fragmentation debris that can remain orbiting for extended periods.  NASA’s </w:t>
      </w:r>
      <w:r w:rsidR="00D971D0">
        <w:t>Conjunction Assessment Risk Analysis (CARA)</w:t>
      </w:r>
      <w:r>
        <w:t xml:space="preserve"> team has the responsibility to assess collision risks for a specific set of high</w:t>
      </w:r>
      <w:r w:rsidR="00DB1221">
        <w:t xml:space="preserve"> </w:t>
      </w:r>
      <w:r>
        <w:t>value</w:t>
      </w:r>
      <w:r w:rsidR="00D971D0">
        <w:t xml:space="preserve"> </w:t>
      </w:r>
      <w:r w:rsidR="00D971D0" w:rsidRPr="00445A2D">
        <w:rPr>
          <w:szCs w:val="22"/>
        </w:rPr>
        <w:t>Earth-orbiting</w:t>
      </w:r>
      <w:r>
        <w:t xml:space="preserve"> satellites.</w:t>
      </w:r>
    </w:p>
    <w:p w14:paraId="5C61BEA6" w14:textId="03A0EA16" w:rsidR="00D971D0" w:rsidRPr="00445A2D" w:rsidRDefault="007657FC" w:rsidP="00D971D0">
      <w:pPr>
        <w:rPr>
          <w:szCs w:val="22"/>
        </w:rPr>
      </w:pPr>
      <w:r>
        <w:t>When a tracked object is projected to approach a satellite of interest</w:t>
      </w:r>
      <w:r w:rsidR="00722502" w:rsidRPr="00445A2D">
        <w:rPr>
          <w:szCs w:val="22"/>
        </w:rPr>
        <w:t xml:space="preserve">, a conjunction </w:t>
      </w:r>
      <w:r>
        <w:rPr>
          <w:szCs w:val="22"/>
        </w:rPr>
        <w:t xml:space="preserve">risk </w:t>
      </w:r>
      <w:r w:rsidR="00722502" w:rsidRPr="00445A2D">
        <w:rPr>
          <w:szCs w:val="22"/>
        </w:rPr>
        <w:t>assessment analysis can be performed to quantify the risk of a collision. Many practitioners</w:t>
      </w:r>
      <w:r w:rsidR="00D971D0">
        <w:rPr>
          <w:szCs w:val="22"/>
        </w:rPr>
        <w:t>, including CARA,</w:t>
      </w:r>
      <w:r w:rsidR="00722502" w:rsidRPr="00445A2D">
        <w:rPr>
          <w:szCs w:val="22"/>
        </w:rPr>
        <w:t xml:space="preserve"> measure this likelihood </w:t>
      </w:r>
      <w:r w:rsidR="007F456E">
        <w:rPr>
          <w:szCs w:val="22"/>
        </w:rPr>
        <w:t>with</w:t>
      </w:r>
      <w:r w:rsidR="00722502" w:rsidRPr="00445A2D">
        <w:rPr>
          <w:szCs w:val="22"/>
        </w:rPr>
        <w:t xml:space="preserve"> the probability of collision</w:t>
      </w:r>
      <w:r w:rsidR="00EC2982">
        <w:rPr>
          <w:szCs w:val="22"/>
        </w:rPr>
        <w:t>,</w:t>
      </w:r>
      <w:r w:rsidR="00722502" w:rsidRPr="00445A2D">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722502" w:rsidRPr="00445A2D">
        <w:rPr>
          <w:szCs w:val="22"/>
        </w:rPr>
        <w:t xml:space="preserve">, </w:t>
      </w:r>
      <w:r w:rsidR="00667EB1">
        <w:rPr>
          <w:szCs w:val="22"/>
        </w:rPr>
        <w:t>determined</w:t>
      </w:r>
      <w:r w:rsidR="00667EB1" w:rsidRPr="00445A2D">
        <w:rPr>
          <w:szCs w:val="22"/>
        </w:rPr>
        <w:t xml:space="preserve"> </w:t>
      </w:r>
      <w:r w:rsidR="00722502" w:rsidRPr="00445A2D">
        <w:rPr>
          <w:szCs w:val="22"/>
        </w:rPr>
        <w:t>using either semi-analytical</w:t>
      </w:r>
      <w:r w:rsidR="0086763A" w:rsidRPr="00E40B20">
        <w:rPr>
          <w:szCs w:val="22"/>
          <w:vertAlign w:val="superscript"/>
        </w:rPr>
        <w:fldChar w:fldCharType="begin"/>
      </w:r>
      <w:r w:rsidR="0086763A" w:rsidRPr="00E40B20">
        <w:rPr>
          <w:szCs w:val="22"/>
          <w:vertAlign w:val="superscript"/>
        </w:rPr>
        <w:instrText xml:space="preserve"> REF _Ref514676603 \r \h  \* MERGEFORMAT </w:instrText>
      </w:r>
      <w:r w:rsidR="0086763A" w:rsidRPr="00E40B20">
        <w:rPr>
          <w:szCs w:val="22"/>
          <w:vertAlign w:val="superscript"/>
        </w:rPr>
      </w:r>
      <w:r w:rsidR="0086763A" w:rsidRPr="00E40B20">
        <w:rPr>
          <w:szCs w:val="22"/>
          <w:vertAlign w:val="superscript"/>
        </w:rPr>
        <w:fldChar w:fldCharType="separate"/>
      </w:r>
      <w:r w:rsidR="004F2D83">
        <w:rPr>
          <w:szCs w:val="22"/>
          <w:vertAlign w:val="superscript"/>
        </w:rPr>
        <w:t>1</w:t>
      </w:r>
      <w:r w:rsidR="0086763A" w:rsidRPr="00E40B20">
        <w:rPr>
          <w:szCs w:val="22"/>
          <w:vertAlign w:val="superscript"/>
        </w:rPr>
        <w:fldChar w:fldCharType="end"/>
      </w:r>
      <w:r w:rsidR="0086763A" w:rsidRPr="00E40B20">
        <w:rPr>
          <w:szCs w:val="22"/>
          <w:vertAlign w:val="superscript"/>
        </w:rPr>
        <w:t>-</w:t>
      </w:r>
      <w:r w:rsidR="0086763A">
        <w:rPr>
          <w:szCs w:val="22"/>
          <w:vertAlign w:val="superscript"/>
        </w:rPr>
        <w:fldChar w:fldCharType="begin"/>
      </w:r>
      <w:r w:rsidR="0086763A">
        <w:rPr>
          <w:szCs w:val="22"/>
          <w:vertAlign w:val="superscript"/>
        </w:rPr>
        <w:instrText xml:space="preserve"> REF _Ref514676608 \r \h </w:instrText>
      </w:r>
      <w:r w:rsidR="0086763A">
        <w:rPr>
          <w:szCs w:val="22"/>
          <w:vertAlign w:val="superscript"/>
        </w:rPr>
      </w:r>
      <w:r w:rsidR="0086763A">
        <w:rPr>
          <w:szCs w:val="22"/>
          <w:vertAlign w:val="superscript"/>
        </w:rPr>
        <w:fldChar w:fldCharType="separate"/>
      </w:r>
      <w:r w:rsidR="004F2D83">
        <w:rPr>
          <w:szCs w:val="22"/>
          <w:vertAlign w:val="superscript"/>
        </w:rPr>
        <w:t>3</w:t>
      </w:r>
      <w:r w:rsidR="0086763A">
        <w:rPr>
          <w:szCs w:val="22"/>
          <w:vertAlign w:val="superscript"/>
        </w:rPr>
        <w:fldChar w:fldCharType="end"/>
      </w:r>
      <w:r w:rsidR="00722502" w:rsidRPr="00445A2D">
        <w:rPr>
          <w:szCs w:val="22"/>
        </w:rPr>
        <w:t xml:space="preserve"> or Monte Carlo methods.</w:t>
      </w:r>
      <w:r w:rsidR="00FD17C1" w:rsidRPr="00FD17C1">
        <w:rPr>
          <w:szCs w:val="22"/>
          <w:vertAlign w:val="superscript"/>
        </w:rPr>
        <w:fldChar w:fldCharType="begin"/>
      </w:r>
      <w:r w:rsidR="00FD17C1" w:rsidRPr="00FD17C1">
        <w:rPr>
          <w:szCs w:val="22"/>
          <w:vertAlign w:val="superscript"/>
        </w:rPr>
        <w:instrText xml:space="preserve"> REF _Ref6466684 \r \h </w:instrText>
      </w:r>
      <w:r w:rsidR="00FD17C1">
        <w:rPr>
          <w:szCs w:val="22"/>
          <w:vertAlign w:val="superscript"/>
        </w:rPr>
        <w:instrText xml:space="preserve"> \* MERGEFORMAT </w:instrText>
      </w:r>
      <w:r w:rsidR="00FD17C1" w:rsidRPr="00FD17C1">
        <w:rPr>
          <w:szCs w:val="22"/>
          <w:vertAlign w:val="superscript"/>
        </w:rPr>
      </w:r>
      <w:r w:rsidR="00FD17C1" w:rsidRPr="00FD17C1">
        <w:rPr>
          <w:szCs w:val="22"/>
          <w:vertAlign w:val="superscript"/>
        </w:rPr>
        <w:fldChar w:fldCharType="separate"/>
      </w:r>
      <w:r w:rsidR="004F2D83">
        <w:rPr>
          <w:szCs w:val="22"/>
          <w:vertAlign w:val="superscript"/>
        </w:rPr>
        <w:t>4</w:t>
      </w:r>
      <w:r w:rsidR="00FD17C1" w:rsidRPr="00FD17C1">
        <w:rPr>
          <w:szCs w:val="22"/>
          <w:vertAlign w:val="superscript"/>
        </w:rPr>
        <w:fldChar w:fldCharType="end"/>
      </w:r>
      <w:r w:rsidR="00FD17C1">
        <w:rPr>
          <w:szCs w:val="22"/>
          <w:vertAlign w:val="superscript"/>
        </w:rPr>
        <w:t>,</w:t>
      </w:r>
      <w:r w:rsidR="0086763A" w:rsidRPr="00FD17C1">
        <w:rPr>
          <w:szCs w:val="22"/>
          <w:vertAlign w:val="superscript"/>
        </w:rPr>
        <w:fldChar w:fldCharType="begin"/>
      </w:r>
      <w:r w:rsidR="0086763A" w:rsidRPr="00FD17C1">
        <w:rPr>
          <w:szCs w:val="22"/>
          <w:vertAlign w:val="superscript"/>
        </w:rPr>
        <w:instrText xml:space="preserve"> REF _Ref6464558 \r \h  \* MERGEFORMAT </w:instrText>
      </w:r>
      <w:r w:rsidR="0086763A" w:rsidRPr="00FD17C1">
        <w:rPr>
          <w:szCs w:val="22"/>
          <w:vertAlign w:val="superscript"/>
        </w:rPr>
      </w:r>
      <w:r w:rsidR="0086763A" w:rsidRPr="00FD17C1">
        <w:rPr>
          <w:szCs w:val="22"/>
          <w:vertAlign w:val="superscript"/>
        </w:rPr>
        <w:fldChar w:fldCharType="separate"/>
      </w:r>
      <w:r w:rsidR="004F2D83">
        <w:rPr>
          <w:szCs w:val="22"/>
          <w:vertAlign w:val="superscript"/>
        </w:rPr>
        <w:t>5</w:t>
      </w:r>
      <w:r w:rsidR="0086763A" w:rsidRPr="00FD17C1">
        <w:rPr>
          <w:szCs w:val="22"/>
          <w:vertAlign w:val="superscript"/>
        </w:rPr>
        <w:fldChar w:fldCharType="end"/>
      </w:r>
      <w:r w:rsidR="00722502" w:rsidRPr="00445A2D">
        <w:rPr>
          <w:szCs w:val="22"/>
        </w:rPr>
        <w:t xml:space="preserve"> </w:t>
      </w:r>
      <w:r w:rsidR="006059B8">
        <w:rPr>
          <w:szCs w:val="22"/>
        </w:rPr>
        <w:t xml:space="preserve"> </w:t>
      </w:r>
      <w:r w:rsidR="00722502" w:rsidRPr="00445A2D">
        <w:rPr>
          <w:szCs w:val="22"/>
        </w:rPr>
        <w:t>For high</w:t>
      </w:r>
      <w:r w:rsidR="00A81536">
        <w:rPr>
          <w:szCs w:val="22"/>
        </w:rPr>
        <w:t xml:space="preserve"> </w:t>
      </w:r>
      <w:r w:rsidR="00722502" w:rsidRPr="00445A2D">
        <w:rPr>
          <w:szCs w:val="22"/>
        </w:rPr>
        <w:t xml:space="preserve">risk events, satellite operators may </w:t>
      </w:r>
      <w:r w:rsidR="00667EB1">
        <w:rPr>
          <w:szCs w:val="22"/>
        </w:rPr>
        <w:t>opt</w:t>
      </w:r>
      <w:r w:rsidR="00667EB1" w:rsidRPr="00445A2D">
        <w:rPr>
          <w:szCs w:val="22"/>
        </w:rPr>
        <w:t xml:space="preserve"> </w:t>
      </w:r>
      <w:r w:rsidR="00722502" w:rsidRPr="00445A2D">
        <w:rPr>
          <w:szCs w:val="22"/>
        </w:rPr>
        <w:t xml:space="preserve">to perform a risk mitigation maneuver (RMM) to reduce the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722502" w:rsidRPr="00445A2D">
        <w:rPr>
          <w:szCs w:val="22"/>
        </w:rPr>
        <w:t xml:space="preserve"> to a desired </w:t>
      </w:r>
      <w:r>
        <w:rPr>
          <w:szCs w:val="22"/>
        </w:rPr>
        <w:t>threshold</w:t>
      </w:r>
      <w:r w:rsidR="00722502" w:rsidRPr="00445A2D">
        <w:rPr>
          <w:szCs w:val="22"/>
        </w:rPr>
        <w:t xml:space="preserve">.  </w:t>
      </w:r>
      <w:r w:rsidR="00A81536">
        <w:rPr>
          <w:szCs w:val="22"/>
        </w:rPr>
        <w:t>Some</w:t>
      </w:r>
      <w:r w:rsidR="00D971D0" w:rsidRPr="00445A2D">
        <w:rPr>
          <w:szCs w:val="22"/>
        </w:rPr>
        <w:t xml:space="preserve"> missions operate under stringent lifetime survival policies</w:t>
      </w:r>
      <w:r w:rsidR="00667EB1">
        <w:rPr>
          <w:szCs w:val="22"/>
        </w:rPr>
        <w:t>, which drive mitigation actions</w:t>
      </w:r>
      <w:r w:rsidR="00D971D0" w:rsidRPr="00445A2D">
        <w:rPr>
          <w:szCs w:val="22"/>
        </w:rPr>
        <w:t xml:space="preserve">.  These </w:t>
      </w:r>
      <w:r w:rsidR="00667EB1">
        <w:rPr>
          <w:szCs w:val="22"/>
        </w:rPr>
        <w:t>policies</w:t>
      </w:r>
      <w:r w:rsidR="00667EB1" w:rsidRPr="00445A2D">
        <w:rPr>
          <w:szCs w:val="22"/>
        </w:rPr>
        <w:t xml:space="preserve"> </w:t>
      </w:r>
      <w:r w:rsidR="00D971D0" w:rsidRPr="00445A2D">
        <w:rPr>
          <w:szCs w:val="22"/>
        </w:rPr>
        <w:t xml:space="preserve">require that satellites survive their remaining active lifetimes </w:t>
      </w:r>
      <w:r w:rsidR="00F57BA9" w:rsidRPr="00445A2D">
        <w:rPr>
          <w:szCs w:val="22"/>
        </w:rPr>
        <w:t>at a high confidence level</w:t>
      </w:r>
      <w:r w:rsidR="00F57BA9">
        <w:rPr>
          <w:szCs w:val="22"/>
        </w:rPr>
        <w:t xml:space="preserve">, </w:t>
      </w:r>
      <w:r w:rsidR="00F57BA9" w:rsidRPr="00445A2D">
        <w:rPr>
          <w:szCs w:val="22"/>
        </w:rPr>
        <w:t>such as 99.9%</w:t>
      </w:r>
      <w:r w:rsidR="00F57BA9">
        <w:rPr>
          <w:szCs w:val="22"/>
        </w:rPr>
        <w:t xml:space="preserve">, </w:t>
      </w:r>
      <w:r w:rsidR="00D971D0" w:rsidRPr="00445A2D">
        <w:rPr>
          <w:szCs w:val="22"/>
        </w:rPr>
        <w:t xml:space="preserve">without a large-object collision. </w:t>
      </w:r>
      <w:r w:rsidR="00F57BA9">
        <w:rPr>
          <w:szCs w:val="22"/>
        </w:rPr>
        <w:t xml:space="preserve"> </w:t>
      </w:r>
      <w:r w:rsidR="00D971D0" w:rsidRPr="00445A2D">
        <w:rPr>
          <w:szCs w:val="22"/>
        </w:rPr>
        <w:t xml:space="preserve">In other words, conjunctions must be remediated in order to maintain a cumulative survival probability of </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cum</m:t>
            </m:r>
          </m:sub>
        </m:sSub>
        <m:r>
          <w:rPr>
            <w:rFonts w:ascii="Cambria Math" w:hAnsi="Cambria Math"/>
            <w:szCs w:val="22"/>
          </w:rPr>
          <m:t>≥0.999</m:t>
        </m:r>
      </m:oMath>
      <w:r w:rsidR="00D971D0" w:rsidRPr="00445A2D">
        <w:rPr>
          <w:szCs w:val="22"/>
        </w:rPr>
        <w:t xml:space="preserve">, thereby reducing the cumulative collision probability to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cum</m:t>
            </m:r>
          </m:sub>
        </m:sSub>
        <m:r>
          <w:rPr>
            <w:rFonts w:ascii="Cambria Math" w:hAnsi="Cambria Math"/>
            <w:szCs w:val="22"/>
          </w:rPr>
          <m:t>=1-</m:t>
        </m:r>
        <m:sSub>
          <m:sSubPr>
            <m:ctrlPr>
              <w:rPr>
                <w:rFonts w:ascii="Cambria Math" w:hAnsi="Cambria Math"/>
                <w:i/>
                <w:szCs w:val="22"/>
              </w:rPr>
            </m:ctrlPr>
          </m:sSubPr>
          <m:e>
            <m:r>
              <w:rPr>
                <w:rFonts w:ascii="Cambria Math" w:hAnsi="Cambria Math"/>
                <w:szCs w:val="22"/>
              </w:rPr>
              <m:t>S</m:t>
            </m:r>
          </m:e>
          <m:sub>
            <m:r>
              <w:rPr>
                <w:rFonts w:ascii="Cambria Math" w:hAnsi="Cambria Math"/>
                <w:szCs w:val="22"/>
              </w:rPr>
              <m:t>cum</m:t>
            </m:r>
          </m:sub>
        </m:sSub>
        <m:r>
          <w:rPr>
            <w:rFonts w:ascii="Cambria Math" w:hAnsi="Cambria Math"/>
            <w:szCs w:val="22"/>
          </w:rPr>
          <m:t>≤</m:t>
        </m:r>
        <m:sSup>
          <m:sSupPr>
            <m:ctrlPr>
              <w:rPr>
                <w:rFonts w:ascii="Cambria Math" w:hAnsi="Cambria Math"/>
                <w:i/>
                <w:szCs w:val="22"/>
              </w:rPr>
            </m:ctrlPr>
          </m:sSupPr>
          <m:e>
            <m:r>
              <w:rPr>
                <w:rFonts w:ascii="Cambria Math" w:hAnsi="Cambria Math"/>
                <w:szCs w:val="22"/>
              </w:rPr>
              <m:t>10</m:t>
            </m:r>
          </m:e>
          <m:sup>
            <m:r>
              <w:rPr>
                <w:rFonts w:ascii="Cambria Math" w:hAnsi="Cambria Math"/>
                <w:szCs w:val="22"/>
              </w:rPr>
              <m:t>-3</m:t>
            </m:r>
          </m:sup>
        </m:sSup>
      </m:oMath>
      <w:r w:rsidR="00D971D0" w:rsidRPr="00445A2D">
        <w:rPr>
          <w:szCs w:val="22"/>
        </w:rPr>
        <w:t xml:space="preserve">.  Such policies not only help ensure that satellites provide a </w:t>
      </w:r>
      <w:r w:rsidR="00D971D0" w:rsidRPr="00445A2D">
        <w:rPr>
          <w:szCs w:val="22"/>
        </w:rPr>
        <w:lastRenderedPageBreak/>
        <w:t xml:space="preserve">sufficient return on investment, they also enable </w:t>
      </w:r>
      <w:r w:rsidR="00A81536">
        <w:rPr>
          <w:szCs w:val="22"/>
        </w:rPr>
        <w:t>reliable</w:t>
      </w:r>
      <w:r w:rsidR="00EE3ACF">
        <w:rPr>
          <w:szCs w:val="22"/>
        </w:rPr>
        <w:t xml:space="preserve"> and responsible</w:t>
      </w:r>
      <w:r w:rsidR="00D971D0" w:rsidRPr="00445A2D">
        <w:rPr>
          <w:szCs w:val="22"/>
        </w:rPr>
        <w:t xml:space="preserve"> end-of-life disposal activities, which can prevent valuable orbital regions from accumulating inactive, debris-generating satellites.</w:t>
      </w:r>
    </w:p>
    <w:p w14:paraId="2CDBD905" w14:textId="1D39BB7F" w:rsidR="00D971D0" w:rsidRPr="00445A2D" w:rsidRDefault="00D971D0" w:rsidP="00D971D0">
      <w:pPr>
        <w:rPr>
          <w:szCs w:val="22"/>
        </w:rPr>
      </w:pPr>
      <w:r w:rsidRPr="00445A2D">
        <w:rPr>
          <w:szCs w:val="22"/>
        </w:rPr>
        <w:t xml:space="preserve">This study presents a method to </w:t>
      </w:r>
      <w:r w:rsidR="007F456E">
        <w:rPr>
          <w:szCs w:val="22"/>
        </w:rPr>
        <w:t>estimate</w:t>
      </w:r>
      <w:r w:rsidRPr="00445A2D">
        <w:rPr>
          <w:szCs w:val="22"/>
        </w:rPr>
        <w:t xml:space="preserve"> conjunction remediation thresholds that satisfy such lifetime survival policy </w:t>
      </w:r>
      <w:r w:rsidR="00F70F34">
        <w:rPr>
          <w:szCs w:val="22"/>
        </w:rPr>
        <w:t>policies</w:t>
      </w:r>
      <w:r w:rsidRPr="00445A2D">
        <w:rPr>
          <w:szCs w:val="22"/>
        </w:rPr>
        <w:t>.  Specifically, the formulation combines survival probability analysis with satellite conjunction histories in order to estimate risk remediation thresholds as a function of a satellite’s hard-body radius</w:t>
      </w:r>
      <w:r w:rsidR="00E456E4">
        <w:rPr>
          <w:szCs w:val="22"/>
        </w:rPr>
        <w:t xml:space="preserve"> </w:t>
      </w:r>
      <w:r w:rsidR="00E456E4">
        <w:t>(HBR)</w:t>
      </w:r>
      <w:r w:rsidRPr="00445A2D">
        <w:rPr>
          <w:szCs w:val="22"/>
        </w:rPr>
        <w:t xml:space="preserve">, on-orbit duration, and </w:t>
      </w:r>
      <w:r w:rsidR="00EE3ACF">
        <w:rPr>
          <w:szCs w:val="22"/>
        </w:rPr>
        <w:t>additional</w:t>
      </w:r>
      <w:r w:rsidR="00EE3ACF" w:rsidRPr="00445A2D">
        <w:rPr>
          <w:szCs w:val="22"/>
        </w:rPr>
        <w:t xml:space="preserve"> </w:t>
      </w:r>
      <w:r w:rsidRPr="00445A2D">
        <w:rPr>
          <w:szCs w:val="22"/>
        </w:rPr>
        <w:t xml:space="preserve">mission parameters.  The semi-empirical method employs observed conjunction histories, each of which </w:t>
      </w:r>
      <w:r w:rsidR="001B1C85">
        <w:rPr>
          <w:szCs w:val="22"/>
        </w:rPr>
        <w:t>include</w:t>
      </w:r>
      <w:r w:rsidR="00085378">
        <w:rPr>
          <w:szCs w:val="22"/>
        </w:rPr>
        <w:t>s</w:t>
      </w:r>
      <w:r w:rsidR="001B1C85">
        <w:rPr>
          <w:szCs w:val="22"/>
        </w:rPr>
        <w:t xml:space="preserve"> </w:t>
      </w:r>
      <w:r w:rsidRPr="00445A2D">
        <w:rPr>
          <w:szCs w:val="22"/>
        </w:rPr>
        <w:t>the</w:t>
      </w:r>
      <w:r w:rsidR="001B1C85">
        <w:rPr>
          <w:szCs w:val="22"/>
        </w:rPr>
        <w:t xml:space="preserve"> </w:t>
      </w:r>
      <w:r w:rsidR="00085378">
        <w:rPr>
          <w:szCs w:val="22"/>
        </w:rPr>
        <w:t xml:space="preserve">orbital </w:t>
      </w:r>
      <w:r w:rsidR="001B1C85" w:rsidRPr="00445A2D">
        <w:rPr>
          <w:szCs w:val="22"/>
        </w:rPr>
        <w:t xml:space="preserve">states and covariances for the comprehensive sequence of conjunctions experienced by an actual cataloged </w:t>
      </w:r>
      <w:r w:rsidR="00085378">
        <w:rPr>
          <w:szCs w:val="22"/>
        </w:rPr>
        <w:t xml:space="preserve">primary </w:t>
      </w:r>
      <w:r w:rsidR="001B1C85" w:rsidRPr="00445A2D">
        <w:rPr>
          <w:szCs w:val="22"/>
        </w:rPr>
        <w:t xml:space="preserve">satellite over </w:t>
      </w:r>
      <w:r w:rsidR="001B1C85">
        <w:rPr>
          <w:szCs w:val="22"/>
        </w:rPr>
        <w:t>many</w:t>
      </w:r>
      <w:r w:rsidR="001B1C85" w:rsidRPr="00445A2D">
        <w:rPr>
          <w:szCs w:val="22"/>
        </w:rPr>
        <w:t xml:space="preserve"> years, </w:t>
      </w:r>
      <w:r w:rsidR="001B1C85">
        <w:rPr>
          <w:szCs w:val="22"/>
        </w:rPr>
        <w:t>as</w:t>
      </w:r>
      <w:r w:rsidR="001B1C85" w:rsidRPr="00445A2D">
        <w:rPr>
          <w:szCs w:val="22"/>
        </w:rPr>
        <w:t xml:space="preserve"> compiled in a</w:t>
      </w:r>
      <w:r w:rsidR="001B1C85">
        <w:rPr>
          <w:szCs w:val="22"/>
        </w:rPr>
        <w:t>n</w:t>
      </w:r>
      <w:r w:rsidR="001B1C85" w:rsidRPr="00445A2D">
        <w:rPr>
          <w:szCs w:val="22"/>
        </w:rPr>
        <w:t xml:space="preserve"> archive</w:t>
      </w:r>
      <w:r w:rsidR="001B1C85">
        <w:rPr>
          <w:szCs w:val="22"/>
        </w:rPr>
        <w:t xml:space="preserve"> </w:t>
      </w:r>
      <w:r w:rsidR="001B1C85" w:rsidRPr="00445A2D">
        <w:rPr>
          <w:szCs w:val="22"/>
        </w:rPr>
        <w:t>database.</w:t>
      </w:r>
      <w:r w:rsidRPr="00445A2D">
        <w:rPr>
          <w:szCs w:val="22"/>
        </w:rPr>
        <w:t xml:space="preserve"> These histories can be used to approximate cumulative collision probabilities for hypothetical</w:t>
      </w:r>
      <w:r w:rsidR="00861611">
        <w:rPr>
          <w:szCs w:val="22"/>
        </w:rPr>
        <w:t>, model</w:t>
      </w:r>
      <w:r w:rsidRPr="00445A2D">
        <w:rPr>
          <w:szCs w:val="22"/>
        </w:rPr>
        <w:t xml:space="preserve"> objects flying in orbits similar to those of the </w:t>
      </w:r>
      <w:r w:rsidR="004518CE">
        <w:rPr>
          <w:szCs w:val="22"/>
        </w:rPr>
        <w:t>observed</w:t>
      </w:r>
      <w:r w:rsidRPr="00445A2D">
        <w:rPr>
          <w:szCs w:val="22"/>
        </w:rPr>
        <w:t xml:space="preserve"> </w:t>
      </w:r>
      <w:r w:rsidR="00085378">
        <w:rPr>
          <w:szCs w:val="22"/>
        </w:rPr>
        <w:t xml:space="preserve">primary </w:t>
      </w:r>
      <w:r w:rsidRPr="00445A2D">
        <w:rPr>
          <w:szCs w:val="22"/>
        </w:rPr>
        <w:t>satellites.  The formulation allows the model</w:t>
      </w:r>
      <w:r w:rsidR="00861611">
        <w:rPr>
          <w:szCs w:val="22"/>
        </w:rPr>
        <w:t>ed</w:t>
      </w:r>
      <w:r w:rsidRPr="00445A2D">
        <w:rPr>
          <w:szCs w:val="22"/>
        </w:rPr>
        <w:t xml:space="preserve"> satellites to have </w:t>
      </w:r>
      <w:r w:rsidR="005D6E4A">
        <w:rPr>
          <w:szCs w:val="22"/>
        </w:rPr>
        <w:t>HBR values</w:t>
      </w:r>
      <w:r w:rsidRPr="00445A2D">
        <w:rPr>
          <w:szCs w:val="22"/>
        </w:rPr>
        <w:t xml:space="preserve"> and mission lifetimes different than those of the original satellites.</w:t>
      </w:r>
    </w:p>
    <w:p w14:paraId="7DE1C0E8" w14:textId="0AA8D85E" w:rsidR="00D971D0" w:rsidRDefault="00D971D0" w:rsidP="00D971D0">
      <w:pPr>
        <w:rPr>
          <w:szCs w:val="22"/>
        </w:rPr>
      </w:pPr>
      <w:r w:rsidRPr="00445A2D">
        <w:rPr>
          <w:szCs w:val="22"/>
        </w:rPr>
        <w:t>The analysis indicates that semi-empirical cumulative collision probabilities</w:t>
      </w:r>
      <w:r w:rsidR="005E10F0">
        <w:rPr>
          <w:szCs w:val="22"/>
        </w:rPr>
        <w:t>,</w:t>
      </w:r>
      <w:r w:rsidR="00C24528">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cum</m:t>
            </m:r>
          </m:sub>
        </m:sSub>
        <m:r>
          <w:rPr>
            <w:rFonts w:ascii="Cambria Math" w:hAnsi="Cambria Math"/>
            <w:szCs w:val="22"/>
          </w:rPr>
          <m:t>,</m:t>
        </m:r>
      </m:oMath>
      <w:r w:rsidR="00C24528" w:rsidRPr="00445A2D">
        <w:rPr>
          <w:szCs w:val="22"/>
        </w:rPr>
        <w:t xml:space="preserve"> </w:t>
      </w:r>
      <w:r w:rsidR="00F70F34">
        <w:rPr>
          <w:szCs w:val="22"/>
        </w:rPr>
        <w:t>increase</w:t>
      </w:r>
      <w:r w:rsidR="00200D93" w:rsidRPr="00445A2D">
        <w:rPr>
          <w:szCs w:val="22"/>
        </w:rPr>
        <w:t xml:space="preserve"> </w:t>
      </w:r>
      <w:r w:rsidRPr="00445A2D">
        <w:rPr>
          <w:szCs w:val="22"/>
        </w:rPr>
        <w:t xml:space="preserve">significantly </w:t>
      </w:r>
      <w:r w:rsidR="00F70F34">
        <w:rPr>
          <w:szCs w:val="22"/>
        </w:rPr>
        <w:t>with increasing</w:t>
      </w:r>
      <w:r w:rsidR="00200D93" w:rsidRPr="00445A2D">
        <w:rPr>
          <w:szCs w:val="22"/>
        </w:rPr>
        <w:t xml:space="preserve"> </w:t>
      </w:r>
      <w:r w:rsidRPr="00445A2D">
        <w:rPr>
          <w:szCs w:val="22"/>
        </w:rPr>
        <w:t xml:space="preserve">hard-body radius and remaining on-orbit duration.  If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cum</m:t>
            </m:r>
          </m:sub>
        </m:sSub>
      </m:oMath>
      <w:r w:rsidRPr="00445A2D">
        <w:rPr>
          <w:szCs w:val="22"/>
        </w:rPr>
        <w:t xml:space="preserve"> exceeds a mission’s </w:t>
      </w:r>
      <w:r w:rsidR="00200D93">
        <w:rPr>
          <w:szCs w:val="22"/>
        </w:rPr>
        <w:t>lifetime threshold</w:t>
      </w:r>
      <w:r w:rsidRPr="00445A2D">
        <w:rPr>
          <w:szCs w:val="22"/>
        </w:rPr>
        <w:t xml:space="preserve"> (e.g.,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cum</m:t>
            </m:r>
          </m:sub>
        </m:sSub>
        <m:r>
          <w:rPr>
            <w:rFonts w:ascii="Cambria Math" w:hAnsi="Cambria Math"/>
            <w:szCs w:val="22"/>
          </w:rPr>
          <m:t>&gt;</m:t>
        </m:r>
        <m:sSup>
          <m:sSupPr>
            <m:ctrlPr>
              <w:rPr>
                <w:rFonts w:ascii="Cambria Math" w:hAnsi="Cambria Math"/>
                <w:i/>
                <w:szCs w:val="22"/>
              </w:rPr>
            </m:ctrlPr>
          </m:sSupPr>
          <m:e>
            <m:r>
              <w:rPr>
                <w:rFonts w:ascii="Cambria Math" w:hAnsi="Cambria Math"/>
                <w:szCs w:val="22"/>
              </w:rPr>
              <m:t>10</m:t>
            </m:r>
          </m:e>
          <m:sup>
            <m:r>
              <w:rPr>
                <w:rFonts w:ascii="Cambria Math" w:hAnsi="Cambria Math"/>
                <w:szCs w:val="22"/>
              </w:rPr>
              <m:t>-3</m:t>
            </m:r>
          </m:sup>
        </m:sSup>
        <m:r>
          <w:rPr>
            <w:rFonts w:ascii="Cambria Math" w:hAnsi="Cambria Math"/>
            <w:szCs w:val="22"/>
          </w:rPr>
          <m:t>)</m:t>
        </m:r>
      </m:oMath>
      <w:r w:rsidRPr="00445A2D">
        <w:rPr>
          <w:szCs w:val="22"/>
        </w:rPr>
        <w:t xml:space="preserve">, then risk remediation </w:t>
      </w:r>
      <w:r w:rsidR="00085378">
        <w:rPr>
          <w:szCs w:val="22"/>
        </w:rPr>
        <w:t xml:space="preserve">actions </w:t>
      </w:r>
      <w:r w:rsidRPr="00445A2D">
        <w:rPr>
          <w:szCs w:val="22"/>
        </w:rPr>
        <w:t xml:space="preserve">must be </w:t>
      </w:r>
      <w:r w:rsidR="00200D93">
        <w:rPr>
          <w:szCs w:val="22"/>
        </w:rPr>
        <w:t>included</w:t>
      </w:r>
      <w:r w:rsidR="00200D93" w:rsidRPr="00445A2D">
        <w:rPr>
          <w:szCs w:val="22"/>
        </w:rPr>
        <w:t xml:space="preserve"> </w:t>
      </w:r>
      <w:r w:rsidRPr="00445A2D">
        <w:rPr>
          <w:szCs w:val="22"/>
        </w:rPr>
        <w:t xml:space="preserve">within the model, and the </w:t>
      </w:r>
      <w:r w:rsidR="00C24528">
        <w:rPr>
          <w:szCs w:val="22"/>
        </w:rPr>
        <w:t>formulation</w:t>
      </w:r>
      <w:r w:rsidRPr="00445A2D">
        <w:rPr>
          <w:szCs w:val="22"/>
        </w:rPr>
        <w:t xml:space="preserve"> provides a means to study how much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cum</m:t>
            </m:r>
          </m:sub>
        </m:sSub>
      </m:oMath>
      <w:r w:rsidRPr="00445A2D">
        <w:rPr>
          <w:szCs w:val="22"/>
        </w:rPr>
        <w:t xml:space="preserve"> can be reduced by performing </w:t>
      </w:r>
      <w:r w:rsidR="00A81536">
        <w:rPr>
          <w:szCs w:val="22"/>
        </w:rPr>
        <w:t>maneuvers</w:t>
      </w:r>
      <w:r w:rsidRPr="00445A2D">
        <w:rPr>
          <w:szCs w:val="22"/>
        </w:rPr>
        <w:t xml:space="preserve">.  This in turn provides a means to estimate appropriate </w:t>
      </w:r>
      <w:r w:rsidR="00A81536">
        <w:rPr>
          <w:szCs w:val="22"/>
        </w:rPr>
        <w:t>remediation</w:t>
      </w:r>
      <w:r w:rsidRPr="00445A2D">
        <w:rPr>
          <w:szCs w:val="22"/>
        </w:rPr>
        <w:t xml:space="preserve"> threshold</w:t>
      </w:r>
      <w:r w:rsidR="00A81536">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Pr="00445A2D">
        <w:rPr>
          <w:szCs w:val="22"/>
        </w:rPr>
        <w:t xml:space="preserve"> levels throughout a mission’s lifetime, as well as expected remediation maneuver</w:t>
      </w:r>
      <w:r w:rsidR="00200D93">
        <w:rPr>
          <w:szCs w:val="22"/>
        </w:rPr>
        <w:t xml:space="preserve"> frequencies</w:t>
      </w:r>
      <w:r w:rsidRPr="00445A2D">
        <w:rPr>
          <w:szCs w:val="22"/>
        </w:rPr>
        <w:t xml:space="preserve">.  Finally, the study </w:t>
      </w:r>
      <w:r w:rsidR="00200D93">
        <w:rPr>
          <w:szCs w:val="22"/>
        </w:rPr>
        <w:t>demonstrates</w:t>
      </w:r>
      <w:r w:rsidR="00200D93" w:rsidRPr="00445A2D">
        <w:rPr>
          <w:szCs w:val="22"/>
        </w:rPr>
        <w:t xml:space="preserve"> </w:t>
      </w:r>
      <w:r w:rsidRPr="00445A2D">
        <w:rPr>
          <w:szCs w:val="22"/>
        </w:rPr>
        <w:t>the effects of incorporating collision “consequence” considerations</w:t>
      </w:r>
      <w:r w:rsidRPr="0086763A">
        <w:rPr>
          <w:szCs w:val="22"/>
          <w:vertAlign w:val="superscript"/>
        </w:rPr>
        <w:fldChar w:fldCharType="begin"/>
      </w:r>
      <w:r w:rsidRPr="0086763A">
        <w:rPr>
          <w:szCs w:val="22"/>
          <w:vertAlign w:val="superscript"/>
        </w:rPr>
        <w:instrText xml:space="preserve"> REF _Ref6464712 \r \h  \* MERGEFORMAT </w:instrText>
      </w:r>
      <w:r w:rsidRPr="0086763A">
        <w:rPr>
          <w:szCs w:val="22"/>
          <w:vertAlign w:val="superscript"/>
        </w:rPr>
      </w:r>
      <w:r w:rsidRPr="0086763A">
        <w:rPr>
          <w:szCs w:val="22"/>
          <w:vertAlign w:val="superscript"/>
        </w:rPr>
        <w:fldChar w:fldCharType="separate"/>
      </w:r>
      <w:r w:rsidR="004F2D83">
        <w:rPr>
          <w:szCs w:val="22"/>
          <w:vertAlign w:val="superscript"/>
        </w:rPr>
        <w:t>6</w:t>
      </w:r>
      <w:r w:rsidRPr="0086763A">
        <w:rPr>
          <w:szCs w:val="22"/>
          <w:vertAlign w:val="superscript"/>
        </w:rPr>
        <w:fldChar w:fldCharType="end"/>
      </w:r>
      <w:r>
        <w:rPr>
          <w:szCs w:val="22"/>
        </w:rPr>
        <w:t xml:space="preserve"> </w:t>
      </w:r>
      <w:r w:rsidR="00F70F34">
        <w:rPr>
          <w:szCs w:val="22"/>
        </w:rPr>
        <w:t>that</w:t>
      </w:r>
      <w:r w:rsidRPr="00445A2D">
        <w:rPr>
          <w:szCs w:val="22"/>
        </w:rPr>
        <w:t xml:space="preserve"> establish thresholds to remediate risk for only the most catastrophic collisions.</w:t>
      </w:r>
    </w:p>
    <w:p w14:paraId="305320E8" w14:textId="066161A6" w:rsidR="00CD2061" w:rsidRDefault="00AB4844" w:rsidP="00B93198">
      <w:pPr>
        <w:pStyle w:val="Section"/>
      </w:pPr>
      <w:r>
        <w:t xml:space="preserve">overview of </w:t>
      </w:r>
      <w:r w:rsidR="003337CE">
        <w:t xml:space="preserve">cara </w:t>
      </w:r>
      <w:r>
        <w:t xml:space="preserve">conjunction </w:t>
      </w:r>
      <w:r w:rsidR="00260FC6">
        <w:t xml:space="preserve">RISK </w:t>
      </w:r>
      <w:r>
        <w:t>assessment</w:t>
      </w:r>
      <w:r w:rsidR="00402DFF">
        <w:t xml:space="preserve"> </w:t>
      </w:r>
      <w:r w:rsidR="003337CE">
        <w:t>and archived data</w:t>
      </w:r>
    </w:p>
    <w:p w14:paraId="2F084771" w14:textId="273B7EE2" w:rsidR="004933F4" w:rsidRDefault="00260FC6" w:rsidP="00C775AF">
      <w:r>
        <w:t xml:space="preserve">This section provides a brief overview </w:t>
      </w:r>
      <w:r w:rsidR="00493669">
        <w:t xml:space="preserve">of </w:t>
      </w:r>
      <w:r w:rsidR="003C56F5">
        <w:t xml:space="preserve">CARA risk assessment </w:t>
      </w:r>
      <w:r>
        <w:t>concepts</w:t>
      </w:r>
      <w:r w:rsidR="003337CE">
        <w:t xml:space="preserve"> and archived conjunction data</w:t>
      </w:r>
      <w:r>
        <w:t xml:space="preserve">, which </w:t>
      </w:r>
      <w:r w:rsidR="001877A0">
        <w:t>are</w:t>
      </w:r>
      <w:r>
        <w:t xml:space="preserve"> subsequently </w:t>
      </w:r>
      <w:r w:rsidR="00AA0C20">
        <w:t xml:space="preserve">used </w:t>
      </w:r>
      <w:r>
        <w:t xml:space="preserve">to formulate </w:t>
      </w:r>
      <w:r w:rsidR="00624FDA">
        <w:t>the</w:t>
      </w:r>
      <w:r w:rsidR="009A5AC5">
        <w:t xml:space="preserve"> </w:t>
      </w:r>
      <w:r>
        <w:t>semi-empirical method of estimating cumulative collision probabilities.</w:t>
      </w:r>
    </w:p>
    <w:p w14:paraId="25650777" w14:textId="7C0DEECA" w:rsidR="004933F4" w:rsidRDefault="0011788F" w:rsidP="004933F4">
      <w:pPr>
        <w:pStyle w:val="Sub-Section"/>
      </w:pPr>
      <w:r>
        <w:t>Satellite Conjunction Histories</w:t>
      </w:r>
    </w:p>
    <w:p w14:paraId="000469D9" w14:textId="5CF9745F" w:rsidR="00DB74F0" w:rsidRDefault="006225A6" w:rsidP="0011788F">
      <w:r>
        <w:t xml:space="preserve">CARA assesses conjunction risk for several high-value satellites, and has been doing so for over a decade.  </w:t>
      </w:r>
      <w:r w:rsidR="005E10F0">
        <w:t>During processing, t</w:t>
      </w:r>
      <w:r w:rsidR="00D5162F">
        <w:t xml:space="preserve">he CARA system </w:t>
      </w:r>
      <w:r w:rsidR="00835A21">
        <w:t xml:space="preserve">first </w:t>
      </w:r>
      <w:r w:rsidR="00D5162F">
        <w:t>detects candidate</w:t>
      </w:r>
      <w:r w:rsidR="002E4DF0">
        <w:t xml:space="preserve"> satellite</w:t>
      </w:r>
      <w:r w:rsidR="00D5162F">
        <w:t xml:space="preserve"> close encounters </w:t>
      </w:r>
      <w:r w:rsidR="009000DE">
        <w:t>seven</w:t>
      </w:r>
      <w:r w:rsidR="00D5162F">
        <w:t xml:space="preserve"> to ten days in advance using </w:t>
      </w:r>
      <w:r w:rsidR="00EB21FF">
        <w:t>a screening-volume approach</w:t>
      </w:r>
      <w:r w:rsidR="00236424" w:rsidRPr="00F426BF">
        <w:rPr>
          <w:vertAlign w:val="superscript"/>
        </w:rPr>
        <w:fldChar w:fldCharType="begin"/>
      </w:r>
      <w:r w:rsidR="00236424" w:rsidRPr="00F426BF">
        <w:rPr>
          <w:vertAlign w:val="superscript"/>
        </w:rPr>
        <w:instrText xml:space="preserve"> REF _Ref6467235 \r \h </w:instrText>
      </w:r>
      <w:r w:rsidR="00236424">
        <w:rPr>
          <w:vertAlign w:val="superscript"/>
        </w:rPr>
        <w:instrText xml:space="preserve"> \* MERGEFORMAT </w:instrText>
      </w:r>
      <w:r w:rsidR="00236424" w:rsidRPr="00F426BF">
        <w:rPr>
          <w:vertAlign w:val="superscript"/>
        </w:rPr>
      </w:r>
      <w:r w:rsidR="00236424" w:rsidRPr="00F426BF">
        <w:rPr>
          <w:vertAlign w:val="superscript"/>
        </w:rPr>
        <w:fldChar w:fldCharType="separate"/>
      </w:r>
      <w:r w:rsidR="004F2D83">
        <w:rPr>
          <w:vertAlign w:val="superscript"/>
        </w:rPr>
        <w:t>7</w:t>
      </w:r>
      <w:r w:rsidR="00236424" w:rsidRPr="00F426BF">
        <w:rPr>
          <w:vertAlign w:val="superscript"/>
        </w:rPr>
        <w:fldChar w:fldCharType="end"/>
      </w:r>
      <w:r w:rsidR="00EB21FF">
        <w:t xml:space="preserve"> </w:t>
      </w:r>
      <w:r w:rsidR="003C56F5">
        <w:t>incorporating</w:t>
      </w:r>
      <w:r w:rsidR="00EB21FF">
        <w:t xml:space="preserve"> t</w:t>
      </w:r>
      <w:r w:rsidR="00FE1B37">
        <w:t>he latest available tracking data and orbit determination (OD)</w:t>
      </w:r>
      <w:r w:rsidR="003337CE">
        <w:t xml:space="preserve"> solutions</w:t>
      </w:r>
      <w:r w:rsidR="00606400">
        <w:t>.</w:t>
      </w:r>
      <w:r w:rsidR="00F426BF" w:rsidRPr="00F426BF">
        <w:rPr>
          <w:vertAlign w:val="superscript"/>
        </w:rPr>
        <w:fldChar w:fldCharType="begin"/>
      </w:r>
      <w:r w:rsidR="00F426BF" w:rsidRPr="00F426BF">
        <w:rPr>
          <w:vertAlign w:val="superscript"/>
        </w:rPr>
        <w:instrText xml:space="preserve"> REF _Ref514676578 \r \h </w:instrText>
      </w:r>
      <w:r w:rsidR="00F426BF">
        <w:rPr>
          <w:vertAlign w:val="superscript"/>
        </w:rPr>
        <w:instrText xml:space="preserve"> \* MERGEFORMAT </w:instrText>
      </w:r>
      <w:r w:rsidR="00F426BF" w:rsidRPr="00F426BF">
        <w:rPr>
          <w:vertAlign w:val="superscript"/>
        </w:rPr>
      </w:r>
      <w:r w:rsidR="00F426BF" w:rsidRPr="00F426BF">
        <w:rPr>
          <w:vertAlign w:val="superscript"/>
        </w:rPr>
        <w:fldChar w:fldCharType="separate"/>
      </w:r>
      <w:r w:rsidR="004F2D83">
        <w:rPr>
          <w:vertAlign w:val="superscript"/>
        </w:rPr>
        <w:t>8</w:t>
      </w:r>
      <w:r w:rsidR="00F426BF" w:rsidRPr="00F426BF">
        <w:rPr>
          <w:vertAlign w:val="superscript"/>
        </w:rPr>
        <w:fldChar w:fldCharType="end"/>
      </w:r>
      <w:r w:rsidR="00F426BF" w:rsidRPr="00F426BF">
        <w:rPr>
          <w:vertAlign w:val="superscript"/>
        </w:rPr>
        <w:t>,</w:t>
      </w:r>
      <w:r w:rsidR="00F426BF" w:rsidRPr="00F426BF">
        <w:rPr>
          <w:vertAlign w:val="superscript"/>
        </w:rPr>
        <w:fldChar w:fldCharType="begin"/>
      </w:r>
      <w:r w:rsidR="00F426BF" w:rsidRPr="00F426BF">
        <w:rPr>
          <w:vertAlign w:val="superscript"/>
        </w:rPr>
        <w:instrText xml:space="preserve"> REF _Ref514676675 \r \h </w:instrText>
      </w:r>
      <w:r w:rsidR="00F426BF">
        <w:rPr>
          <w:vertAlign w:val="superscript"/>
        </w:rPr>
        <w:instrText xml:space="preserve"> \* MERGEFORMAT </w:instrText>
      </w:r>
      <w:r w:rsidR="00F426BF" w:rsidRPr="00F426BF">
        <w:rPr>
          <w:vertAlign w:val="superscript"/>
        </w:rPr>
      </w:r>
      <w:r w:rsidR="00F426BF" w:rsidRPr="00F426BF">
        <w:rPr>
          <w:vertAlign w:val="superscript"/>
        </w:rPr>
        <w:fldChar w:fldCharType="separate"/>
      </w:r>
      <w:r w:rsidR="004F2D83">
        <w:rPr>
          <w:vertAlign w:val="superscript"/>
        </w:rPr>
        <w:t>9</w:t>
      </w:r>
      <w:r w:rsidR="00F426BF" w:rsidRPr="00F426BF">
        <w:rPr>
          <w:vertAlign w:val="superscript"/>
        </w:rPr>
        <w:fldChar w:fldCharType="end"/>
      </w:r>
      <w:r w:rsidR="00D5162F">
        <w:t xml:space="preserve">  </w:t>
      </w:r>
      <w:r>
        <w:t>Th</w:t>
      </w:r>
      <w:r w:rsidR="003C56F5">
        <w:t>is</w:t>
      </w:r>
      <w:r>
        <w:t xml:space="preserve"> effort primarily employs the catalog of trackable satellites </w:t>
      </w:r>
      <w:r w:rsidR="003C56F5">
        <w:t xml:space="preserve">and associated OD solutions </w:t>
      </w:r>
      <w:r>
        <w:t>maintained by the U</w:t>
      </w:r>
      <w:r w:rsidR="00213E33">
        <w:t>nited States</w:t>
      </w:r>
      <w:r>
        <w:t xml:space="preserve"> Air Force.</w:t>
      </w:r>
      <w:r w:rsidRPr="00D5162F">
        <w:rPr>
          <w:vertAlign w:val="superscript"/>
        </w:rPr>
        <w:fldChar w:fldCharType="begin"/>
      </w:r>
      <w:r w:rsidRPr="00D5162F">
        <w:rPr>
          <w:vertAlign w:val="superscript"/>
        </w:rPr>
        <w:instrText xml:space="preserve"> REF _Ref6467235 \r \h </w:instrText>
      </w:r>
      <w:r>
        <w:rPr>
          <w:vertAlign w:val="superscript"/>
        </w:rPr>
        <w:instrText xml:space="preserve"> \* MERGEFORMAT </w:instrText>
      </w:r>
      <w:r w:rsidRPr="00D5162F">
        <w:rPr>
          <w:vertAlign w:val="superscript"/>
        </w:rPr>
      </w:r>
      <w:r w:rsidRPr="00D5162F">
        <w:rPr>
          <w:vertAlign w:val="superscript"/>
        </w:rPr>
        <w:fldChar w:fldCharType="separate"/>
      </w:r>
      <w:r w:rsidR="004F2D83">
        <w:rPr>
          <w:vertAlign w:val="superscript"/>
        </w:rPr>
        <w:t>7</w:t>
      </w:r>
      <w:r w:rsidRPr="00D5162F">
        <w:rPr>
          <w:vertAlign w:val="superscript"/>
        </w:rPr>
        <w:fldChar w:fldCharType="end"/>
      </w:r>
      <w:r w:rsidR="00D613E3">
        <w:rPr>
          <w:vertAlign w:val="superscript"/>
        </w:rPr>
        <w:t>,</w:t>
      </w:r>
      <w:r w:rsidR="00D613E3">
        <w:rPr>
          <w:vertAlign w:val="superscript"/>
        </w:rPr>
        <w:fldChar w:fldCharType="begin"/>
      </w:r>
      <w:r w:rsidR="00D613E3">
        <w:rPr>
          <w:vertAlign w:val="superscript"/>
        </w:rPr>
        <w:instrText xml:space="preserve"> REF _Ref514676675 \r \h </w:instrText>
      </w:r>
      <w:r w:rsidR="00D613E3">
        <w:rPr>
          <w:vertAlign w:val="superscript"/>
        </w:rPr>
      </w:r>
      <w:r w:rsidR="00D613E3">
        <w:rPr>
          <w:vertAlign w:val="superscript"/>
        </w:rPr>
        <w:fldChar w:fldCharType="separate"/>
      </w:r>
      <w:r w:rsidR="004F2D83">
        <w:rPr>
          <w:vertAlign w:val="superscript"/>
        </w:rPr>
        <w:t>9</w:t>
      </w:r>
      <w:r w:rsidR="00D613E3">
        <w:rPr>
          <w:vertAlign w:val="superscript"/>
        </w:rPr>
        <w:fldChar w:fldCharType="end"/>
      </w:r>
      <w:r w:rsidRPr="00D5162F">
        <w:t xml:space="preserve"> </w:t>
      </w:r>
      <w:r w:rsidR="00DB74F0">
        <w:t>For each conjunction, CARA assesses collision risk using a s</w:t>
      </w:r>
      <w:r w:rsidR="0081749C">
        <w:t>uite</w:t>
      </w:r>
      <w:r w:rsidR="00DB74F0">
        <w:t xml:space="preserve">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0694C">
        <w:t xml:space="preserve"> </w:t>
      </w:r>
      <w:r w:rsidR="00DB74F0">
        <w:t>estimation methods</w:t>
      </w:r>
      <w:r w:rsidR="00DB74F0" w:rsidRPr="00DB74F0">
        <w:rPr>
          <w:vertAlign w:val="superscript"/>
        </w:rPr>
        <w:fldChar w:fldCharType="begin"/>
      </w:r>
      <w:r w:rsidR="00DB74F0" w:rsidRPr="00DB74F0">
        <w:rPr>
          <w:vertAlign w:val="superscript"/>
        </w:rPr>
        <w:instrText xml:space="preserve"> REF _Ref514676603 \r \h </w:instrText>
      </w:r>
      <w:r w:rsidR="00DB74F0">
        <w:rPr>
          <w:vertAlign w:val="superscript"/>
        </w:rPr>
        <w:instrText xml:space="preserve"> \* MERGEFORMAT </w:instrText>
      </w:r>
      <w:r w:rsidR="00DB74F0" w:rsidRPr="00DB74F0">
        <w:rPr>
          <w:vertAlign w:val="superscript"/>
        </w:rPr>
      </w:r>
      <w:r w:rsidR="00DB74F0" w:rsidRPr="00DB74F0">
        <w:rPr>
          <w:vertAlign w:val="superscript"/>
        </w:rPr>
        <w:fldChar w:fldCharType="separate"/>
      </w:r>
      <w:r w:rsidR="004F2D83">
        <w:rPr>
          <w:vertAlign w:val="superscript"/>
        </w:rPr>
        <w:t>1</w:t>
      </w:r>
      <w:r w:rsidR="00DB74F0" w:rsidRPr="00DB74F0">
        <w:rPr>
          <w:vertAlign w:val="superscript"/>
        </w:rPr>
        <w:fldChar w:fldCharType="end"/>
      </w:r>
      <w:r w:rsidR="00DB74F0" w:rsidRPr="00DB74F0">
        <w:rPr>
          <w:vertAlign w:val="superscript"/>
        </w:rPr>
        <w:t>-</w:t>
      </w:r>
      <w:r w:rsidR="00DB74F0" w:rsidRPr="00DB74F0">
        <w:rPr>
          <w:vertAlign w:val="superscript"/>
        </w:rPr>
        <w:fldChar w:fldCharType="begin"/>
      </w:r>
      <w:r w:rsidR="00DB74F0" w:rsidRPr="00DB74F0">
        <w:rPr>
          <w:vertAlign w:val="superscript"/>
        </w:rPr>
        <w:instrText xml:space="preserve"> REF _Ref6464558 \r \h </w:instrText>
      </w:r>
      <w:r w:rsidR="00DB74F0">
        <w:rPr>
          <w:vertAlign w:val="superscript"/>
        </w:rPr>
        <w:instrText xml:space="preserve"> \* MERGEFORMAT </w:instrText>
      </w:r>
      <w:r w:rsidR="00DB74F0" w:rsidRPr="00DB74F0">
        <w:rPr>
          <w:vertAlign w:val="superscript"/>
        </w:rPr>
      </w:r>
      <w:r w:rsidR="00DB74F0" w:rsidRPr="00DB74F0">
        <w:rPr>
          <w:vertAlign w:val="superscript"/>
        </w:rPr>
        <w:fldChar w:fldCharType="separate"/>
      </w:r>
      <w:r w:rsidR="004F2D83">
        <w:rPr>
          <w:vertAlign w:val="superscript"/>
        </w:rPr>
        <w:t>5</w:t>
      </w:r>
      <w:r w:rsidR="00DB74F0" w:rsidRPr="00DB74F0">
        <w:rPr>
          <w:vertAlign w:val="superscript"/>
        </w:rPr>
        <w:fldChar w:fldCharType="end"/>
      </w:r>
      <w:r w:rsidR="00DB74F0">
        <w:t xml:space="preserve"> which require as input the orbital states </w:t>
      </w:r>
      <w:r w:rsidR="005E10F0">
        <w:t xml:space="preserve">and </w:t>
      </w:r>
      <w:r w:rsidR="00DB74F0">
        <w:t>a</w:t>
      </w:r>
      <w:r w:rsidR="00F039F6">
        <w:t xml:space="preserve">ssociated </w:t>
      </w:r>
      <w:r w:rsidR="00DB74F0">
        <w:t>covariance</w:t>
      </w:r>
      <w:r w:rsidR="00AA0C20">
        <w:t xml:space="preserve"> matrice</w:t>
      </w:r>
      <w:r w:rsidR="00DB74F0">
        <w:t xml:space="preserve">s for the primary and secondary satellites, as well as </w:t>
      </w:r>
      <w:r w:rsidR="005E10F0">
        <w:t>HBR</w:t>
      </w:r>
      <w:r w:rsidR="00792190">
        <w:t xml:space="preserve"> values</w:t>
      </w:r>
      <w:r w:rsidR="00B05489">
        <w:t>.</w:t>
      </w:r>
    </w:p>
    <w:p w14:paraId="639B77D3" w14:textId="2F81A2B2" w:rsidR="007000C4" w:rsidRDefault="004104AF" w:rsidP="004104AF">
      <w:r>
        <w:t xml:space="preserve">CARA’s archive database contains </w:t>
      </w:r>
      <w:r w:rsidR="003337CE">
        <w:t xml:space="preserve">comprehensive, </w:t>
      </w:r>
      <w:r>
        <w:t xml:space="preserve">long-term records of </w:t>
      </w:r>
      <w:r w:rsidR="003337CE">
        <w:t>the conjunctions</w:t>
      </w:r>
      <w:r>
        <w:t xml:space="preserve"> experienced by several primary satellites.  Each such “conjunction history” represents a sequential list of close approach events</w:t>
      </w:r>
      <w:r w:rsidR="00891224">
        <w:t xml:space="preserve"> that represent screening volume incursions</w:t>
      </w:r>
      <w:r>
        <w:t xml:space="preserve">.  For a particular </w:t>
      </w:r>
      <w:r w:rsidR="003337CE">
        <w:t xml:space="preserve">CARA </w:t>
      </w:r>
      <w:r>
        <w:t xml:space="preserve">primary, </w:t>
      </w:r>
      <w:r w:rsidR="000944B5">
        <w:t xml:space="preserve">each specific </w:t>
      </w:r>
      <w:r>
        <w:t>event can be identified uniquely using the secondary satellite’s space catalog number (SCN) and a nominal time of closest approach (TCA</w:t>
      </w:r>
      <w:r w:rsidR="005E35D4">
        <w:t>)</w:t>
      </w:r>
      <w:r>
        <w:t xml:space="preserve">.  Figure 1 illustrates </w:t>
      </w:r>
      <w:r w:rsidR="005E35D4">
        <w:t>a</w:t>
      </w:r>
      <w:r>
        <w:t xml:space="preserve"> conjunction history for the Hubble Space Telescope (HST, SCN 20580) recorded over </w:t>
      </w:r>
      <w:r w:rsidR="003337CE">
        <w:t>nearly</w:t>
      </w:r>
      <w:r>
        <w:t xml:space="preserve"> </w:t>
      </w:r>
      <w:r w:rsidR="003337CE">
        <w:t>a</w:t>
      </w:r>
      <w:r>
        <w:t xml:space="preserve"> decade (2009-02-25 to 2019-01-29).  The </w:t>
      </w:r>
      <w:r w:rsidR="000944B5">
        <w:t xml:space="preserve">center </w:t>
      </w:r>
      <w:r>
        <w:t>panel</w:t>
      </w:r>
      <w:r w:rsidR="003337CE">
        <w:t>,</w:t>
      </w:r>
      <w:r>
        <w:t xml:space="preserve"> with </w:t>
      </w:r>
      <w:r w:rsidR="004D38C2">
        <w:t xml:space="preserve">date-dependent </w:t>
      </w:r>
      <w:r>
        <w:t xml:space="preserve">colored </w:t>
      </w:r>
      <w:r w:rsidR="005E35D4">
        <w:t>circle</w:t>
      </w:r>
      <w:r>
        <w:t>s</w:t>
      </w:r>
      <w:r w:rsidR="003337CE">
        <w:t>,</w:t>
      </w:r>
      <w:r>
        <w:t xml:space="preserve"> shows the distribution of HST conjunctions as a function of altitude (horizontal axis) </w:t>
      </w:r>
      <w:r w:rsidR="004D38C2">
        <w:t xml:space="preserve">and </w:t>
      </w:r>
      <w:r>
        <w:t>latitude (vertical axis</w:t>
      </w:r>
      <w:r w:rsidR="005E35D4">
        <w:t>)</w:t>
      </w:r>
      <w:r>
        <w:t xml:space="preserve">.  Each </w:t>
      </w:r>
      <w:r w:rsidR="005E35D4">
        <w:t>circle</w:t>
      </w:r>
      <w:r>
        <w:t xml:space="preserve"> represents a unique close approach event processed by the CARA system.  </w:t>
      </w:r>
      <w:r w:rsidR="005E35D4">
        <w:t>Circle</w:t>
      </w:r>
      <w:r>
        <w:t xml:space="preserve"> sizes indicate the amplitude of “last-update”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estimates (as explained</w:t>
      </w:r>
      <w:r w:rsidR="006D2056">
        <w:t xml:space="preserve"> later</w:t>
      </w:r>
      <w:r>
        <w:t xml:space="preserve"> in more detail). The left panel shows the frequency histogram of conjunctions as a function of latitude, indicating the well-known </w:t>
      </w:r>
      <w:r w:rsidR="00E70198">
        <w:t xml:space="preserve">increase </w:t>
      </w:r>
      <w:r w:rsidR="00E70198">
        <w:lastRenderedPageBreak/>
        <w:t>in</w:t>
      </w:r>
      <w:r>
        <w:t xml:space="preserve"> conjunction rates at higher latitudes.</w:t>
      </w:r>
      <w:r w:rsidRPr="00353DFF">
        <w:rPr>
          <w:vertAlign w:val="superscript"/>
        </w:rPr>
        <w:fldChar w:fldCharType="begin"/>
      </w:r>
      <w:r w:rsidRPr="00353DFF">
        <w:rPr>
          <w:vertAlign w:val="superscript"/>
        </w:rPr>
        <w:instrText xml:space="preserve"> REF _Ref6474369 \r \h </w:instrText>
      </w:r>
      <w:r>
        <w:rPr>
          <w:vertAlign w:val="superscript"/>
        </w:rPr>
        <w:instrText xml:space="preserve"> \* MERGEFORMAT </w:instrText>
      </w:r>
      <w:r w:rsidRPr="00353DFF">
        <w:rPr>
          <w:vertAlign w:val="superscript"/>
        </w:rPr>
      </w:r>
      <w:r w:rsidRPr="00353DFF">
        <w:rPr>
          <w:vertAlign w:val="superscript"/>
        </w:rPr>
        <w:fldChar w:fldCharType="separate"/>
      </w:r>
      <w:r w:rsidR="004F2D83">
        <w:rPr>
          <w:vertAlign w:val="superscript"/>
        </w:rPr>
        <w:t>10</w:t>
      </w:r>
      <w:r w:rsidRPr="00353DFF">
        <w:rPr>
          <w:vertAlign w:val="superscript"/>
        </w:rPr>
        <w:fldChar w:fldCharType="end"/>
      </w:r>
      <w:r>
        <w:t xml:space="preserve">  HST’s orbital decay due to atmospheric drag can be seen in this plot, with the earliest conjunctions (blue </w:t>
      </w:r>
      <w:r w:rsidR="005E35D4">
        <w:t>circle</w:t>
      </w:r>
      <w:r>
        <w:t xml:space="preserve">s) occurring </w:t>
      </w:r>
      <w:r w:rsidR="00BF0D9A">
        <w:t xml:space="preserve">at </w:t>
      </w:r>
      <w:r>
        <w:t xml:space="preserve">altitudes </w:t>
      </w:r>
      <w:r w:rsidR="00096E0A">
        <w:t>about</w:t>
      </w:r>
      <w:r>
        <w:t xml:space="preserve"> 30 km higher on average than th</w:t>
      </w:r>
      <w:r w:rsidR="008357AB">
        <w:t xml:space="preserve">ose occurring a decade </w:t>
      </w:r>
      <w:r>
        <w:t>late</w:t>
      </w:r>
      <w:r w:rsidR="008357AB">
        <w:t>r</w:t>
      </w:r>
      <w:r>
        <w:t xml:space="preserve"> (yellow </w:t>
      </w:r>
      <w:r w:rsidR="005E35D4">
        <w:t>circle</w:t>
      </w:r>
      <w:r>
        <w:t xml:space="preserve">s). </w:t>
      </w:r>
      <w:r w:rsidR="00096E0A">
        <w:t xml:space="preserve"> </w:t>
      </w:r>
      <w:r w:rsidR="00BF0D9A">
        <w:t xml:space="preserve">Finally, </w:t>
      </w:r>
      <w:r w:rsidR="00096E0A">
        <w:t xml:space="preserve">Earth’s </w:t>
      </w:r>
      <w:r w:rsidR="000407CB">
        <w:t xml:space="preserve">slightly </w:t>
      </w:r>
      <w:r w:rsidR="00096E0A">
        <w:t>pear-shaped figure (i.e., its J</w:t>
      </w:r>
      <w:r w:rsidR="00096E0A" w:rsidRPr="00353DFF">
        <w:rPr>
          <w:vertAlign w:val="subscript"/>
        </w:rPr>
        <w:t>3</w:t>
      </w:r>
      <w:r w:rsidR="00096E0A">
        <w:t xml:space="preserve"> gravitational component) causes the distribution of events to skew slightly toward higher altitudes over the southern hemisphere (i.e., at negative latitudes).</w:t>
      </w:r>
    </w:p>
    <w:p w14:paraId="5E50D06A" w14:textId="77777777" w:rsidR="007000C4" w:rsidRDefault="007000C4" w:rsidP="007000C4">
      <w:pPr>
        <w:jc w:val="center"/>
      </w:pPr>
      <w:r w:rsidRPr="00B1446D">
        <w:rPr>
          <w:noProof/>
        </w:rPr>
        <w:drawing>
          <wp:inline distT="0" distB="0" distL="0" distR="0" wp14:anchorId="1EE32A9A" wp14:editId="0BE61B55">
            <wp:extent cx="5485957" cy="2161822"/>
            <wp:effectExtent l="0" t="0" r="635" b="0"/>
            <wp:docPr id="6" name="Picture 6" descr="C:\dth\Conferences\2019_08_11_ASC_Portland_ME\RiskRemThresholds\Paper\Figs\Cdist\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th\Conferences\2019_08_11_ASC_Portland_ME\RiskRemThresholds\Paper\Figs\Cdist\Slid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364" b="14580"/>
                    <a:stretch/>
                  </pic:blipFill>
                  <pic:spPr bwMode="auto">
                    <a:xfrm>
                      <a:off x="0" y="0"/>
                      <a:ext cx="5485957" cy="2161822"/>
                    </a:xfrm>
                    <a:prstGeom prst="rect">
                      <a:avLst/>
                    </a:prstGeom>
                    <a:noFill/>
                    <a:ln>
                      <a:noFill/>
                    </a:ln>
                    <a:extLst>
                      <a:ext uri="{53640926-AAD7-44D8-BBD7-CCE9431645EC}">
                        <a14:shadowObscured xmlns:a14="http://schemas.microsoft.com/office/drawing/2010/main"/>
                      </a:ext>
                    </a:extLst>
                  </pic:spPr>
                </pic:pic>
              </a:graphicData>
            </a:graphic>
          </wp:inline>
        </w:drawing>
      </w:r>
    </w:p>
    <w:p w14:paraId="20D3F1C5" w14:textId="112FB6CD" w:rsidR="004104AF" w:rsidRPr="004104AF" w:rsidRDefault="007000C4" w:rsidP="00DD09A4">
      <w:pPr>
        <w:pStyle w:val="Caption"/>
        <w:jc w:val="center"/>
      </w:pPr>
      <w:r w:rsidRPr="00505624">
        <w:t>Figure </w:t>
      </w:r>
      <w:r>
        <w:t>1</w:t>
      </w:r>
      <w:r w:rsidRPr="00505624">
        <w:t>.</w:t>
      </w:r>
      <w:r>
        <w:t xml:space="preserve"> Illustration of a conjunction history spanning 9.92 years for the HST </w:t>
      </w:r>
      <w:r w:rsidR="00695139">
        <w:t>satellite, demonstrating</w:t>
      </w:r>
      <w:r w:rsidR="00337707">
        <w:t xml:space="preserve"> </w:t>
      </w:r>
      <w:r>
        <w:t>how HST’s conjunctions with other cataloged objects are distributed in altitude, latitude, time, and estimate</w:t>
      </w:r>
      <w:r w:rsidRPr="009B327B">
        <w:t xml:space="preserve">d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r w:rsidRPr="009B327B">
        <w:t xml:space="preserve"> </w:t>
      </w:r>
      <w:r>
        <w:t>value.</w:t>
      </w:r>
    </w:p>
    <w:p w14:paraId="1AA709CC" w14:textId="59029205" w:rsidR="0011788F" w:rsidRDefault="0011788F" w:rsidP="0011788F">
      <w:pPr>
        <w:pStyle w:val="Sub-Section"/>
      </w:pPr>
      <w:r>
        <w:t>Conjunction Update Sequences</w:t>
      </w:r>
    </w:p>
    <w:p w14:paraId="576CE818" w14:textId="354F0BB6" w:rsidR="0011788F" w:rsidRDefault="00DB484A" w:rsidP="0011788F">
      <w:r>
        <w:t xml:space="preserve">As mentioned previously, the </w:t>
      </w:r>
      <w:r w:rsidR="00337707">
        <w:t>initial</w:t>
      </w:r>
      <w:r>
        <w:t xml:space="preserve"> risk assessment </w:t>
      </w:r>
      <w:r w:rsidR="005E10F0">
        <w:t xml:space="preserve">processing </w:t>
      </w:r>
      <w:r>
        <w:t xml:space="preserve">by the CARA system can precede a </w:t>
      </w:r>
      <w:r w:rsidR="000407CB">
        <w:t>conjunction</w:t>
      </w:r>
      <w:r>
        <w:t xml:space="preserve">’s </w:t>
      </w:r>
      <w:r w:rsidR="0050694C">
        <w:t xml:space="preserve">nominal </w:t>
      </w:r>
      <w:r>
        <w:t xml:space="preserve">TCA by </w:t>
      </w:r>
      <w:r w:rsidR="009000DE">
        <w:t>seven to ten</w:t>
      </w:r>
      <w:r>
        <w:t xml:space="preserve"> days.  </w:t>
      </w:r>
      <w:r w:rsidR="009000DE">
        <w:t>W</w:t>
      </w:r>
      <w:r>
        <w:t xml:space="preserve">ithin a day or two of this first assessment, </w:t>
      </w:r>
      <w:r w:rsidR="009000DE">
        <w:t xml:space="preserve">however, </w:t>
      </w:r>
      <w:r w:rsidR="00337707">
        <w:t xml:space="preserve">additional </w:t>
      </w:r>
      <w:r>
        <w:t xml:space="preserve">tracking observations of </w:t>
      </w:r>
      <w:r w:rsidR="00B05489">
        <w:t xml:space="preserve">the primary </w:t>
      </w:r>
      <w:r>
        <w:t>or</w:t>
      </w:r>
      <w:r w:rsidR="00B05489">
        <w:t xml:space="preserve"> secondary </w:t>
      </w:r>
      <w:r w:rsidR="007E3005">
        <w:t>object</w:t>
      </w:r>
      <w:r w:rsidR="00235538">
        <w:t>s</w:t>
      </w:r>
      <w:r w:rsidR="007E3005">
        <w:t xml:space="preserve"> </w:t>
      </w:r>
      <w:r>
        <w:t>become available</w:t>
      </w:r>
      <w:r w:rsidR="00C35C02">
        <w:t xml:space="preserve"> </w:t>
      </w:r>
      <w:r w:rsidR="00D42083">
        <w:sym w:font="Symbol" w:char="F0BE"/>
      </w:r>
      <w:r w:rsidR="00D42083">
        <w:t xml:space="preserve"> </w:t>
      </w:r>
      <w:r>
        <w:t xml:space="preserve">either </w:t>
      </w:r>
      <w:r w:rsidR="00C35C02">
        <w:t>due to the normal on-going sequence of catalog updates, or because of specially</w:t>
      </w:r>
      <w:r w:rsidR="00910C8A">
        <w:t xml:space="preserve"> </w:t>
      </w:r>
      <w:r w:rsidR="00C35C02">
        <w:t>requested increased tracking sensor tasking</w:t>
      </w:r>
      <w:r>
        <w:t xml:space="preserve">.  These </w:t>
      </w:r>
      <w:r w:rsidR="000407CB">
        <w:t>produce</w:t>
      </w:r>
      <w:r w:rsidR="00B44EC3">
        <w:t xml:space="preserve"> new OD solutions, with refined orbital states and covariance</w:t>
      </w:r>
      <w:r w:rsidR="009A4FA5">
        <w:t xml:space="preserve"> matrice</w:t>
      </w:r>
      <w:r w:rsidR="00B44EC3">
        <w:t>s that</w:t>
      </w:r>
      <w:r w:rsidR="00235538">
        <w:t>,</w:t>
      </w:r>
      <w:r w:rsidR="00B44EC3">
        <w:t xml:space="preserve"> in turn</w:t>
      </w:r>
      <w:r w:rsidR="00235538">
        <w:t>,</w:t>
      </w:r>
      <w:r w:rsidR="00B44EC3">
        <w:t xml:space="preserve"> provide updated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B44EC3">
        <w:t xml:space="preserve"> estimates.</w:t>
      </w:r>
      <w:r w:rsidR="0024728E">
        <w:t xml:space="preserve">  </w:t>
      </w:r>
      <w:r w:rsidR="00B44EC3">
        <w:t>S</w:t>
      </w:r>
      <w:r w:rsidR="00CF4CB6">
        <w:t>everal s</w:t>
      </w:r>
      <w:r w:rsidR="00B44EC3">
        <w:t>uch</w:t>
      </w:r>
      <w:r w:rsidR="0050694C">
        <w:t xml:space="preserve"> updates </w:t>
      </w:r>
      <w:r w:rsidR="00FD0ED4">
        <w:t xml:space="preserve">often </w:t>
      </w:r>
      <w:r w:rsidR="0050694C">
        <w:t>occur for each</w:t>
      </w:r>
      <w:r w:rsidR="000407CB">
        <w:t xml:space="preserve"> unique</w:t>
      </w:r>
      <w:r w:rsidR="000979C6">
        <w:t xml:space="preserve"> close approach</w:t>
      </w:r>
      <w:r w:rsidR="0050694C">
        <w:t xml:space="preserve"> event</w:t>
      </w:r>
      <w:r w:rsidR="00365509">
        <w:t>.  Figure 2 shows a</w:t>
      </w:r>
      <w:r w:rsidR="005B1E23">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65509">
        <w:t xml:space="preserve"> update sequence for an HST event </w:t>
      </w:r>
      <w:r w:rsidR="009000DE">
        <w:t>that occurred in early 2016.</w:t>
      </w:r>
      <w:r w:rsidR="00A4626D">
        <w:t xml:space="preserve">  </w:t>
      </w:r>
      <w:r w:rsidR="00CF4CB6">
        <w:t xml:space="preserve">The plot shows the sequential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CF4CB6">
        <w:t xml:space="preserve"> </w:t>
      </w:r>
      <w:r w:rsidR="000979C6">
        <w:t>updates</w:t>
      </w:r>
      <w:r w:rsidR="00CF4CB6">
        <w:t xml:space="preserve"> (vertical axis) plotted as a function of update time (horizontal axis). </w:t>
      </w:r>
      <w:r w:rsidR="003E6AA9">
        <w:t xml:space="preserve">During such </w:t>
      </w:r>
      <w:r w:rsidR="001955F0">
        <w:t>update sequences</w:t>
      </w:r>
      <w:r w:rsidR="000407CB">
        <w:t>,</w:t>
      </w:r>
      <w:r w:rsidR="001955F0">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955F0">
        <w:t xml:space="preserve"> </w:t>
      </w:r>
      <w:r w:rsidR="00CD104C">
        <w:t>estimates</w:t>
      </w:r>
      <w:r w:rsidR="001955F0">
        <w:t xml:space="preserve"> can vary </w:t>
      </w:r>
      <w:r w:rsidR="000407CB">
        <w:t>dramatically</w:t>
      </w:r>
      <w:r w:rsidR="00CD104C">
        <w:t xml:space="preserve">.  Notably, they </w:t>
      </w:r>
      <w:r w:rsidR="001955F0">
        <w:t xml:space="preserve">often decrease significantly during the last </w:t>
      </w:r>
      <w:r w:rsidR="005B1E23">
        <w:t>1</w:t>
      </w:r>
      <w:r w:rsidR="001955F0">
        <w:t>-3 days before TCA</w:t>
      </w:r>
      <w:r w:rsidR="006D2056">
        <w:t>,</w:t>
      </w:r>
      <w:r w:rsidR="005B1E23">
        <w:t xml:space="preserve"> even without any active risk remediation</w:t>
      </w:r>
      <w:r w:rsidR="001955F0">
        <w:t>,</w:t>
      </w:r>
      <w:r w:rsidR="00501C23">
        <w:t xml:space="preserve"> </w:t>
      </w:r>
      <w:r w:rsidR="007A6034">
        <w:t>which</w:t>
      </w:r>
      <w:r w:rsidR="00CF4CB6">
        <w:t xml:space="preserve"> naturally</w:t>
      </w:r>
      <w:r w:rsidR="00CD104C">
        <w:t xml:space="preserve"> </w:t>
      </w:r>
      <w:r w:rsidR="000979C6">
        <w:t xml:space="preserve">tends to </w:t>
      </w:r>
      <w:r w:rsidR="00CD104C">
        <w:t>result</w:t>
      </w:r>
      <w:r w:rsidR="00501C23">
        <w:t xml:space="preserve"> </w:t>
      </w:r>
      <w:r w:rsidR="007A6034">
        <w:t xml:space="preserve">from the </w:t>
      </w:r>
      <w:r w:rsidR="00CD104C">
        <w:t>i</w:t>
      </w:r>
      <w:r w:rsidR="00501C23">
        <w:t>mprov</w:t>
      </w:r>
      <w:r w:rsidR="007A6034">
        <w:t>ing trend of</w:t>
      </w:r>
      <w:r w:rsidR="00501C23">
        <w:t xml:space="preserve"> </w:t>
      </w:r>
      <w:r w:rsidR="0088655D">
        <w:t xml:space="preserve">orbital </w:t>
      </w:r>
      <w:r w:rsidR="007A6034">
        <w:t xml:space="preserve">state </w:t>
      </w:r>
      <w:r w:rsidR="00CD104C">
        <w:t xml:space="preserve">prediction </w:t>
      </w:r>
      <w:r w:rsidR="00501C23">
        <w:t>accuracie</w:t>
      </w:r>
      <w:r w:rsidR="007A6034">
        <w:t>s</w:t>
      </w:r>
      <w:r w:rsidR="00E527F7">
        <w:t>.</w:t>
      </w:r>
      <w:r w:rsidR="00E527F7" w:rsidRPr="00E527F7">
        <w:rPr>
          <w:vertAlign w:val="superscript"/>
        </w:rPr>
        <w:fldChar w:fldCharType="begin"/>
      </w:r>
      <w:r w:rsidR="00E527F7" w:rsidRPr="00E527F7">
        <w:rPr>
          <w:vertAlign w:val="superscript"/>
        </w:rPr>
        <w:instrText xml:space="preserve"> REF _Ref6479007 \r \h </w:instrText>
      </w:r>
      <w:r w:rsidR="00E527F7">
        <w:rPr>
          <w:vertAlign w:val="superscript"/>
        </w:rPr>
        <w:instrText xml:space="preserve"> \* MERGEFORMAT </w:instrText>
      </w:r>
      <w:r w:rsidR="00E527F7" w:rsidRPr="00E527F7">
        <w:rPr>
          <w:vertAlign w:val="superscript"/>
        </w:rPr>
      </w:r>
      <w:r w:rsidR="00E527F7" w:rsidRPr="00E527F7">
        <w:rPr>
          <w:vertAlign w:val="superscript"/>
        </w:rPr>
        <w:fldChar w:fldCharType="separate"/>
      </w:r>
      <w:r w:rsidR="004F2D83">
        <w:rPr>
          <w:vertAlign w:val="superscript"/>
        </w:rPr>
        <w:t>11</w:t>
      </w:r>
      <w:r w:rsidR="00E527F7" w:rsidRPr="00E527F7">
        <w:rPr>
          <w:vertAlign w:val="superscript"/>
        </w:rPr>
        <w:fldChar w:fldCharType="end"/>
      </w:r>
      <w:r w:rsidR="00F83A47">
        <w:t xml:space="preserve">  </w:t>
      </w:r>
      <w:r w:rsidR="006940B7">
        <w:t xml:space="preserve">In some cases, </w:t>
      </w:r>
      <w:r w:rsidR="00F83A47">
        <w:t xml:space="preserve">the final </w:t>
      </w:r>
      <w:r w:rsidR="006940B7">
        <w:t xml:space="preserve">update </w:t>
      </w:r>
      <w:r w:rsidR="003A0307">
        <w:t xml:space="preserve">found in CARA’s archive </w:t>
      </w:r>
      <w:r w:rsidR="006940B7">
        <w:t xml:space="preserve">can even </w:t>
      </w:r>
      <w:r w:rsidR="00CF4CB6">
        <w:t>occur</w:t>
      </w:r>
      <w:r w:rsidR="006940B7">
        <w:t xml:space="preserve"> after TCA; these represent </w:t>
      </w:r>
      <w:r w:rsidR="006940B7" w:rsidRPr="006940B7">
        <w:rPr>
          <w:i/>
        </w:rPr>
        <w:t>post facto</w:t>
      </w:r>
      <w:r w:rsidR="006940B7">
        <w:t xml:space="preserve"> risk assessments, and often employ the highest </w:t>
      </w:r>
      <w:r w:rsidR="00925C88">
        <w:t xml:space="preserve">overall </w:t>
      </w:r>
      <w:r w:rsidR="006940B7">
        <w:t xml:space="preserve">quality OD solutions available </w:t>
      </w:r>
      <w:r w:rsidR="003A0307">
        <w:t>for</w:t>
      </w:r>
      <w:r w:rsidR="006940B7">
        <w:t xml:space="preserve"> a final</w:t>
      </w:r>
      <w:r w:rsidR="00D653CA">
        <w:t xml:space="preserve"> </w:t>
      </w:r>
      <w:r w:rsidR="006940B7">
        <w:t>analysis.</w:t>
      </w:r>
    </w:p>
    <w:p w14:paraId="31A14ED8" w14:textId="77777777" w:rsidR="007000C4" w:rsidRDefault="007000C4" w:rsidP="007000C4">
      <w:pPr>
        <w:pStyle w:val="Sub-Section"/>
      </w:pPr>
      <w:r>
        <w:t>Risk Mitigation Maneuver Commit and Consider Times</w:t>
      </w:r>
    </w:p>
    <w:p w14:paraId="145A7895" w14:textId="0637C86C" w:rsidR="007000C4" w:rsidRDefault="007000C4" w:rsidP="007000C4">
      <w:r>
        <w:t xml:space="preserve">Most missions need time to plan and execute maneuvers, and must </w:t>
      </w:r>
      <w:r w:rsidRPr="00CF4EF2">
        <w:rPr>
          <w:i/>
        </w:rPr>
        <w:t>commit</w:t>
      </w:r>
      <w:r>
        <w:t xml:space="preserve"> to an RMM go/no-go decision somewhat before TCA.  Such “RMM commit times” vary, but can be as short as a few hours for the most responsive missions, up to several days for the least.  In addition, missions may also not even </w:t>
      </w:r>
      <w:r w:rsidRPr="00CF4EF2">
        <w:rPr>
          <w:i/>
        </w:rPr>
        <w:t>consider</w:t>
      </w:r>
      <w:r>
        <w:t xml:space="preserve"> performing an RMM before a certain time, in order to avoid erroneous decisions</w:t>
      </w:r>
      <w:r w:rsidR="00FD0ED4">
        <w:t xml:space="preserve"> and </w:t>
      </w:r>
      <w:r w:rsidR="006C7F6A">
        <w:t xml:space="preserve">needless </w:t>
      </w:r>
      <w:r w:rsidR="00FD0ED4">
        <w:t xml:space="preserve">maneuver planning </w:t>
      </w:r>
      <w:r>
        <w:t>based on large orbital state prediction errors. Figure 2 illustrates a 1.5-day commit time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t>) and a 7-day consider time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t xml:space="preserve">), plotted as two vertical dotted lines.  RMM go/no-go decisions </w:t>
      </w:r>
      <w:r w:rsidR="005B4562">
        <w:t>employ</w:t>
      </w:r>
      <w:r>
        <w:t xml:space="preserve"> the most recent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estimate available, which is the one in the update sequence immediately preceding the commit time.  For the example shown in Figure 2, this “last update before the RMM commit time” (or just “last-</w:t>
      </w:r>
      <w:r>
        <w:lastRenderedPageBreak/>
        <w:t xml:space="preserve">update” for brevity) corresponds to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=2.23×</m:t>
        </m:r>
        <m:sSup>
          <m:sSupPr>
            <m:ctrlPr>
              <w:rPr>
                <w:rFonts w:ascii="Cambria Math" w:hAnsi="Cambria Math"/>
                <w:i/>
              </w:rPr>
            </m:ctrlPr>
          </m:sSupPr>
          <m:e>
            <m:r>
              <w:rPr>
                <w:rFonts w:ascii="Cambria Math" w:hAnsi="Cambria Math"/>
              </w:rPr>
              <m:t>10</m:t>
            </m:r>
          </m:e>
          <m:sup>
            <m:r>
              <w:rPr>
                <w:rFonts w:ascii="Cambria Math" w:hAnsi="Cambria Math"/>
              </w:rPr>
              <m:t>-6</m:t>
            </m:r>
          </m:sup>
        </m:sSup>
      </m:oMath>
      <w:r>
        <w:t>, estimated ~6 hours before the commit time, and ~2 days before TCA.</w:t>
      </w:r>
    </w:p>
    <w:p w14:paraId="3169C18C" w14:textId="0A7B539E" w:rsidR="00365509" w:rsidRDefault="00365509" w:rsidP="00365509">
      <w:pPr>
        <w:jc w:val="center"/>
      </w:pPr>
      <w:r>
        <w:rPr>
          <w:noProof/>
        </w:rPr>
        <w:drawing>
          <wp:inline distT="0" distB="0" distL="0" distR="0" wp14:anchorId="38439CDB" wp14:editId="37346F38">
            <wp:extent cx="4103862" cy="2286000"/>
            <wp:effectExtent l="0" t="0" r="0" b="0"/>
            <wp:docPr id="4" name="Picture 3">
              <a:extLst xmlns:a="http://schemas.openxmlformats.org/drawingml/2006/main">
                <a:ext uri="{FF2B5EF4-FFF2-40B4-BE49-F238E27FC236}">
                  <a16:creationId xmlns:a16="http://schemas.microsoft.com/office/drawing/2014/main" id="{D3B396AA-DB1F-47CC-9C98-4AB8AA5968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B396AA-DB1F-47CC-9C98-4AB8AA596855}"/>
                        </a:ext>
                      </a:extLst>
                    </pic:cNvPr>
                    <pic:cNvPicPr>
                      <a:picLocks noChangeAspect="1"/>
                    </pic:cNvPicPr>
                  </pic:nvPicPr>
                  <pic:blipFill rotWithShape="1">
                    <a:blip r:embed="rId9">
                      <a:extLst>
                        <a:ext uri="{28A0092B-C50C-407E-A947-70E740481C1C}">
                          <a14:useLocalDpi xmlns:a14="http://schemas.microsoft.com/office/drawing/2010/main" val="0"/>
                        </a:ext>
                      </a:extLst>
                    </a:blip>
                    <a:srcRect t="30737" r="6772"/>
                    <a:stretch/>
                  </pic:blipFill>
                  <pic:spPr bwMode="auto">
                    <a:xfrm>
                      <a:off x="0" y="0"/>
                      <a:ext cx="4103862" cy="2286000"/>
                    </a:xfrm>
                    <a:prstGeom prst="rect">
                      <a:avLst/>
                    </a:prstGeom>
                    <a:ln>
                      <a:noFill/>
                    </a:ln>
                    <a:extLst>
                      <a:ext uri="{53640926-AAD7-44D8-BBD7-CCE9431645EC}">
                        <a14:shadowObscured xmlns:a14="http://schemas.microsoft.com/office/drawing/2010/main"/>
                      </a:ext>
                    </a:extLst>
                  </pic:spPr>
                </pic:pic>
              </a:graphicData>
            </a:graphic>
          </wp:inline>
        </w:drawing>
      </w:r>
    </w:p>
    <w:p w14:paraId="4132F73E" w14:textId="5A289664" w:rsidR="00365509" w:rsidRDefault="00365509" w:rsidP="00314891">
      <w:pPr>
        <w:pStyle w:val="Caption"/>
        <w:jc w:val="center"/>
      </w:pPr>
      <w:r w:rsidRPr="00505624">
        <w:t>Figure </w:t>
      </w:r>
      <w:r>
        <w:t>2</w:t>
      </w:r>
      <w:r w:rsidRPr="00505624">
        <w:t>.</w:t>
      </w:r>
      <w:r>
        <w:t xml:space="preserve"> The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r w:rsidRPr="00365509">
        <w:t xml:space="preserve"> update</w:t>
      </w:r>
      <w:r>
        <w:t xml:space="preserve"> sequence for a conjunction between HST (SCN 20580) and a secondary object (SCN 12586) with a nominal TCA of 2016-02-11 02:41:52.</w:t>
      </w:r>
      <w:r w:rsidR="00A63411">
        <w:t xml:space="preserve"> Vertical dotted lines show examples of </w:t>
      </w:r>
      <w:r w:rsidR="00FF3FAC">
        <w:t xml:space="preserve">an </w:t>
      </w:r>
      <w:r w:rsidR="00A63411">
        <w:t xml:space="preserve">RMM </w:t>
      </w:r>
      <w:r w:rsidR="00A63411" w:rsidRPr="00A63411">
        <w:rPr>
          <w:i/>
        </w:rPr>
        <w:t>commit time</w:t>
      </w:r>
      <w:r w:rsidR="00A63411">
        <w:t xml:space="preserve"> (right) and </w:t>
      </w:r>
      <w:r w:rsidR="00A63411" w:rsidRPr="00A63411">
        <w:rPr>
          <w:i/>
        </w:rPr>
        <w:t>consider time</w:t>
      </w:r>
      <w:r w:rsidR="00A63411">
        <w:t xml:space="preserve"> (left).  Horizontal red, yellow and green lines show</w:t>
      </w:r>
      <w:r w:rsidR="00A63411" w:rsidRPr="00A63411">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r w:rsidR="00A63411">
        <w:t xml:space="preserve"> levels of 10</w:t>
      </w:r>
      <w:r w:rsidR="00A63411" w:rsidRPr="00A63411">
        <w:rPr>
          <w:vertAlign w:val="superscript"/>
        </w:rPr>
        <w:t>-4</w:t>
      </w:r>
      <w:r w:rsidR="00A63411">
        <w:t>, 10</w:t>
      </w:r>
      <w:r w:rsidR="00A63411" w:rsidRPr="00A63411">
        <w:rPr>
          <w:vertAlign w:val="superscript"/>
        </w:rPr>
        <w:t>-7</w:t>
      </w:r>
      <w:r w:rsidR="00A63411">
        <w:t xml:space="preserve"> and 10</w:t>
      </w:r>
      <w:r w:rsidR="00A63411" w:rsidRPr="00A63411">
        <w:rPr>
          <w:vertAlign w:val="superscript"/>
        </w:rPr>
        <w:t>-10</w:t>
      </w:r>
      <w:r w:rsidR="00A63411">
        <w:t xml:space="preserve"> for reference.</w:t>
      </w:r>
    </w:p>
    <w:p w14:paraId="229F5E15" w14:textId="45B1A7E9" w:rsidR="0047323C" w:rsidRDefault="0047323C" w:rsidP="0047323C">
      <w:pPr>
        <w:pStyle w:val="Sub-Section"/>
      </w:pPr>
      <w:r>
        <w:t>Risk Mitigation Maneuver Types</w:t>
      </w:r>
    </w:p>
    <w:p w14:paraId="2F9C9089" w14:textId="5559C146" w:rsidR="0047323C" w:rsidRDefault="0047323C" w:rsidP="0047323C">
      <w:r>
        <w:rPr>
          <w:szCs w:val="22"/>
        </w:rPr>
        <w:t xml:space="preserve">This analysis considers two types of risk mitigation maneuvers. </w:t>
      </w:r>
      <w:r w:rsidRPr="00445A2D">
        <w:rPr>
          <w:i/>
          <w:szCs w:val="22"/>
        </w:rPr>
        <w:t xml:space="preserve">Translational </w:t>
      </w:r>
      <w:r w:rsidRPr="00445A2D">
        <w:rPr>
          <w:szCs w:val="22"/>
        </w:rPr>
        <w:t xml:space="preserve">RMMs remediate </w:t>
      </w:r>
      <w:r>
        <w:rPr>
          <w:szCs w:val="22"/>
        </w:rPr>
        <w:t xml:space="preserve">collision </w:t>
      </w:r>
      <w:r w:rsidRPr="00445A2D">
        <w:rPr>
          <w:szCs w:val="22"/>
        </w:rPr>
        <w:t xml:space="preserve">risk by thrusting to alter the </w:t>
      </w:r>
      <w:r w:rsidR="002D6F0D">
        <w:rPr>
          <w:szCs w:val="22"/>
        </w:rPr>
        <w:t>primary</w:t>
      </w:r>
      <w:r w:rsidRPr="00445A2D">
        <w:rPr>
          <w:szCs w:val="22"/>
        </w:rPr>
        <w:t xml:space="preserve">’s trajectory, and are usually </w:t>
      </w:r>
      <w:r w:rsidR="00FD0ED4">
        <w:rPr>
          <w:szCs w:val="22"/>
        </w:rPr>
        <w:t>quite</w:t>
      </w:r>
      <w:r w:rsidR="00FD0ED4" w:rsidRPr="00445A2D">
        <w:rPr>
          <w:szCs w:val="22"/>
        </w:rPr>
        <w:t xml:space="preserve"> </w:t>
      </w:r>
      <w:r w:rsidRPr="00445A2D">
        <w:rPr>
          <w:szCs w:val="22"/>
        </w:rPr>
        <w:t>effective</w:t>
      </w:r>
      <w:r w:rsidR="000967EC">
        <w:rPr>
          <w:szCs w:val="22"/>
        </w:rPr>
        <w:t xml:space="preserve"> in reducing</w:t>
      </w:r>
      <w:r w:rsidR="00136C29">
        <w:rPr>
          <w:szCs w:val="22"/>
        </w:rPr>
        <w:t xml:space="preserve"> risk because they are capable of reducing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136C29">
        <w:rPr>
          <w:szCs w:val="22"/>
        </w:rPr>
        <w:t xml:space="preserve"> values to near-zero levels.</w:t>
      </w:r>
      <w:r w:rsidR="007A580E">
        <w:rPr>
          <w:szCs w:val="22"/>
        </w:rPr>
        <w:t xml:space="preserve">  </w:t>
      </w:r>
      <w:r w:rsidRPr="00445A2D">
        <w:rPr>
          <w:i/>
          <w:szCs w:val="22"/>
        </w:rPr>
        <w:t>Rotational</w:t>
      </w:r>
      <w:r w:rsidRPr="00445A2D">
        <w:rPr>
          <w:szCs w:val="22"/>
        </w:rPr>
        <w:t xml:space="preserve"> RMMs have limited effectiveness because they only reorient the satellite and/or its articulating components to reduce the area projected toward the incoming object.</w:t>
      </w:r>
      <w:r w:rsidR="00CB6875">
        <w:rPr>
          <w:szCs w:val="22"/>
        </w:rPr>
        <w:t xml:space="preserve">  Other RMM types</w:t>
      </w:r>
      <w:r w:rsidR="00314891">
        <w:rPr>
          <w:szCs w:val="22"/>
        </w:rPr>
        <w:t>,</w:t>
      </w:r>
      <w:r w:rsidR="00CB6875">
        <w:rPr>
          <w:szCs w:val="22"/>
        </w:rPr>
        <w:t xml:space="preserve"> such as combined translational/rotational maneuvers</w:t>
      </w:r>
      <w:r w:rsidR="00314891">
        <w:rPr>
          <w:szCs w:val="22"/>
        </w:rPr>
        <w:t>,</w:t>
      </w:r>
      <w:r w:rsidR="00CB6875">
        <w:rPr>
          <w:szCs w:val="22"/>
        </w:rPr>
        <w:t xml:space="preserve"> are not considered </w:t>
      </w:r>
      <w:r w:rsidR="00314891">
        <w:rPr>
          <w:szCs w:val="22"/>
        </w:rPr>
        <w:t>in this analysis</w:t>
      </w:r>
      <w:r w:rsidR="00CB6875">
        <w:rPr>
          <w:szCs w:val="22"/>
        </w:rPr>
        <w:t>.</w:t>
      </w:r>
      <w:r w:rsidR="004964BB">
        <w:rPr>
          <w:szCs w:val="22"/>
        </w:rPr>
        <w:t xml:space="preserve">  The HST satellite only has the capability to perform purely rotational RMMs.</w:t>
      </w:r>
    </w:p>
    <w:p w14:paraId="79F76F93" w14:textId="657D8485" w:rsidR="00402DFF" w:rsidRPr="0047323C" w:rsidRDefault="0011788F" w:rsidP="0047323C">
      <w:pPr>
        <w:pStyle w:val="Sub-Section"/>
      </w:pPr>
      <w:r>
        <w:t>Risk Mitigation Maneuv</w:t>
      </w:r>
      <w:r w:rsidRPr="006E1766">
        <w:t>er</w:t>
      </w:r>
      <w:r w:rsidR="0047323C" w:rsidRPr="006E1766">
        <w:t xml:space="preserve"> </w:t>
      </w:r>
      <m:oMath>
        <m:sSub>
          <m:sSubPr>
            <m:ctrlPr>
              <w:rPr>
                <w:rFonts w:ascii="Cambria Math" w:hAnsi="Cambria Math"/>
                <w:i/>
                <w:szCs w:val="22"/>
              </w:rPr>
            </m:ctrlPr>
          </m:sSubPr>
          <m:e>
            <m:r>
              <m:rPr>
                <m:sty m:val="bi"/>
              </m:rPr>
              <w:rPr>
                <w:rFonts w:ascii="Cambria Math" w:hAnsi="Cambria Math"/>
                <w:szCs w:val="22"/>
              </w:rPr>
              <m:t>P</m:t>
            </m:r>
          </m:e>
          <m:sub>
            <m:r>
              <m:rPr>
                <m:sty m:val="bi"/>
              </m:rPr>
              <w:rPr>
                <w:rFonts w:ascii="Cambria Math" w:hAnsi="Cambria Math"/>
                <w:szCs w:val="22"/>
              </w:rPr>
              <m:t>c</m:t>
            </m:r>
          </m:sub>
        </m:sSub>
      </m:oMath>
      <w:r w:rsidR="006E1766" w:rsidRPr="006E1766">
        <w:rPr>
          <w:szCs w:val="22"/>
        </w:rPr>
        <w:t xml:space="preserve"> </w:t>
      </w:r>
      <w:r w:rsidR="0047323C" w:rsidRPr="006E1766">
        <w:t>Th</w:t>
      </w:r>
      <w:r w:rsidR="0047323C">
        <w:t>resholds</w:t>
      </w:r>
    </w:p>
    <w:p w14:paraId="5F986826" w14:textId="35E1A7F2" w:rsidR="00C146C3" w:rsidRPr="00445A2D" w:rsidRDefault="00C146C3" w:rsidP="00C146C3">
      <w:pPr>
        <w:rPr>
          <w:szCs w:val="22"/>
        </w:rPr>
      </w:pPr>
      <w:r w:rsidRPr="00445A2D">
        <w:rPr>
          <w:szCs w:val="22"/>
        </w:rPr>
        <w:t xml:space="preserve">Many missions operate with “red” thresholds that indicate the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Pr="00445A2D">
        <w:rPr>
          <w:szCs w:val="22"/>
        </w:rPr>
        <w:t xml:space="preserve"> level above which RMMs </w:t>
      </w:r>
      <w:r w:rsidR="00F21ED9">
        <w:rPr>
          <w:szCs w:val="22"/>
        </w:rPr>
        <w:t>must</w:t>
      </w:r>
      <w:r w:rsidR="00F21ED9" w:rsidRPr="00445A2D">
        <w:rPr>
          <w:szCs w:val="22"/>
        </w:rPr>
        <w:t xml:space="preserve"> </w:t>
      </w:r>
      <w:r w:rsidRPr="00445A2D">
        <w:rPr>
          <w:szCs w:val="22"/>
        </w:rPr>
        <w:t>be performed, coupled with “blue” thresholds (for translational RMMs</w:t>
      </w:r>
      <w:r w:rsidR="00314891">
        <w:rPr>
          <w:szCs w:val="22"/>
        </w:rPr>
        <w:t>)</w:t>
      </w:r>
      <w:r w:rsidR="00F21ED9">
        <w:rPr>
          <w:szCs w:val="22"/>
        </w:rPr>
        <w:t xml:space="preserve"> </w:t>
      </w:r>
      <w:r w:rsidRPr="00445A2D">
        <w:rPr>
          <w:szCs w:val="22"/>
        </w:rPr>
        <w:t xml:space="preserve">that determine the degree to which the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Pr="00445A2D">
        <w:rPr>
          <w:szCs w:val="22"/>
        </w:rPr>
        <w:t xml:space="preserve"> must be reduced for the risk to be considered effectively remediated.</w:t>
      </w:r>
      <w:r w:rsidR="00314891">
        <w:rPr>
          <w:szCs w:val="22"/>
        </w:rPr>
        <w:t xml:space="preserve">  (Note: blue thresholds do not apply to rotational RMMs because their degree of risk reduction is limited by reorienting to project minimum area.</w:t>
      </w:r>
      <w:r w:rsidR="00314891" w:rsidRPr="00445A2D">
        <w:rPr>
          <w:szCs w:val="22"/>
        </w:rPr>
        <w:t xml:space="preserve">) </w:t>
      </w:r>
      <w:r w:rsidRPr="00445A2D">
        <w:rPr>
          <w:szCs w:val="22"/>
        </w:rPr>
        <w:t xml:space="preserve">  </w:t>
      </w:r>
      <w:r w:rsidR="006E1766">
        <w:rPr>
          <w:szCs w:val="22"/>
        </w:rPr>
        <w:t xml:space="preserve">For many </w:t>
      </w:r>
      <w:r w:rsidR="006E1766">
        <w:t xml:space="preserve">current missions, these remediation thresholds are set at initial levels that appear to be sufficiently conservative, and then employed for entire satellite lifetimes without further quantitative justification or adjustment.  </w:t>
      </w:r>
      <w:r w:rsidR="00402DFF">
        <w:rPr>
          <w:szCs w:val="22"/>
        </w:rPr>
        <w:t>The formulation presented in the next section</w:t>
      </w:r>
      <w:r w:rsidR="00DC1DEF">
        <w:rPr>
          <w:szCs w:val="22"/>
        </w:rPr>
        <w:t>s</w:t>
      </w:r>
      <w:r w:rsidR="00402DFF">
        <w:rPr>
          <w:szCs w:val="22"/>
        </w:rPr>
        <w:t xml:space="preserve"> </w:t>
      </w:r>
      <w:r w:rsidR="00402DFF" w:rsidRPr="00722502">
        <w:t>combines survival probability analysis with empirical conjunction histories to es</w:t>
      </w:r>
      <w:r w:rsidR="00314891">
        <w:t xml:space="preserve">tablish </w:t>
      </w:r>
      <w:r w:rsidR="00402DFF" w:rsidRPr="00722502">
        <w:t xml:space="preserve">remediation thresholds as a function of satellite size, </w:t>
      </w:r>
      <w:r w:rsidR="00DA5376">
        <w:t xml:space="preserve">remaining </w:t>
      </w:r>
      <w:r w:rsidR="00402DFF" w:rsidRPr="00722502">
        <w:t>on-orbit duration, lifetime collision probability limit, and other parameters.</w:t>
      </w:r>
    </w:p>
    <w:p w14:paraId="3EAA8290" w14:textId="4F7FA9F6" w:rsidR="0011788F" w:rsidRDefault="006B679A" w:rsidP="0011788F">
      <w:pPr>
        <w:pStyle w:val="Section"/>
      </w:pPr>
      <w:r>
        <w:t xml:space="preserve">Semi-empirical </w:t>
      </w:r>
      <w:r w:rsidR="0011788F">
        <w:t xml:space="preserve">Cumulative </w:t>
      </w:r>
      <w:r w:rsidR="00DE232D">
        <w:t xml:space="preserve">survival and </w:t>
      </w:r>
      <w:r w:rsidR="0011788F">
        <w:t>collision probabilities</w:t>
      </w:r>
    </w:p>
    <w:p w14:paraId="10493883" w14:textId="45E4F5E4" w:rsidR="001F4E3D" w:rsidRDefault="006605B0" w:rsidP="001F4E3D">
      <w:pPr>
        <w:rPr>
          <w:szCs w:val="22"/>
        </w:rPr>
      </w:pPr>
      <w:r>
        <w:t>T</w:t>
      </w:r>
      <w:r w:rsidR="001E18AB">
        <w:rPr>
          <w:szCs w:val="22"/>
        </w:rPr>
        <w:t>he</w:t>
      </w:r>
      <w:r w:rsidR="00397007">
        <w:rPr>
          <w:szCs w:val="22"/>
        </w:rPr>
        <w:t xml:space="preserve"> </w:t>
      </w:r>
      <w:r>
        <w:rPr>
          <w:szCs w:val="22"/>
        </w:rPr>
        <w:t xml:space="preserve">semi-empirical analysis presented here employs the </w:t>
      </w:r>
      <w:r w:rsidR="001F4E3D">
        <w:rPr>
          <w:szCs w:val="22"/>
        </w:rPr>
        <w:t>observed</w:t>
      </w:r>
      <w:r w:rsidR="00397007">
        <w:rPr>
          <w:szCs w:val="22"/>
        </w:rPr>
        <w:t xml:space="preserve"> conjunction history for a primary satellite</w:t>
      </w:r>
      <w:r w:rsidR="00397007" w:rsidRPr="00445A2D">
        <w:rPr>
          <w:szCs w:val="22"/>
        </w:rPr>
        <w:t xml:space="preserve"> </w:t>
      </w:r>
      <w:r w:rsidR="00397007">
        <w:rPr>
          <w:szCs w:val="22"/>
        </w:rPr>
        <w:t xml:space="preserve">as </w:t>
      </w:r>
      <w:r w:rsidR="00254EAC">
        <w:rPr>
          <w:szCs w:val="22"/>
        </w:rPr>
        <w:t>an</w:t>
      </w:r>
      <w:r w:rsidR="00397007">
        <w:rPr>
          <w:szCs w:val="22"/>
        </w:rPr>
        <w:t xml:space="preserve"> empirical </w:t>
      </w:r>
      <w:r w:rsidR="007041CB">
        <w:rPr>
          <w:szCs w:val="22"/>
        </w:rPr>
        <w:t>estimate</w:t>
      </w:r>
      <w:r w:rsidR="00397007">
        <w:rPr>
          <w:szCs w:val="22"/>
        </w:rPr>
        <w:t xml:space="preserve"> </w:t>
      </w:r>
      <w:r w:rsidR="007041CB">
        <w:rPr>
          <w:szCs w:val="22"/>
        </w:rPr>
        <w:t>of the</w:t>
      </w:r>
      <w:r w:rsidR="00397007">
        <w:rPr>
          <w:szCs w:val="22"/>
        </w:rPr>
        <w:t xml:space="preserve"> </w:t>
      </w:r>
      <w:r w:rsidR="007041CB">
        <w:rPr>
          <w:szCs w:val="22"/>
        </w:rPr>
        <w:t xml:space="preserve">set of </w:t>
      </w:r>
      <w:r w:rsidR="00397007">
        <w:rPr>
          <w:szCs w:val="22"/>
        </w:rPr>
        <w:t xml:space="preserve">events that </w:t>
      </w:r>
      <w:r w:rsidR="005120D4">
        <w:rPr>
          <w:szCs w:val="22"/>
        </w:rPr>
        <w:t>could</w:t>
      </w:r>
      <w:r w:rsidR="00397007">
        <w:rPr>
          <w:szCs w:val="22"/>
        </w:rPr>
        <w:t xml:space="preserve"> be experienced by a </w:t>
      </w:r>
      <w:r w:rsidR="00397007" w:rsidRPr="00445A2D">
        <w:rPr>
          <w:szCs w:val="22"/>
        </w:rPr>
        <w:t>hypothetical</w:t>
      </w:r>
      <w:r w:rsidR="007041CB">
        <w:rPr>
          <w:szCs w:val="22"/>
        </w:rPr>
        <w:t>, model</w:t>
      </w:r>
      <w:r w:rsidR="00397007">
        <w:rPr>
          <w:szCs w:val="22"/>
        </w:rPr>
        <w:t xml:space="preserve"> </w:t>
      </w:r>
      <w:r w:rsidR="006A405C">
        <w:rPr>
          <w:szCs w:val="22"/>
        </w:rPr>
        <w:t xml:space="preserve">mission </w:t>
      </w:r>
      <w:r w:rsidR="00397007">
        <w:rPr>
          <w:szCs w:val="22"/>
        </w:rPr>
        <w:t>occupying a similar</w:t>
      </w:r>
      <w:r w:rsidR="00397007">
        <w:t xml:space="preserve"> orbit.  </w:t>
      </w:r>
      <w:r w:rsidR="00703833">
        <w:t>As discussed in more detail later, t</w:t>
      </w:r>
      <w:r w:rsidR="006A405C">
        <w:t>he</w:t>
      </w:r>
      <w:r w:rsidR="00F25E8E">
        <w:t xml:space="preserve"> analysis assume</w:t>
      </w:r>
      <w:r w:rsidR="006A405C">
        <w:t>s</w:t>
      </w:r>
      <w:r w:rsidR="00F25E8E">
        <w:t xml:space="preserve"> that th</w:t>
      </w:r>
      <w:r w:rsidR="00436693">
        <w:t>e</w:t>
      </w:r>
      <w:r w:rsidR="005120D4">
        <w:t xml:space="preserve"> </w:t>
      </w:r>
      <w:r w:rsidR="007041CB">
        <w:t>model</w:t>
      </w:r>
      <w:r w:rsidR="005120D4">
        <w:t xml:space="preserve"> mission</w:t>
      </w:r>
      <w:r w:rsidR="006A405C">
        <w:t xml:space="preserve"> </w:t>
      </w:r>
      <w:r w:rsidR="00F25E8E">
        <w:t>execut</w:t>
      </w:r>
      <w:r w:rsidR="006A405C">
        <w:t>e</w:t>
      </w:r>
      <w:r w:rsidR="007041CB">
        <w:t>s</w:t>
      </w:r>
      <w:r w:rsidR="00F25E8E">
        <w:t xml:space="preserve"> translational RMMs</w:t>
      </w:r>
      <w:r w:rsidR="00C40410">
        <w:t xml:space="preserve"> </w:t>
      </w:r>
      <w:r w:rsidR="00C40410">
        <w:rPr>
          <w:szCs w:val="22"/>
        </w:rPr>
        <w:t>using specifi</w:t>
      </w:r>
      <w:r w:rsidR="007041CB">
        <w:rPr>
          <w:szCs w:val="22"/>
        </w:rPr>
        <w:t>ed</w:t>
      </w:r>
      <w:r w:rsidR="00C40410">
        <w:rPr>
          <w:szCs w:val="22"/>
        </w:rPr>
        <w:t xml:space="preserve"> </w:t>
      </w:r>
      <w:r w:rsidR="00C40410">
        <w:t xml:space="preserve">consider/commit time limits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m:t>
        </m:r>
      </m:oMath>
      <w:r w:rsidR="00C40410">
        <w:t>,</w:t>
      </w:r>
      <w:r w:rsidR="00F25E8E">
        <w:t xml:space="preserve"> </w:t>
      </w:r>
      <w:r w:rsidR="007041CB">
        <w:t xml:space="preserve">in order </w:t>
      </w:r>
      <w:r w:rsidR="006A405C">
        <w:t>to remediate risk</w:t>
      </w:r>
      <w:r w:rsidR="004518CE">
        <w:t>s</w:t>
      </w:r>
      <w:r w:rsidR="006A405C">
        <w:t xml:space="preserve"> for </w:t>
      </w:r>
      <w:r w:rsidR="004518CE">
        <w:t>conjunctions</w:t>
      </w:r>
      <w:r w:rsidR="006A405C">
        <w:t xml:space="preserve"> that have</w:t>
      </w:r>
      <w:r w:rsidR="004518CE">
        <w:t xml:space="preserve"> last-update</w:t>
      </w:r>
      <w:r w:rsidR="006A405C">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6A405C">
        <w:rPr>
          <w:szCs w:val="22"/>
        </w:rPr>
        <w:t xml:space="preserve"> values exceeding </w:t>
      </w:r>
      <w:r w:rsidR="006A405C">
        <w:rPr>
          <w:szCs w:val="22"/>
        </w:rPr>
        <w:lastRenderedPageBreak/>
        <w:t xml:space="preserve">a </w:t>
      </w:r>
      <w:r w:rsidR="00C40410">
        <w:rPr>
          <w:szCs w:val="22"/>
        </w:rPr>
        <w:t xml:space="preserve">red </w:t>
      </w:r>
      <w:r w:rsidR="004518CE">
        <w:rPr>
          <w:szCs w:val="22"/>
        </w:rPr>
        <w:t>threshold</w:t>
      </w:r>
      <w:r w:rsidR="0047667B">
        <w:rPr>
          <w:szCs w:val="22"/>
        </w:rPr>
        <w:t xml:space="preserve">, denoted by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oMath>
      <w:r w:rsidR="00C40410">
        <w:rPr>
          <w:szCs w:val="22"/>
        </w:rPr>
        <w:t xml:space="preserve">.  </w:t>
      </w:r>
      <w:r w:rsidR="004518CE">
        <w:t>For</w:t>
      </w:r>
      <w:r w:rsidR="00C40410">
        <w:t xml:space="preserve"> </w:t>
      </w:r>
      <w:r w:rsidR="004518CE">
        <w:t>conjunctions that do not require an</w:t>
      </w:r>
      <w:r w:rsidR="0047323C">
        <w:t xml:space="preserve"> RMM</w:t>
      </w:r>
      <w:r w:rsidR="0047667B">
        <w:t xml:space="preserve"> (i.e., those with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oMath>
      <w:r w:rsidR="0047667B">
        <w:rPr>
          <w:szCs w:val="22"/>
        </w:rPr>
        <w:t>)</w:t>
      </w:r>
      <w:r w:rsidR="0047323C">
        <w:t>, the l</w:t>
      </w:r>
      <w:r w:rsidR="00984529">
        <w:t>ast-update</w:t>
      </w:r>
      <w:r w:rsidR="0047323C">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7323C">
        <w:t xml:space="preserve"> value can be considered </w:t>
      </w:r>
      <w:r w:rsidR="007711B9">
        <w:t xml:space="preserve">an </w:t>
      </w:r>
      <w:r w:rsidR="00566AFD">
        <w:t>estimate</w:t>
      </w:r>
      <w:r w:rsidR="007711B9">
        <w:t xml:space="preserve"> of </w:t>
      </w:r>
      <w:r w:rsidR="0047323C">
        <w:t xml:space="preserve">the </w:t>
      </w:r>
      <w:proofErr w:type="spellStart"/>
      <w:r w:rsidR="0047323C">
        <w:t>u</w:t>
      </w:r>
      <w:r w:rsidR="00AE4904">
        <w:t>nremediated</w:t>
      </w:r>
      <w:proofErr w:type="spellEnd"/>
      <w:r w:rsidR="0047323C">
        <w:t xml:space="preserve"> collision risk of th</w:t>
      </w:r>
      <w:r w:rsidR="00F904FA">
        <w:t>e</w:t>
      </w:r>
      <w:r w:rsidR="0047323C">
        <w:t xml:space="preserve"> event.</w:t>
      </w:r>
      <w:r w:rsidR="003E50FF">
        <w:t xml:space="preserve">  </w:t>
      </w:r>
      <w:r w:rsidR="00703833">
        <w:t>C</w:t>
      </w:r>
      <w:r w:rsidR="0081225F">
        <w:t xml:space="preserve">ollision </w:t>
      </w:r>
      <w:r w:rsidR="00F21ED9">
        <w:t>risk</w:t>
      </w:r>
      <w:r w:rsidR="007041CB">
        <w:t>s</w:t>
      </w:r>
      <w:r w:rsidR="00F21ED9">
        <w:t xml:space="preserve"> from </w:t>
      </w:r>
      <w:r w:rsidR="00F904FA">
        <w:t xml:space="preserve">all </w:t>
      </w:r>
      <w:r w:rsidR="00EC7ECC">
        <w:t xml:space="preserve">such </w:t>
      </w:r>
      <w:proofErr w:type="spellStart"/>
      <w:r w:rsidR="007041CB">
        <w:t>u</w:t>
      </w:r>
      <w:r w:rsidR="00AE4904">
        <w:t>nremediated</w:t>
      </w:r>
      <w:proofErr w:type="spellEnd"/>
      <w:r w:rsidR="007041CB">
        <w:t xml:space="preserve"> </w:t>
      </w:r>
      <w:r w:rsidR="00F21ED9">
        <w:t>events accumulate</w:t>
      </w:r>
      <w:r w:rsidR="004518CE">
        <w:t xml:space="preserve"> over long periods on orbit</w:t>
      </w:r>
      <w:r w:rsidR="00703833">
        <w:t xml:space="preserve">.  </w:t>
      </w:r>
      <w:r w:rsidR="00703833">
        <w:rPr>
          <w:szCs w:val="22"/>
        </w:rPr>
        <w:t>T</w:t>
      </w:r>
      <w:r>
        <w:rPr>
          <w:szCs w:val="22"/>
        </w:rPr>
        <w:t>his section</w:t>
      </w:r>
      <w:r w:rsidR="00703833">
        <w:rPr>
          <w:szCs w:val="22"/>
        </w:rPr>
        <w:t xml:space="preserve"> </w:t>
      </w:r>
      <w:r w:rsidR="001F4E3D">
        <w:rPr>
          <w:szCs w:val="22"/>
        </w:rPr>
        <w:t>formulates</w:t>
      </w:r>
      <w:r w:rsidR="00703833">
        <w:rPr>
          <w:szCs w:val="22"/>
        </w:rPr>
        <w:t xml:space="preserve"> how empirical cumulative coll</w:t>
      </w:r>
      <w:r w:rsidR="001F4E3D">
        <w:rPr>
          <w:szCs w:val="22"/>
        </w:rPr>
        <w:t>i</w:t>
      </w:r>
      <w:r w:rsidR="00703833">
        <w:rPr>
          <w:szCs w:val="22"/>
        </w:rPr>
        <w:t xml:space="preserve">sion </w:t>
      </w:r>
      <w:r w:rsidR="001F4E3D">
        <w:rPr>
          <w:szCs w:val="22"/>
        </w:rPr>
        <w:t>probabilities can be estimated for</w:t>
      </w:r>
      <w:r w:rsidR="007041CB">
        <w:rPr>
          <w:szCs w:val="22"/>
        </w:rPr>
        <w:t xml:space="preserve"> model satellites that have</w:t>
      </w:r>
      <w:r w:rsidR="001F4E3D">
        <w:rPr>
          <w:szCs w:val="22"/>
        </w:rPr>
        <w:t xml:space="preserve"> an on-orbit duration equal to that of the observed primary, and in the limit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r>
          <w:rPr>
            <w:rFonts w:ascii="Cambria Math" w:hAnsi="Cambria Math"/>
            <w:szCs w:val="22"/>
          </w:rPr>
          <m:t>→1</m:t>
        </m:r>
      </m:oMath>
      <w:r w:rsidR="00BE0C40">
        <w:rPr>
          <w:szCs w:val="22"/>
        </w:rPr>
        <w:t>,</w:t>
      </w:r>
      <w:r w:rsidR="001F4E3D">
        <w:rPr>
          <w:szCs w:val="22"/>
        </w:rPr>
        <w:t xml:space="preserve"> for which no remediation occurs.  The </w:t>
      </w:r>
      <w:r w:rsidR="003E50FF">
        <w:rPr>
          <w:szCs w:val="22"/>
        </w:rPr>
        <w:t>following</w:t>
      </w:r>
      <w:r w:rsidR="001F4E3D">
        <w:rPr>
          <w:szCs w:val="22"/>
        </w:rPr>
        <w:t xml:space="preserve"> section generalizes the semi-empirical model to enable</w:t>
      </w:r>
      <w:r w:rsidR="003732B5">
        <w:rPr>
          <w:szCs w:val="22"/>
        </w:rPr>
        <w:t xml:space="preserve"> analys</w:t>
      </w:r>
      <w:r w:rsidR="003E50FF">
        <w:rPr>
          <w:szCs w:val="22"/>
        </w:rPr>
        <w:t>e</w:t>
      </w:r>
      <w:r w:rsidR="003732B5">
        <w:rPr>
          <w:szCs w:val="22"/>
        </w:rPr>
        <w:t>s for different on-orbit durations and</w:t>
      </w:r>
      <w:r w:rsidR="0047667B">
        <w:rPr>
          <w:szCs w:val="22"/>
        </w:rPr>
        <w:t xml:space="preserve"> other</w:t>
      </w:r>
      <w:r w:rsidR="003732B5">
        <w:rPr>
          <w:szCs w:val="22"/>
        </w:rPr>
        <w:t xml:space="preserve"> red</w:t>
      </w:r>
      <w:r w:rsidR="003E50FF">
        <w:rPr>
          <w:szCs w:val="22"/>
        </w:rPr>
        <w:t>-</w:t>
      </w:r>
      <w:r w:rsidR="003732B5">
        <w:rPr>
          <w:szCs w:val="22"/>
        </w:rPr>
        <w:t>threshold</w:t>
      </w:r>
      <w:r w:rsidR="0047667B">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oMath>
      <w:r w:rsidR="0047667B">
        <w:rPr>
          <w:szCs w:val="22"/>
        </w:rPr>
        <w:t xml:space="preserve"> values.</w:t>
      </w:r>
    </w:p>
    <w:p w14:paraId="3325B62B" w14:textId="4473944C" w:rsidR="006B679A" w:rsidRDefault="00311EDC" w:rsidP="006B679A">
      <w:pPr>
        <w:pStyle w:val="Sub-Section"/>
      </w:pPr>
      <w:r>
        <w:t>Archived Long-Term Sequences of Conjunctions</w:t>
      </w:r>
    </w:p>
    <w:p w14:paraId="6E8E32C3" w14:textId="6ED4E320" w:rsidR="008F66E8" w:rsidRDefault="0091509C" w:rsidP="00335668">
      <w:r>
        <w:t xml:space="preserve">The </w:t>
      </w:r>
      <w:r w:rsidR="00B54E8A">
        <w:t>se</w:t>
      </w:r>
      <w:r w:rsidR="00566AFD">
        <w:t>quence</w:t>
      </w:r>
      <w:r>
        <w:t xml:space="preserve"> of conjunctions</w:t>
      </w:r>
      <w:r w:rsidR="00CB47B1">
        <w:t xml:space="preserve"> </w:t>
      </w:r>
      <w:r w:rsidR="007D7C8F">
        <w:t xml:space="preserve">observed to be </w:t>
      </w:r>
      <w:r w:rsidR="00E17AAC">
        <w:t>experienced</w:t>
      </w:r>
      <w:r w:rsidR="00566AFD">
        <w:t xml:space="preserve"> by a</w:t>
      </w:r>
      <w:r w:rsidR="00525E03">
        <w:t xml:space="preserve">n actual </w:t>
      </w:r>
      <w:r w:rsidR="00CB47B1">
        <w:t>primary</w:t>
      </w:r>
      <w:r>
        <w:t xml:space="preserve"> </w:t>
      </w:r>
      <w:r w:rsidR="00525E03">
        <w:t xml:space="preserve">satellite </w:t>
      </w:r>
      <w:r w:rsidR="002B33D8">
        <w:t>during an</w:t>
      </w:r>
      <w:r w:rsidR="008C02B0">
        <w:t xml:space="preserve"> extended</w:t>
      </w:r>
      <w:r w:rsidR="002B33D8">
        <w:t xml:space="preserve"> on-orbit period</w:t>
      </w:r>
    </w:p>
    <w:p w14:paraId="66B85BB7" w14:textId="4C82D105" w:rsidR="008F66E8" w:rsidRDefault="0083235C" w:rsidP="008F66E8">
      <w:pPr>
        <w:jc w:val="right"/>
      </w:pPr>
      <m:oMath>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obs</m:t>
            </m:r>
          </m:sub>
        </m:sSub>
      </m:oMath>
      <w:r w:rsidR="008F66E8">
        <w:t xml:space="preserve">          </w:t>
      </w:r>
      <w:r w:rsidR="0081225F">
        <w:t xml:space="preserve">  </w:t>
      </w:r>
      <w:r w:rsidR="008F66E8">
        <w:t xml:space="preserve">           </w:t>
      </w:r>
      <w:r w:rsidR="0081225F">
        <w:t xml:space="preserve">      </w:t>
      </w:r>
      <w:r w:rsidR="008F66E8">
        <w:t xml:space="preserve">                          (1)</w:t>
      </w:r>
    </w:p>
    <w:p w14:paraId="39276B88" w14:textId="45D976C9" w:rsidR="007D7C8F" w:rsidRDefault="00B54E8A" w:rsidP="00335668">
      <w:r>
        <w:t xml:space="preserve">can be easily identified within the CARA </w:t>
      </w:r>
      <w:r w:rsidR="00F21ED9">
        <w:t xml:space="preserve">operational event </w:t>
      </w:r>
      <w:r>
        <w:t>database.</w:t>
      </w:r>
      <w:r w:rsidR="00D917CA">
        <w:t xml:space="preserve">  </w:t>
      </w:r>
      <w:r w:rsidR="00B60CBC">
        <w:t>T</w:t>
      </w:r>
      <w:r w:rsidR="00D917CA">
        <w:t>he HST data set shown in Figure 1</w:t>
      </w:r>
      <w:r w:rsidR="00B60CBC">
        <w:t xml:space="preserve"> spans an observation period of</w:t>
      </w:r>
      <w:r w:rsidR="00D917CA">
        <w:t xml:space="preserve"> </w:t>
      </w:r>
      <m:oMath>
        <m:sSub>
          <m:sSubPr>
            <m:ctrlPr>
              <w:rPr>
                <w:rFonts w:ascii="Cambria Math" w:hAnsi="Cambria Math"/>
                <w:i/>
              </w:rPr>
            </m:ctrlPr>
          </m:sSubPr>
          <m:e>
            <m:r>
              <w:rPr>
                <w:rFonts w:ascii="Cambria Math" w:hAnsi="Cambria Math"/>
              </w:rPr>
              <m:t>T</m:t>
            </m:r>
          </m:e>
          <m:sub>
            <m:r>
              <w:rPr>
                <w:rFonts w:ascii="Cambria Math" w:hAnsi="Cambria Math"/>
              </w:rPr>
              <m:t>obs</m:t>
            </m:r>
          </m:sub>
        </m:sSub>
      </m:oMath>
      <w:r w:rsidR="00B60CBC">
        <w:t xml:space="preserve"> = 9.92 years and</w:t>
      </w:r>
      <w:r w:rsidR="00D917CA">
        <w:t xml:space="preserve"> includes</w:t>
      </w:r>
      <w:r w:rsidR="00FE521D">
        <w:t xml:space="preserve"> a total of</w:t>
      </w:r>
      <w:r w:rsidR="004518CE">
        <w:t xml:space="preserve"> </w:t>
      </w:r>
      <m:oMath>
        <m:sSub>
          <m:sSubPr>
            <m:ctrlPr>
              <w:rPr>
                <w:rFonts w:ascii="Cambria Math" w:hAnsi="Cambria Math"/>
                <w:i/>
              </w:rPr>
            </m:ctrlPr>
          </m:sSubPr>
          <m:e>
            <m:r>
              <w:rPr>
                <w:rFonts w:ascii="Cambria Math" w:hAnsi="Cambria Math"/>
              </w:rPr>
              <m:t>N</m:t>
            </m:r>
          </m:e>
          <m:sub>
            <m:r>
              <w:rPr>
                <w:rFonts w:ascii="Cambria Math" w:hAnsi="Cambria Math"/>
              </w:rPr>
              <m:t>tot</m:t>
            </m:r>
          </m:sub>
        </m:sSub>
        <m:r>
          <w:rPr>
            <w:rFonts w:ascii="Cambria Math" w:hAnsi="Cambria Math"/>
          </w:rPr>
          <m:t>=1,639</m:t>
        </m:r>
      </m:oMath>
      <w:r w:rsidR="00D917CA">
        <w:t xml:space="preserve"> </w:t>
      </w:r>
      <w:r w:rsidR="00E52A55">
        <w:t xml:space="preserve">unique </w:t>
      </w:r>
      <w:r w:rsidR="00D917CA">
        <w:t>events</w:t>
      </w:r>
      <w:r w:rsidR="004518CE">
        <w:t xml:space="preserve">.  </w:t>
      </w:r>
      <w:r w:rsidR="00525E03">
        <w:t xml:space="preserve">For a </w:t>
      </w:r>
      <w:r w:rsidR="007041CB">
        <w:t>model</w:t>
      </w:r>
      <w:r w:rsidR="00525E03">
        <w:t xml:space="preserve"> </w:t>
      </w:r>
      <w:r w:rsidR="00525E03">
        <w:rPr>
          <w:szCs w:val="22"/>
        </w:rPr>
        <w:t xml:space="preserve">satellite occupying an HST-like </w:t>
      </w:r>
      <w:r w:rsidR="00525E03">
        <w:t>orbit, h</w:t>
      </w:r>
      <w:r w:rsidR="00D917CA">
        <w:t>owever, only a</w:t>
      </w:r>
      <w:r>
        <w:t xml:space="preserve"> subset </w:t>
      </w:r>
      <w:r w:rsidR="00202184">
        <w:t>of these</w:t>
      </w:r>
      <w:r w:rsidR="00525E03">
        <w:t xml:space="preserve"> events</w:t>
      </w:r>
      <w:r w:rsidR="00202184">
        <w:t xml:space="preserve"> </w:t>
      </w:r>
      <w:r w:rsidR="00F607B9">
        <w:t>has</w:t>
      </w:r>
      <w:r>
        <w:t xml:space="preserve"> a</w:t>
      </w:r>
      <w:r w:rsidR="00175B66">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175B66" w:rsidRPr="00445A2D">
        <w:rPr>
          <w:szCs w:val="22"/>
        </w:rPr>
        <w:t xml:space="preserve"> </w:t>
      </w:r>
      <w:r w:rsidR="00C160A6">
        <w:t>update</w:t>
      </w:r>
      <w:r w:rsidR="008337CD">
        <w:t xml:space="preserve"> within</w:t>
      </w:r>
      <w:r>
        <w:t xml:space="preserve"> </w:t>
      </w:r>
      <w:r w:rsidR="00525E03">
        <w:t>the mission’s</w:t>
      </w:r>
      <w:r w:rsidR="00202184">
        <w:t xml:space="preserve"> </w:t>
      </w:r>
      <w:r w:rsidR="00525E03">
        <w:t xml:space="preserve">specified </w:t>
      </w:r>
      <w:r w:rsidR="00C160A6">
        <w:t xml:space="preserve">RMM </w:t>
      </w:r>
      <w:r w:rsidR="008337CD">
        <w:t>consider/commit time limits</w:t>
      </w:r>
      <w:r w:rsidR="00B60CBC">
        <w:t>.  T</w:t>
      </w:r>
      <w:r w:rsidR="00D917CA">
        <w:t xml:space="preserve">his subset </w:t>
      </w:r>
      <w:r w:rsidR="00202184">
        <w:t xml:space="preserve">includes </w:t>
      </w:r>
      <m:oMath>
        <m:sSub>
          <m:sSubPr>
            <m:ctrlPr>
              <w:rPr>
                <w:rFonts w:ascii="Cambria Math" w:hAnsi="Cambria Math"/>
                <w:i/>
              </w:rPr>
            </m:ctrlPr>
          </m:sSubPr>
          <m:e>
            <m:r>
              <w:rPr>
                <w:rFonts w:ascii="Cambria Math" w:hAnsi="Cambria Math"/>
              </w:rPr>
              <m:t>N</m:t>
            </m:r>
          </m:e>
          <m:sub>
            <m:r>
              <w:rPr>
                <w:rFonts w:ascii="Cambria Math" w:hAnsi="Cambria Math"/>
              </w:rPr>
              <m:t>obs</m:t>
            </m:r>
          </m:sub>
        </m:sSub>
        <m:r>
          <w:rPr>
            <w:rFonts w:ascii="Cambria Math" w:hAnsi="Cambria Math"/>
          </w:rPr>
          <m:t>=1,555</m:t>
        </m:r>
      </m:oMath>
      <w:r w:rsidR="00D917CA">
        <w:t xml:space="preserve"> events</w:t>
      </w:r>
      <w:r w:rsidR="00202184">
        <w:t xml:space="preserve"> for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rsidR="00FE521D">
        <w:t xml:space="preserve"> </w:t>
      </w:r>
      <w:r w:rsidR="00202184">
        <w:t xml:space="preserve">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rsidR="00202184">
        <w:t xml:space="preserve">.  </w:t>
      </w:r>
      <w:r w:rsidR="00F457CE">
        <w:t>In general, t</w:t>
      </w:r>
      <w:r w:rsidR="00FE521D">
        <w:t xml:space="preserve">hese </w:t>
      </w:r>
      <m:oMath>
        <m:sSub>
          <m:sSubPr>
            <m:ctrlPr>
              <w:rPr>
                <w:rFonts w:ascii="Cambria Math" w:hAnsi="Cambria Math"/>
                <w:i/>
              </w:rPr>
            </m:ctrlPr>
          </m:sSubPr>
          <m:e>
            <m:r>
              <w:rPr>
                <w:rFonts w:ascii="Cambria Math" w:hAnsi="Cambria Math"/>
              </w:rPr>
              <m:t>N</m:t>
            </m:r>
          </m:e>
          <m:sub>
            <m:r>
              <w:rPr>
                <w:rFonts w:ascii="Cambria Math" w:hAnsi="Cambria Math"/>
              </w:rPr>
              <m:t>obs</m:t>
            </m:r>
          </m:sub>
        </m:sSub>
      </m:oMath>
      <w:r w:rsidR="00BD23FB">
        <w:t xml:space="preserve"> </w:t>
      </w:r>
      <w:r w:rsidR="00FE521D">
        <w:t xml:space="preserve">conjunctions </w:t>
      </w:r>
      <w:r w:rsidR="008C02B0">
        <w:t xml:space="preserve">involve </w:t>
      </w:r>
      <w:r w:rsidR="00C96452">
        <w:t>many different</w:t>
      </w:r>
      <w:r w:rsidR="002B33D8">
        <w:t xml:space="preserve"> </w:t>
      </w:r>
      <w:r w:rsidR="008C02B0">
        <w:t xml:space="preserve">secondary satellites, and are assumed to be statistically independent events </w:t>
      </w:r>
      <w:r w:rsidR="00925700">
        <w:t>for</w:t>
      </w:r>
      <w:r w:rsidR="008C02B0">
        <w:t xml:space="preserve"> this analysis</w:t>
      </w:r>
      <w:r w:rsidR="008337CD">
        <w:t>.</w:t>
      </w:r>
    </w:p>
    <w:p w14:paraId="60349E33" w14:textId="3D4D62DA" w:rsidR="008663D3" w:rsidRDefault="002B33D8" w:rsidP="00592A9F">
      <w:r>
        <w:t>TCA</w:t>
      </w:r>
      <w:r w:rsidR="002770D7">
        <w:t>s</w:t>
      </w:r>
      <w:r w:rsidR="00D917CA">
        <w:t xml:space="preserve"> for th</w:t>
      </w:r>
      <w:r w:rsidR="00C92966">
        <w:t>e</w:t>
      </w:r>
      <w:r w:rsidR="007D7C8F">
        <w:t xml:space="preserve"> observed</w:t>
      </w:r>
      <w:r w:rsidR="00D917CA">
        <w:t xml:space="preserve"> sequence</w:t>
      </w:r>
      <w:r>
        <w:t xml:space="preserve"> </w:t>
      </w:r>
      <w:r w:rsidR="007D7C8F">
        <w:t xml:space="preserve">of conjunctions </w:t>
      </w:r>
      <w:r w:rsidR="002770D7">
        <w:t xml:space="preserve">can be denoted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70D7">
        <w:t xml:space="preserve"> with </w:t>
      </w:r>
      <m:oMath>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obs</m:t>
            </m:r>
          </m:sub>
        </m:sSub>
      </m:oMath>
      <w:r w:rsidR="002770D7">
        <w:t>.</w:t>
      </w:r>
      <w:r w:rsidR="008C02B0">
        <w:t xml:space="preserve">  </w:t>
      </w:r>
      <w:r w:rsidR="003948C6">
        <w:t>The</w:t>
      </w:r>
      <w:r w:rsidR="00097FB8">
        <w:t xml:space="preserve"> corresponding</w:t>
      </w:r>
      <w:r w:rsidR="003948C6">
        <w:t xml:space="preserve"> </w:t>
      </w:r>
      <w:r w:rsidR="008B7657">
        <w:t xml:space="preserve">TCA </w:t>
      </w:r>
      <w:r w:rsidR="008C02B0">
        <w:t>orbital state</w:t>
      </w:r>
      <w:r w:rsidR="000F69E9">
        <w:t xml:space="preserve"> vector</w:t>
      </w:r>
      <w:r w:rsidR="008C02B0">
        <w:t>s</w:t>
      </w:r>
      <w:r w:rsidR="008A07E9">
        <w:t xml:space="preserve"> (</w:t>
      </w:r>
      <m:oMath>
        <m:r>
          <m:rPr>
            <m:sty m:val="b"/>
          </m:rPr>
          <w:rPr>
            <w:rFonts w:ascii="Cambria Math" w:hAnsi="Cambria Math"/>
          </w:rPr>
          <m:t>X</m:t>
        </m:r>
      </m:oMath>
      <w:r w:rsidR="008A07E9">
        <w:t xml:space="preserve">) </w:t>
      </w:r>
      <w:r w:rsidR="008C02B0">
        <w:t xml:space="preserve">and </w:t>
      </w:r>
      <w:r w:rsidR="008B7657">
        <w:t xml:space="preserve">state </w:t>
      </w:r>
      <w:r w:rsidR="008C02B0">
        <w:t>covariance</w:t>
      </w:r>
      <w:r w:rsidR="000F69E9">
        <w:t xml:space="preserve"> matrices</w:t>
      </w:r>
      <w:r w:rsidR="008B7657">
        <w:t xml:space="preserve"> (</w:t>
      </w:r>
      <m:oMath>
        <m:r>
          <m:rPr>
            <m:sty m:val="b"/>
          </m:rPr>
          <w:rPr>
            <w:rFonts w:ascii="Cambria Math" w:hAnsi="Cambria Math"/>
          </w:rPr>
          <m:t>C</m:t>
        </m:r>
      </m:oMath>
      <w:r w:rsidR="008B7657">
        <w:t>)</w:t>
      </w:r>
      <w:r w:rsidR="008C02B0">
        <w:t xml:space="preserve"> </w:t>
      </w:r>
      <w:r w:rsidR="008A07E9">
        <w:t>for the primary and secondary satellites</w:t>
      </w:r>
      <w:r w:rsidR="003948C6">
        <w:t xml:space="preserve"> </w:t>
      </w:r>
      <w:r w:rsidR="00097FB8">
        <w:t>can be combined into</w:t>
      </w:r>
      <w:r w:rsidR="003948C6">
        <w:t xml:space="preserve"> a composite data set</w:t>
      </w:r>
    </w:p>
    <w:p w14:paraId="01BDBF4C" w14:textId="18D5CA6C" w:rsidR="008663D3" w:rsidRPr="008663D3" w:rsidRDefault="0083235C" w:rsidP="008663D3">
      <w:pPr>
        <w:jc w:val="right"/>
      </w:pP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obs</m:t>
            </m:r>
          </m:sub>
        </m:sSub>
        <m:r>
          <w:rPr>
            <w:rFonts w:ascii="Cambria Math" w:hAnsi="Cambria Math"/>
          </w:rPr>
          <m:t>=</m:t>
        </m:r>
        <m:d>
          <m:dPr>
            <m:begChr m:val="{"/>
            <m:endChr m:val="}"/>
            <m:ctrlPr>
              <w:rPr>
                <w:rFonts w:ascii="Cambria Math" w:hAnsi="Cambria Math"/>
                <w:bCs/>
                <w:i/>
                <w:iCs/>
              </w:rPr>
            </m:ctrlPr>
          </m:dPr>
          <m:e>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sec</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sec</m:t>
                </m:r>
              </m:sup>
            </m:sSubSup>
          </m:e>
        </m:d>
      </m:oMath>
      <w:r w:rsidR="008663D3">
        <w:t xml:space="preserve">                                  </w:t>
      </w:r>
      <w:r w:rsidR="0081225F">
        <w:t xml:space="preserve">  </w:t>
      </w:r>
      <w:r w:rsidR="008663D3">
        <w:t xml:space="preserve">             (2)</w:t>
      </w:r>
    </w:p>
    <w:p w14:paraId="4B298EF7" w14:textId="23BC927A" w:rsidR="003E50FF" w:rsidRDefault="00C36A66" w:rsidP="00592A9F">
      <w:r>
        <w:rPr>
          <w:bCs/>
          <w:iCs/>
        </w:rPr>
        <w:t>Th</w:t>
      </w:r>
      <w:r w:rsidR="00BE0C40">
        <w:rPr>
          <w:bCs/>
          <w:iCs/>
        </w:rPr>
        <w:t>e</w:t>
      </w:r>
      <w:r>
        <w:rPr>
          <w:bCs/>
          <w:iCs/>
        </w:rPr>
        <w:t xml:space="preserve"> set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obs</m:t>
            </m:r>
          </m:sub>
        </m:sSub>
      </m:oMath>
      <w:r>
        <w:t xml:space="preserve"> contains </w:t>
      </w:r>
      <w:r w:rsidR="00592A9F">
        <w:t xml:space="preserve">the </w:t>
      </w:r>
      <w:r>
        <w:t xml:space="preserve">essential </w:t>
      </w:r>
      <w:r w:rsidR="00F42591">
        <w:t>conjunction</w:t>
      </w:r>
      <w:r w:rsidR="00E52A55">
        <w:t xml:space="preserve"> </w:t>
      </w:r>
      <w:r w:rsidR="00F42591">
        <w:t xml:space="preserve">sequence </w:t>
      </w:r>
      <w:r>
        <w:t>data for th</w:t>
      </w:r>
      <w:r w:rsidR="00EF1FA9">
        <w:t>e</w:t>
      </w:r>
      <w:r>
        <w:t xml:space="preserve"> semi-empirical formulation</w:t>
      </w:r>
      <w:r w:rsidR="00EF1FA9">
        <w:t xml:space="preserve"> presented </w:t>
      </w:r>
      <w:r w:rsidR="00850C6A">
        <w:t>in this study</w:t>
      </w:r>
      <w:r w:rsidR="00F42591">
        <w:t xml:space="preserve">, and </w:t>
      </w:r>
      <w:r w:rsidR="00592A9F">
        <w:t xml:space="preserve">can be extracted from the archive database </w:t>
      </w:r>
      <w:r w:rsidR="00E52A55">
        <w:t xml:space="preserve">for a specific primary </w:t>
      </w:r>
      <w:r w:rsidR="00592A9F">
        <w:t xml:space="preserve">using the four parameters </w:t>
      </w:r>
      <m:oMath>
        <m:d>
          <m:dPr>
            <m:ctrlPr>
              <w:rPr>
                <w:rFonts w:ascii="Cambria Math" w:hAnsi="Cambria Math"/>
                <w:bCs/>
                <w:i/>
                <w:iCs/>
              </w:rPr>
            </m:ctrlPr>
          </m:dPr>
          <m:e>
            <m:sSub>
              <m:sSubPr>
                <m:ctrlPr>
                  <w:rPr>
                    <w:rFonts w:ascii="Cambria Math" w:hAnsi="Cambria Math"/>
                    <w:i/>
                  </w:rPr>
                </m:ctrlPr>
              </m:sSubPr>
              <m:e>
                <m:r>
                  <w:rPr>
                    <w:rFonts w:ascii="Cambria Math" w:hAnsi="Cambria Math"/>
                  </w:rPr>
                  <m:t>T</m:t>
                </m:r>
              </m:e>
              <m:sub>
                <m:r>
                  <w:rPr>
                    <w:rFonts w:ascii="Cambria Math" w:hAnsi="Cambria Math"/>
                  </w:rPr>
                  <m:t>init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cns</m:t>
                </m:r>
              </m:sub>
            </m:sSub>
            <m:ctrlPr>
              <w:rPr>
                <w:rFonts w:ascii="Cambria Math" w:hAnsi="Cambria Math"/>
                <w:i/>
              </w:rPr>
            </m:ctrlPr>
          </m:e>
        </m:d>
      </m:oMath>
      <w:r w:rsidR="00592A9F">
        <w:t>.</w:t>
      </w:r>
    </w:p>
    <w:p w14:paraId="540F33ED" w14:textId="6D009A3A" w:rsidR="0091509C" w:rsidRDefault="00592A9F" w:rsidP="00592A9F">
      <w:r>
        <w:t>The states and covariance</w:t>
      </w:r>
      <w:r w:rsidR="00C43099">
        <w:t xml:space="preserve"> matrice</w:t>
      </w:r>
      <w:r>
        <w:t>s</w:t>
      </w:r>
      <w:r w:rsidR="00202184">
        <w:t xml:space="preserve"> contained in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obs</m:t>
            </m:r>
          </m:sub>
        </m:sSub>
      </m:oMath>
      <w:r w:rsidR="00BD4711">
        <w:t xml:space="preserve"> </w:t>
      </w:r>
      <w:r w:rsidR="00AE7D74">
        <w:rPr>
          <w:bCs/>
          <w:iCs/>
        </w:rPr>
        <w:t>enable estimation of</w:t>
      </w:r>
      <w:r w:rsidR="000F69E9">
        <w:rPr>
          <w:bCs/>
          <w:iCs/>
        </w:rPr>
        <w:t xml:space="preserve"> the </w:t>
      </w:r>
      <w:r w:rsidR="00E52A55">
        <w:rPr>
          <w:bCs/>
          <w:iCs/>
        </w:rPr>
        <w:t xml:space="preserve">sequence of </w:t>
      </w:r>
      <w:r w:rsidR="00BD23FB">
        <w:rPr>
          <w:bCs/>
          <w:iCs/>
        </w:rPr>
        <w:t>l</w:t>
      </w:r>
      <w:r w:rsidR="00984529">
        <w:rPr>
          <w:bCs/>
          <w:iCs/>
        </w:rPr>
        <w:t>ast-update</w:t>
      </w:r>
      <w:r w:rsidR="00BD23FB">
        <w:rPr>
          <w:bCs/>
          <w:iCs/>
        </w:rPr>
        <w:t xml:space="preserve"> collision probabilities</w:t>
      </w:r>
    </w:p>
    <w:p w14:paraId="30146984" w14:textId="7FEBDC48" w:rsidR="008A07E9" w:rsidRDefault="0083235C" w:rsidP="00D72EAB">
      <w:pPr>
        <w:jc w:val="right"/>
      </w:pPr>
      <m:oMath>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r>
          <m:rPr>
            <m:sty m:val="p"/>
          </m:rPr>
          <w:rPr>
            <w:rFonts w:ascii="Cambria Math" w:hAnsi="Cambria Math"/>
          </w:rPr>
          <m:t>PcFunc</m:t>
        </m:r>
        <m:d>
          <m:dPr>
            <m:ctrlPr>
              <w:rPr>
                <w:rFonts w:ascii="Cambria Math" w:hAnsi="Cambria Math"/>
                <w:i/>
              </w:rPr>
            </m:ctrlPr>
          </m:dPr>
          <m:e>
            <m:r>
              <w:rPr>
                <w:rFonts w:ascii="Cambria Math" w:hAnsi="Cambria Math"/>
              </w:rPr>
              <m:t>H,</m:t>
            </m:r>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sec</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sec</m:t>
                </m:r>
              </m:sup>
            </m:sSubSup>
          </m:e>
        </m:d>
      </m:oMath>
      <w:r w:rsidR="006857E2">
        <w:t xml:space="preserve">                              </w:t>
      </w:r>
      <w:r w:rsidR="00FA5D30">
        <w:t xml:space="preserve">         </w:t>
      </w:r>
      <w:r w:rsidR="006857E2">
        <w:t xml:space="preserve">    </w:t>
      </w:r>
      <w:r w:rsidR="00D72EAB">
        <w:t>(</w:t>
      </w:r>
      <w:r w:rsidR="008663D3">
        <w:t>3</w:t>
      </w:r>
      <w:r w:rsidR="00D72EAB">
        <w:t>)</w:t>
      </w:r>
    </w:p>
    <w:p w14:paraId="690FD576" w14:textId="69DD8AAE" w:rsidR="00C36A66" w:rsidRDefault="009372DA" w:rsidP="006B679A">
      <w:r>
        <w:t xml:space="preserve">with the combined set denoted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c,i</m:t>
                </m:r>
              </m:sub>
            </m:sSub>
          </m:e>
        </m:d>
      </m:oMath>
      <w:r w:rsidR="0062454A">
        <w:t xml:space="preserve">, </w:t>
      </w:r>
      <m:oMath>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obs</m:t>
            </m:r>
          </m:sub>
        </m:sSub>
      </m:oMath>
      <w:r w:rsidR="0062454A">
        <w:t xml:space="preserve">.  </w:t>
      </w:r>
      <w:r>
        <w:t>The</w:t>
      </w:r>
      <w:r w:rsidR="00DC1DEF">
        <w:t xml:space="preserve"> symbol </w:t>
      </w:r>
      <m:oMath>
        <m:r>
          <w:rPr>
            <w:rFonts w:ascii="Cambria Math" w:hAnsi="Cambria Math"/>
          </w:rPr>
          <m:t>H</m:t>
        </m:r>
      </m:oMath>
      <w:r>
        <w:t xml:space="preserve"> in eq. (</w:t>
      </w:r>
      <w:r w:rsidR="008663D3">
        <w:t>3</w:t>
      </w:r>
      <w:r>
        <w:t xml:space="preserve">) can </w:t>
      </w:r>
      <w:r w:rsidR="00DE0907">
        <w:t>represent</w:t>
      </w:r>
      <w:r>
        <w:t xml:space="preserve"> the combined hard-body radii of the primary and secondary if </w:t>
      </w:r>
      <w:r w:rsidR="00DE0907">
        <w:t xml:space="preserve">both are </w:t>
      </w:r>
      <w:r>
        <w:t xml:space="preserve">known, </w:t>
      </w:r>
      <m:oMath>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pri</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sec</m:t>
            </m:r>
          </m:sup>
        </m:sSup>
      </m:oMath>
      <w:r w:rsidR="008A07E9">
        <w:t xml:space="preserve">, or the protection radius used </w:t>
      </w:r>
      <w:r w:rsidR="000B7A30">
        <w:t xml:space="preserve">for </w:t>
      </w:r>
      <w:r w:rsidR="00D72EAB">
        <w:t xml:space="preserve">all conjunctions involving </w:t>
      </w:r>
      <w:r w:rsidR="008A07E9">
        <w:t>the primary</w:t>
      </w:r>
      <w:r>
        <w:t xml:space="preserve">, </w:t>
      </w:r>
      <m:oMath>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prot</m:t>
            </m:r>
          </m:sup>
        </m:sSup>
      </m:oMath>
      <w:r w:rsidR="008A07E9">
        <w:t>.</w:t>
      </w:r>
      <w:r w:rsidR="0097047A">
        <w:t xml:space="preserve"> </w:t>
      </w:r>
      <w:r w:rsidR="00DB1190">
        <w:t xml:space="preserve"> </w:t>
      </w:r>
      <w:r w:rsidR="00D72EAB">
        <w:t>“</w:t>
      </w:r>
      <m:oMath>
        <m:r>
          <m:rPr>
            <m:sty m:val="p"/>
          </m:rPr>
          <w:rPr>
            <w:rFonts w:ascii="Cambria Math" w:hAnsi="Cambria Math"/>
          </w:rPr>
          <m:t>PcFunc</m:t>
        </m:r>
      </m:oMath>
      <w:r w:rsidR="00D72EAB">
        <w:t xml:space="preserve">” </w:t>
      </w:r>
      <w:r w:rsidR="00F31580">
        <w:t>represent</w:t>
      </w:r>
      <w:r w:rsidR="004165B6">
        <w:t>s</w:t>
      </w:r>
      <w:r w:rsidR="00F31580">
        <w:t xml:space="preserve"> any viable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864717">
        <w:rPr>
          <w:szCs w:val="22"/>
        </w:rPr>
        <w:t xml:space="preserve"> estimation</w:t>
      </w:r>
      <w:r w:rsidR="00864717">
        <w:t xml:space="preserve"> </w:t>
      </w:r>
      <w:r w:rsidR="00F31580">
        <w:t>method</w:t>
      </w:r>
      <w:r w:rsidR="00F31580">
        <w:rPr>
          <w:szCs w:val="22"/>
        </w:rPr>
        <w:t xml:space="preserve">, including </w:t>
      </w:r>
      <w:r w:rsidR="00F31580" w:rsidRPr="00445A2D">
        <w:rPr>
          <w:szCs w:val="22"/>
        </w:rPr>
        <w:t>semi-analytical</w:t>
      </w:r>
      <w:r w:rsidR="00F31580" w:rsidRPr="00E40B20">
        <w:rPr>
          <w:szCs w:val="22"/>
          <w:vertAlign w:val="superscript"/>
        </w:rPr>
        <w:fldChar w:fldCharType="begin"/>
      </w:r>
      <w:r w:rsidR="00F31580" w:rsidRPr="00E40B20">
        <w:rPr>
          <w:szCs w:val="22"/>
          <w:vertAlign w:val="superscript"/>
        </w:rPr>
        <w:instrText xml:space="preserve"> REF _Ref514676603 \r \h  \* MERGEFORMAT </w:instrText>
      </w:r>
      <w:r w:rsidR="00F31580" w:rsidRPr="00E40B20">
        <w:rPr>
          <w:szCs w:val="22"/>
          <w:vertAlign w:val="superscript"/>
        </w:rPr>
      </w:r>
      <w:r w:rsidR="00F31580" w:rsidRPr="00E40B20">
        <w:rPr>
          <w:szCs w:val="22"/>
          <w:vertAlign w:val="superscript"/>
        </w:rPr>
        <w:fldChar w:fldCharType="separate"/>
      </w:r>
      <w:r w:rsidR="004F2D83">
        <w:rPr>
          <w:szCs w:val="22"/>
          <w:vertAlign w:val="superscript"/>
        </w:rPr>
        <w:t>1</w:t>
      </w:r>
      <w:r w:rsidR="00F31580" w:rsidRPr="00E40B20">
        <w:rPr>
          <w:szCs w:val="22"/>
          <w:vertAlign w:val="superscript"/>
        </w:rPr>
        <w:fldChar w:fldCharType="end"/>
      </w:r>
      <w:r w:rsidR="00F31580" w:rsidRPr="00E40B20">
        <w:rPr>
          <w:szCs w:val="22"/>
          <w:vertAlign w:val="superscript"/>
        </w:rPr>
        <w:t>-</w:t>
      </w:r>
      <w:r w:rsidR="00F31580">
        <w:rPr>
          <w:szCs w:val="22"/>
          <w:vertAlign w:val="superscript"/>
        </w:rPr>
        <w:fldChar w:fldCharType="begin"/>
      </w:r>
      <w:r w:rsidR="00F31580">
        <w:rPr>
          <w:szCs w:val="22"/>
          <w:vertAlign w:val="superscript"/>
        </w:rPr>
        <w:instrText xml:space="preserve"> REF _Ref514676608 \r \h </w:instrText>
      </w:r>
      <w:r w:rsidR="00F31580">
        <w:rPr>
          <w:szCs w:val="22"/>
          <w:vertAlign w:val="superscript"/>
        </w:rPr>
      </w:r>
      <w:r w:rsidR="00F31580">
        <w:rPr>
          <w:szCs w:val="22"/>
          <w:vertAlign w:val="superscript"/>
        </w:rPr>
        <w:fldChar w:fldCharType="separate"/>
      </w:r>
      <w:r w:rsidR="004F2D83">
        <w:rPr>
          <w:szCs w:val="22"/>
          <w:vertAlign w:val="superscript"/>
        </w:rPr>
        <w:t>3</w:t>
      </w:r>
      <w:r w:rsidR="00F31580">
        <w:rPr>
          <w:szCs w:val="22"/>
          <w:vertAlign w:val="superscript"/>
        </w:rPr>
        <w:fldChar w:fldCharType="end"/>
      </w:r>
      <w:r w:rsidR="00F31580">
        <w:rPr>
          <w:szCs w:val="22"/>
          <w:vertAlign w:val="superscript"/>
        </w:rPr>
        <w:t>,</w:t>
      </w:r>
      <w:r w:rsidR="004F2D83">
        <w:rPr>
          <w:szCs w:val="22"/>
          <w:vertAlign w:val="superscript"/>
        </w:rPr>
        <w:fldChar w:fldCharType="begin"/>
      </w:r>
      <w:r w:rsidR="004F2D83">
        <w:rPr>
          <w:szCs w:val="22"/>
          <w:vertAlign w:val="superscript"/>
        </w:rPr>
        <w:instrText xml:space="preserve"> REF _Ref6479007 \r \h </w:instrText>
      </w:r>
      <w:r w:rsidR="004F2D83">
        <w:rPr>
          <w:szCs w:val="22"/>
          <w:vertAlign w:val="superscript"/>
        </w:rPr>
      </w:r>
      <w:r w:rsidR="004F2D83">
        <w:rPr>
          <w:szCs w:val="22"/>
          <w:vertAlign w:val="superscript"/>
        </w:rPr>
        <w:fldChar w:fldCharType="separate"/>
      </w:r>
      <w:r w:rsidR="004F2D83">
        <w:rPr>
          <w:szCs w:val="22"/>
          <w:vertAlign w:val="superscript"/>
        </w:rPr>
        <w:t>11</w:t>
      </w:r>
      <w:r w:rsidR="004F2D83">
        <w:rPr>
          <w:szCs w:val="22"/>
          <w:vertAlign w:val="superscript"/>
        </w:rPr>
        <w:fldChar w:fldCharType="end"/>
      </w:r>
      <w:r w:rsidR="00F31580" w:rsidRPr="00445A2D">
        <w:rPr>
          <w:szCs w:val="22"/>
        </w:rPr>
        <w:t xml:space="preserve"> or Monte Carlo </w:t>
      </w:r>
      <w:r w:rsidR="00864717">
        <w:rPr>
          <w:szCs w:val="22"/>
        </w:rPr>
        <w:t>formulations</w:t>
      </w:r>
      <w:r w:rsidR="00F31580" w:rsidRPr="00445A2D">
        <w:rPr>
          <w:szCs w:val="22"/>
        </w:rPr>
        <w:t>.</w:t>
      </w:r>
      <w:r w:rsidR="00F31580" w:rsidRPr="00FD17C1">
        <w:rPr>
          <w:szCs w:val="22"/>
          <w:vertAlign w:val="superscript"/>
        </w:rPr>
        <w:fldChar w:fldCharType="begin"/>
      </w:r>
      <w:r w:rsidR="00F31580" w:rsidRPr="00FD17C1">
        <w:rPr>
          <w:szCs w:val="22"/>
          <w:vertAlign w:val="superscript"/>
        </w:rPr>
        <w:instrText xml:space="preserve"> REF _Ref6466684 \r \h </w:instrText>
      </w:r>
      <w:r w:rsidR="00F31580">
        <w:rPr>
          <w:szCs w:val="22"/>
          <w:vertAlign w:val="superscript"/>
        </w:rPr>
        <w:instrText xml:space="preserve"> \* MERGEFORMAT </w:instrText>
      </w:r>
      <w:r w:rsidR="00F31580" w:rsidRPr="00FD17C1">
        <w:rPr>
          <w:szCs w:val="22"/>
          <w:vertAlign w:val="superscript"/>
        </w:rPr>
      </w:r>
      <w:r w:rsidR="00F31580" w:rsidRPr="00FD17C1">
        <w:rPr>
          <w:szCs w:val="22"/>
          <w:vertAlign w:val="superscript"/>
        </w:rPr>
        <w:fldChar w:fldCharType="separate"/>
      </w:r>
      <w:r w:rsidR="004F2D83">
        <w:rPr>
          <w:szCs w:val="22"/>
          <w:vertAlign w:val="superscript"/>
        </w:rPr>
        <w:t>4</w:t>
      </w:r>
      <w:r w:rsidR="00F31580" w:rsidRPr="00FD17C1">
        <w:rPr>
          <w:szCs w:val="22"/>
          <w:vertAlign w:val="superscript"/>
        </w:rPr>
        <w:fldChar w:fldCharType="end"/>
      </w:r>
      <w:r w:rsidR="00F31580">
        <w:rPr>
          <w:szCs w:val="22"/>
          <w:vertAlign w:val="superscript"/>
        </w:rPr>
        <w:t>,</w:t>
      </w:r>
      <w:r w:rsidR="00F31580" w:rsidRPr="00FD17C1">
        <w:rPr>
          <w:szCs w:val="22"/>
          <w:vertAlign w:val="superscript"/>
        </w:rPr>
        <w:fldChar w:fldCharType="begin"/>
      </w:r>
      <w:r w:rsidR="00F31580" w:rsidRPr="00FD17C1">
        <w:rPr>
          <w:szCs w:val="22"/>
          <w:vertAlign w:val="superscript"/>
        </w:rPr>
        <w:instrText xml:space="preserve"> REF _Ref6464558 \r \h  \* MERGEFORMAT </w:instrText>
      </w:r>
      <w:r w:rsidR="00F31580" w:rsidRPr="00FD17C1">
        <w:rPr>
          <w:szCs w:val="22"/>
          <w:vertAlign w:val="superscript"/>
        </w:rPr>
      </w:r>
      <w:r w:rsidR="00F31580" w:rsidRPr="00FD17C1">
        <w:rPr>
          <w:szCs w:val="22"/>
          <w:vertAlign w:val="superscript"/>
        </w:rPr>
        <w:fldChar w:fldCharType="separate"/>
      </w:r>
      <w:r w:rsidR="004F2D83">
        <w:rPr>
          <w:szCs w:val="22"/>
          <w:vertAlign w:val="superscript"/>
        </w:rPr>
        <w:t>5</w:t>
      </w:r>
      <w:r w:rsidR="00F31580" w:rsidRPr="00FD17C1">
        <w:rPr>
          <w:szCs w:val="22"/>
          <w:vertAlign w:val="superscript"/>
        </w:rPr>
        <w:fldChar w:fldCharType="end"/>
      </w:r>
      <w:r w:rsidR="00F31580" w:rsidRPr="00445A2D">
        <w:rPr>
          <w:szCs w:val="22"/>
        </w:rPr>
        <w:t xml:space="preserve"> </w:t>
      </w:r>
      <w:r w:rsidR="00F31580">
        <w:rPr>
          <w:szCs w:val="22"/>
        </w:rPr>
        <w:t xml:space="preserve"> This analysis employs the “2D-Pc” method</w:t>
      </w:r>
      <w:r w:rsidR="00077660" w:rsidRPr="00077660">
        <w:rPr>
          <w:szCs w:val="22"/>
          <w:vertAlign w:val="superscript"/>
        </w:rPr>
        <w:fldChar w:fldCharType="begin"/>
      </w:r>
      <w:r w:rsidR="00077660" w:rsidRPr="00077660">
        <w:rPr>
          <w:szCs w:val="22"/>
          <w:vertAlign w:val="superscript"/>
        </w:rPr>
        <w:instrText xml:space="preserve"> REF _Ref514676603 \r \h </w:instrText>
      </w:r>
      <w:r w:rsidR="00077660">
        <w:rPr>
          <w:szCs w:val="22"/>
          <w:vertAlign w:val="superscript"/>
        </w:rPr>
        <w:instrText xml:space="preserve"> \* MERGEFORMAT </w:instrText>
      </w:r>
      <w:r w:rsidR="00077660" w:rsidRPr="00077660">
        <w:rPr>
          <w:szCs w:val="22"/>
          <w:vertAlign w:val="superscript"/>
        </w:rPr>
      </w:r>
      <w:r w:rsidR="00077660" w:rsidRPr="00077660">
        <w:rPr>
          <w:szCs w:val="22"/>
          <w:vertAlign w:val="superscript"/>
        </w:rPr>
        <w:fldChar w:fldCharType="separate"/>
      </w:r>
      <w:r w:rsidR="004F2D83">
        <w:rPr>
          <w:szCs w:val="22"/>
          <w:vertAlign w:val="superscript"/>
        </w:rPr>
        <w:t>1</w:t>
      </w:r>
      <w:r w:rsidR="00077660" w:rsidRPr="00077660">
        <w:rPr>
          <w:szCs w:val="22"/>
          <w:vertAlign w:val="superscript"/>
        </w:rPr>
        <w:fldChar w:fldCharType="end"/>
      </w:r>
      <w:r w:rsidR="00077660" w:rsidRPr="00077660">
        <w:rPr>
          <w:szCs w:val="22"/>
          <w:vertAlign w:val="superscript"/>
        </w:rPr>
        <w:t>,</w:t>
      </w:r>
      <w:r w:rsidR="00077660" w:rsidRPr="00077660">
        <w:rPr>
          <w:szCs w:val="22"/>
          <w:vertAlign w:val="superscript"/>
        </w:rPr>
        <w:fldChar w:fldCharType="begin"/>
      </w:r>
      <w:r w:rsidR="00077660" w:rsidRPr="00077660">
        <w:rPr>
          <w:szCs w:val="22"/>
          <w:vertAlign w:val="superscript"/>
        </w:rPr>
        <w:instrText xml:space="preserve"> REF _Ref514676846 \r \h </w:instrText>
      </w:r>
      <w:r w:rsidR="00077660">
        <w:rPr>
          <w:szCs w:val="22"/>
          <w:vertAlign w:val="superscript"/>
        </w:rPr>
        <w:instrText xml:space="preserve"> \* MERGEFORMAT </w:instrText>
      </w:r>
      <w:r w:rsidR="00077660" w:rsidRPr="00077660">
        <w:rPr>
          <w:szCs w:val="22"/>
          <w:vertAlign w:val="superscript"/>
        </w:rPr>
      </w:r>
      <w:r w:rsidR="00077660" w:rsidRPr="00077660">
        <w:rPr>
          <w:szCs w:val="22"/>
          <w:vertAlign w:val="superscript"/>
        </w:rPr>
        <w:fldChar w:fldCharType="separate"/>
      </w:r>
      <w:r w:rsidR="004F2D83">
        <w:rPr>
          <w:szCs w:val="22"/>
          <w:vertAlign w:val="superscript"/>
        </w:rPr>
        <w:t>2</w:t>
      </w:r>
      <w:r w:rsidR="00077660" w:rsidRPr="00077660">
        <w:rPr>
          <w:szCs w:val="22"/>
          <w:vertAlign w:val="superscript"/>
        </w:rPr>
        <w:fldChar w:fldCharType="end"/>
      </w:r>
      <w:r w:rsidR="0097047A">
        <w:rPr>
          <w:szCs w:val="22"/>
        </w:rPr>
        <w:t xml:space="preserve"> </w:t>
      </w:r>
      <w:r w:rsidR="00077660">
        <w:rPr>
          <w:szCs w:val="22"/>
        </w:rPr>
        <w:t>to estimate</w:t>
      </w:r>
      <w:r w:rsidR="004165B6">
        <w:rPr>
          <w:szCs w:val="22"/>
        </w:rPr>
        <w:t xml:space="preserv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077660">
        <w:t xml:space="preserve"> values.</w:t>
      </w:r>
      <w:r w:rsidR="00C92966">
        <w:t xml:space="preserve">  (Note: the </w:t>
      </w:r>
      <w:r w:rsidR="004964BB">
        <w:t xml:space="preserve">colored </w:t>
      </w:r>
      <w:r w:rsidR="005E35D4">
        <w:t>circle</w:t>
      </w:r>
      <w:r w:rsidR="00C92966">
        <w:t xml:space="preserve">s </w:t>
      </w:r>
      <w:r w:rsidR="004964BB">
        <w:t xml:space="preserve">plotted </w:t>
      </w:r>
      <w:r w:rsidR="00C92966">
        <w:t xml:space="preserve">in Figure 1 </w:t>
      </w:r>
      <w:r w:rsidR="00277C30">
        <w:t xml:space="preserve">show the set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oMath>
      <w:r w:rsidR="00C92966">
        <w:t xml:space="preserve"> </w:t>
      </w:r>
      <w:r w:rsidR="00D1685E">
        <w:t>derived</w:t>
      </w:r>
      <w:r w:rsidR="007D61A5">
        <w:t xml:space="preserve"> </w:t>
      </w:r>
      <w:r w:rsidR="006605B0">
        <w:t xml:space="preserve">from the HST conjunction data </w:t>
      </w:r>
      <w:r w:rsidR="007C518C">
        <w:t>using</w:t>
      </w:r>
      <w:r w:rsidR="00D1685E">
        <w:t xml:space="preserve"> model mission parameters </w:t>
      </w:r>
      <m:oMath>
        <m:r>
          <w:rPr>
            <w:rFonts w:ascii="Cambria Math" w:hAnsi="Cambria Math"/>
          </w:rPr>
          <m:t xml:space="preserve"> H=10 </m:t>
        </m:r>
        <m:r>
          <m:rPr>
            <m:sty m:val="p"/>
          </m:rPr>
          <w:rPr>
            <w:rFonts w:ascii="Cambria Math" w:hAnsi="Cambria Math"/>
          </w:rPr>
          <m:t>m</m:t>
        </m:r>
      </m:oMath>
      <w:r w:rsidR="00C92966">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rsidR="00C92966">
        <w:t xml:space="preserve"> 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rsidR="00C92966">
        <w:t>).</w:t>
      </w:r>
    </w:p>
    <w:p w14:paraId="75073BF8" w14:textId="719EA7CC" w:rsidR="008A07E9" w:rsidRPr="00D72EAB" w:rsidRDefault="00C36A66" w:rsidP="00C36A66">
      <w:pPr>
        <w:pStyle w:val="Sub-Section"/>
      </w:pPr>
      <w:r>
        <w:t xml:space="preserve">Semi-Empirical Cumulative </w:t>
      </w:r>
      <w:r w:rsidR="00BD4711">
        <w:t xml:space="preserve">Collision </w:t>
      </w:r>
      <w:r>
        <w:t>Probabilit</w:t>
      </w:r>
      <w:r w:rsidR="00311EDC">
        <w:t>y Estimation</w:t>
      </w:r>
    </w:p>
    <w:p w14:paraId="48CA6BEF" w14:textId="46497DE8" w:rsidR="006B679A" w:rsidRDefault="00D1685E" w:rsidP="006B679A">
      <w:r>
        <w:t>Assuming no remediation</w:t>
      </w:r>
      <w:r w:rsidR="00B60CBC">
        <w:t xml:space="preserve"> maneuvers</w:t>
      </w:r>
      <w:r>
        <w:t xml:space="preserve"> occur</w:t>
      </w:r>
      <w:r>
        <w:rPr>
          <w:szCs w:val="22"/>
        </w:rPr>
        <w:t>, t</w:t>
      </w:r>
      <w:r w:rsidR="001524AE">
        <w:t xml:space="preserve">he probability of surviving </w:t>
      </w:r>
      <w:r w:rsidR="00311EDC">
        <w:t xml:space="preserve">the </w:t>
      </w:r>
      <w:proofErr w:type="spellStart"/>
      <w:r w:rsidR="00311EDC" w:rsidRPr="00311EDC">
        <w:rPr>
          <w:i/>
        </w:rPr>
        <w:t>i</w:t>
      </w:r>
      <w:r w:rsidR="00311EDC" w:rsidRPr="00311EDC">
        <w:rPr>
          <w:vertAlign w:val="superscript"/>
        </w:rPr>
        <w:t>th</w:t>
      </w:r>
      <w:proofErr w:type="spellEnd"/>
      <w:r w:rsidR="00B819C1">
        <w:t xml:space="preserve"> </w:t>
      </w:r>
      <w:r w:rsidR="00D478EA">
        <w:t>event</w:t>
      </w:r>
      <w:r w:rsidR="001524AE">
        <w:t xml:space="preserve"> </w:t>
      </w:r>
      <w:r w:rsidR="001F4E6B">
        <w:t xml:space="preserve">in </w:t>
      </w:r>
      <w:r w:rsidR="002C257B">
        <w:t>a conjunction</w:t>
      </w:r>
      <w:r w:rsidR="001F4E6B">
        <w:t xml:space="preserve"> sequence</w:t>
      </w:r>
      <w:r w:rsidR="00D478EA">
        <w:t xml:space="preserve"> </w:t>
      </w:r>
      <w:r w:rsidR="001524AE">
        <w:t xml:space="preserve">without </w:t>
      </w:r>
      <w:r w:rsidR="00D36C9E">
        <w:t xml:space="preserve">a </w:t>
      </w:r>
      <w:r w:rsidR="001524AE">
        <w:t xml:space="preserve">collision </w:t>
      </w:r>
      <w:r w:rsidR="001F4E6B">
        <w:t>can be estimated using</w:t>
      </w:r>
      <w:r w:rsidR="001524AE">
        <w:t xml:space="preserve"> the complement of the collision probability </w:t>
      </w:r>
    </w:p>
    <w:p w14:paraId="63CC9895" w14:textId="29420B06" w:rsidR="00077660" w:rsidRDefault="0083235C" w:rsidP="00077660">
      <w:pPr>
        <w:jc w:val="right"/>
      </w:pPr>
      <m:oMath>
        <m:sSub>
          <m:sSubPr>
            <m:ctrlPr>
              <w:rPr>
                <w:rFonts w:ascii="Cambria Math" w:hAnsi="Cambria Math"/>
                <w:i/>
              </w:rPr>
            </m:ctrlPr>
          </m:sSubPr>
          <m:e>
            <m:r>
              <w:rPr>
                <w:rFonts w:ascii="Cambria Math" w:hAnsi="Cambria Math"/>
              </w:rPr>
              <m:t>S</m:t>
            </m:r>
          </m:e>
          <m:sub>
            <m:r>
              <w:rPr>
                <w:rFonts w:ascii="Cambria Math" w:hAnsi="Cambria Math"/>
              </w:rPr>
              <m:t>c,i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c,i</m:t>
            </m:r>
          </m:sub>
        </m:sSub>
      </m:oMath>
      <w:r w:rsidR="00077660">
        <w:t xml:space="preserve">                             </w:t>
      </w:r>
      <w:r w:rsidR="007C1EEA">
        <w:t xml:space="preserve">    </w:t>
      </w:r>
      <w:r w:rsidR="00077660">
        <w:t xml:space="preserve"> </w:t>
      </w:r>
      <w:r w:rsidR="00CB47B1">
        <w:t xml:space="preserve">   </w:t>
      </w:r>
      <w:r w:rsidR="00077660">
        <w:t xml:space="preserve">                       </w:t>
      </w:r>
      <w:r w:rsidR="00B8420D">
        <w:t xml:space="preserve">   </w:t>
      </w:r>
      <w:r w:rsidR="00077660">
        <w:t xml:space="preserve">  (</w:t>
      </w:r>
      <w:r w:rsidR="008663D3">
        <w:t>4</w:t>
      </w:r>
      <w:r w:rsidR="00077660">
        <w:t>)</w:t>
      </w:r>
    </w:p>
    <w:p w14:paraId="53EE5758" w14:textId="5BBBC49B" w:rsidR="001524AE" w:rsidRDefault="00B819C1" w:rsidP="006B679A">
      <w:r>
        <w:lastRenderedPageBreak/>
        <w:t xml:space="preserve">The </w:t>
      </w:r>
      <w:r w:rsidR="00BD4711">
        <w:t xml:space="preserve">cumulative </w:t>
      </w:r>
      <w:r>
        <w:t xml:space="preserve">probability of surviving </w:t>
      </w:r>
      <w:r w:rsidR="002C5A6F">
        <w:t>the</w:t>
      </w:r>
      <w:r>
        <w:t xml:space="preserve"> entire sequence</w:t>
      </w:r>
      <w:r w:rsidR="00D478EA">
        <w:t xml:space="preserve"> of conjunctions</w:t>
      </w:r>
      <w:r>
        <w:t xml:space="preserve"> is given by the product of the individual survival probabilities</w:t>
      </w:r>
      <w:r w:rsidR="007C1EEA">
        <w:t>, assuming they are statistically independent events</w:t>
      </w:r>
    </w:p>
    <w:p w14:paraId="720C58D7" w14:textId="5E41679A" w:rsidR="005A598C" w:rsidRDefault="0083235C" w:rsidP="00DA1808">
      <w:pPr>
        <w:jc w:val="right"/>
        <w:rPr>
          <w:bCs/>
          <w:iCs/>
        </w:rPr>
      </w:pPr>
      <m:oMath>
        <m:sSub>
          <m:sSubPr>
            <m:ctrlPr>
              <w:rPr>
                <w:rFonts w:ascii="Cambria Math" w:hAnsi="Cambria Math"/>
                <w:i/>
              </w:rPr>
            </m:ctrlPr>
          </m:sSubPr>
          <m:e>
            <m:r>
              <w:rPr>
                <w:rFonts w:ascii="Cambria Math" w:hAnsi="Cambria Math"/>
              </w:rPr>
              <m:t>S</m:t>
            </m:r>
          </m:e>
          <m:sub>
            <m:r>
              <w:rPr>
                <w:rFonts w:ascii="Cambria Math" w:hAnsi="Cambria Math"/>
              </w:rPr>
              <m:t>cum</m:t>
            </m:r>
          </m:sub>
        </m:sSub>
        <m:d>
          <m:dPr>
            <m:ctrlPr>
              <w:rPr>
                <w:rFonts w:ascii="Cambria Math" w:hAnsi="Cambria Math"/>
                <w:i/>
              </w:rPr>
            </m:ctrlPr>
          </m:dPr>
          <m:e>
            <m:r>
              <m:rPr>
                <m:scr m:val="script"/>
                <m:sty m:val="bi"/>
              </m:rPr>
              <w:rPr>
                <w:rFonts w:ascii="Cambria Math" w:hAnsi="Cambria Math"/>
              </w:rPr>
              <m:t>P</m:t>
            </m:r>
          </m:e>
        </m:d>
        <m:r>
          <w:rPr>
            <w:rFonts w:ascii="Cambria Math" w:hAnsi="Cambria Math"/>
          </w:rPr>
          <m:t>=</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S</m:t>
                    </m:r>
                  </m:e>
                  <m:sub>
                    <m:r>
                      <w:rPr>
                        <w:rFonts w:ascii="Cambria Math" w:hAnsi="Cambria Math"/>
                      </w:rPr>
                      <m:t>c,i</m:t>
                    </m:r>
                  </m:sub>
                </m:sSub>
              </m:e>
            </m:d>
          </m:e>
        </m:nary>
        <m:r>
          <w:rPr>
            <w:rFonts w:ascii="Cambria Math" w:hAnsi="Cambria Math"/>
          </w:rPr>
          <m:t>=</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iCs/>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c,i</m:t>
                    </m:r>
                  </m:sub>
                </m:sSub>
              </m:e>
            </m:d>
          </m:e>
        </m:nary>
      </m:oMath>
      <w:r w:rsidR="00DA1808">
        <w:rPr>
          <w:bCs/>
          <w:iCs/>
        </w:rPr>
        <w:t xml:space="preserve">                 </w:t>
      </w:r>
      <w:r w:rsidR="00D11E0F">
        <w:rPr>
          <w:bCs/>
          <w:iCs/>
        </w:rPr>
        <w:t xml:space="preserve">   </w:t>
      </w:r>
      <w:r w:rsidR="0062454A">
        <w:rPr>
          <w:bCs/>
          <w:iCs/>
        </w:rPr>
        <w:t xml:space="preserve">  </w:t>
      </w:r>
      <w:r w:rsidR="00D11E0F">
        <w:rPr>
          <w:bCs/>
          <w:iCs/>
        </w:rPr>
        <w:t xml:space="preserve"> </w:t>
      </w:r>
      <w:r w:rsidR="00DA1808">
        <w:rPr>
          <w:bCs/>
          <w:iCs/>
        </w:rPr>
        <w:t xml:space="preserve">                   (</w:t>
      </w:r>
      <w:r w:rsidR="008663D3">
        <w:rPr>
          <w:bCs/>
          <w:iCs/>
        </w:rPr>
        <w:t>5</w:t>
      </w:r>
      <w:r w:rsidR="00DA1808">
        <w:rPr>
          <w:bCs/>
          <w:iCs/>
        </w:rPr>
        <w:t>)</w:t>
      </w:r>
    </w:p>
    <w:p w14:paraId="2DA3A762" w14:textId="501A3033" w:rsidR="007C1EEA" w:rsidRDefault="00210A57" w:rsidP="007C1EEA">
      <w:r>
        <w:t>expressed h</w:t>
      </w:r>
      <w:r w:rsidR="00097FB8">
        <w:t xml:space="preserve">ere </w:t>
      </w:r>
      <w:r>
        <w:t xml:space="preserve">as a function of </w:t>
      </w:r>
      <w:r w:rsidR="00655FC6">
        <w:t>a generalized</w:t>
      </w:r>
      <w:r w:rsidR="00A65331">
        <w:t xml:space="preserve"> </w:t>
      </w:r>
      <w:r w:rsidR="000348F9">
        <w:t>set of last-update collision probabilities</w:t>
      </w:r>
      <w:r w:rsidR="008F5D55">
        <w:t xml:space="preserve">, </w:t>
      </w:r>
      <m:oMath>
        <m:r>
          <m:rPr>
            <m:scr m:val="script"/>
            <m:sty m:val="bi"/>
          </m:rPr>
          <w:rPr>
            <w:rFonts w:ascii="Cambria Math" w:hAnsi="Cambria Math"/>
          </w:rPr>
          <m:t>P</m:t>
        </m:r>
      </m:oMath>
      <w:r w:rsidR="008D5E68">
        <w:t>.</w:t>
      </w:r>
      <w:r w:rsidR="00097FB8">
        <w:t xml:space="preserve">  </w:t>
      </w:r>
      <w:r w:rsidR="007C1EEA">
        <w:t xml:space="preserve">The cumulative </w:t>
      </w:r>
      <w:r w:rsidR="006857E2">
        <w:t xml:space="preserve">collision </w:t>
      </w:r>
      <w:r w:rsidR="007C1EEA">
        <w:t>probability is the complement of the cumulative survival probability</w:t>
      </w:r>
    </w:p>
    <w:p w14:paraId="15DA1E8A" w14:textId="207FE841" w:rsidR="00B53AA9" w:rsidRPr="001F4E6B" w:rsidRDefault="0083235C" w:rsidP="001F4E6B">
      <w:pPr>
        <w:jc w:val="right"/>
        <w:rPr>
          <w:bCs/>
          <w:iCs/>
        </w:rPr>
      </w:pPr>
      <m:oMath>
        <m:sSub>
          <m:sSubPr>
            <m:ctrlPr>
              <w:rPr>
                <w:rFonts w:ascii="Cambria Math" w:hAnsi="Cambria Math"/>
                <w:i/>
              </w:rPr>
            </m:ctrlPr>
          </m:sSubPr>
          <m:e>
            <m:r>
              <w:rPr>
                <w:rFonts w:ascii="Cambria Math" w:hAnsi="Cambria Math"/>
              </w:rPr>
              <m:t>P</m:t>
            </m:r>
          </m:e>
          <m:sub>
            <m:r>
              <w:rPr>
                <w:rFonts w:ascii="Cambria Math" w:hAnsi="Cambria Math"/>
              </w:rPr>
              <m:t>cum</m:t>
            </m:r>
          </m:sub>
        </m:sSub>
        <m:r>
          <w:rPr>
            <w:rFonts w:ascii="Cambria Math" w:hAnsi="Cambria Math"/>
          </w:rPr>
          <m:t>(</m:t>
        </m:r>
        <m:r>
          <m:rPr>
            <m:scr m:val="script"/>
            <m:sty m:val="bi"/>
          </m:rPr>
          <w:rPr>
            <w:rFonts w:ascii="Cambria Math" w:hAnsi="Cambria Math"/>
          </w:rPr>
          <m:t>P</m:t>
        </m:r>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cum</m:t>
            </m:r>
          </m:sub>
        </m:sSub>
        <m:r>
          <w:rPr>
            <w:rFonts w:ascii="Cambria Math" w:hAnsi="Cambria Math"/>
          </w:rPr>
          <m:t>(</m:t>
        </m:r>
        <m:r>
          <m:rPr>
            <m:scr m:val="script"/>
            <m:sty m:val="bi"/>
          </m:rPr>
          <w:rPr>
            <w:rFonts w:ascii="Cambria Math" w:hAnsi="Cambria Math"/>
          </w:rPr>
          <m:t>P</m:t>
        </m:r>
        <m:r>
          <w:rPr>
            <w:rFonts w:ascii="Cambria Math" w:hAnsi="Cambria Math"/>
          </w:rPr>
          <m:t>)=1-</m:t>
        </m:r>
        <m:nary>
          <m:naryPr>
            <m:chr m:val="∏"/>
            <m:limLoc m:val="undOvr"/>
            <m:ctrlPr>
              <w:rPr>
                <w:rFonts w:ascii="Cambria Math" w:hAnsi="Cambria Math"/>
                <w:bCs/>
                <w:i/>
                <w:iCs/>
              </w:rPr>
            </m:ctrlPr>
          </m:naryPr>
          <m:sub>
            <m:r>
              <w:rPr>
                <w:rFonts w:ascii="Cambria Math" w:hAnsi="Cambria Math"/>
              </w:rPr>
              <m:t>i=1</m:t>
            </m:r>
          </m:sub>
          <m:sup>
            <m:r>
              <w:rPr>
                <w:rFonts w:ascii="Cambria Math" w:hAnsi="Cambria Math"/>
              </w:rPr>
              <m:t>N</m:t>
            </m:r>
          </m:sup>
          <m:e>
            <m:d>
              <m:dPr>
                <m:begChr m:val="["/>
                <m:endChr m:val="]"/>
                <m:ctrlPr>
                  <w:rPr>
                    <w:rFonts w:ascii="Cambria Math" w:hAnsi="Cambria Math"/>
                    <w:bCs/>
                    <w:i/>
                    <w:iCs/>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c,i</m:t>
                    </m:r>
                  </m:sub>
                </m:sSub>
              </m:e>
            </m:d>
          </m:e>
        </m:nary>
      </m:oMath>
      <w:r w:rsidR="007C1EEA">
        <w:rPr>
          <w:bCs/>
          <w:iCs/>
        </w:rPr>
        <w:t xml:space="preserve">          </w:t>
      </w:r>
      <w:r w:rsidR="00925700">
        <w:rPr>
          <w:bCs/>
          <w:iCs/>
        </w:rPr>
        <w:t xml:space="preserve"> </w:t>
      </w:r>
      <w:r w:rsidR="0062454A">
        <w:rPr>
          <w:bCs/>
          <w:iCs/>
        </w:rPr>
        <w:t xml:space="preserve">      </w:t>
      </w:r>
      <w:r w:rsidR="00D36C9E">
        <w:rPr>
          <w:bCs/>
          <w:iCs/>
        </w:rPr>
        <w:t xml:space="preserve">   </w:t>
      </w:r>
      <w:r w:rsidR="0062454A">
        <w:rPr>
          <w:bCs/>
          <w:iCs/>
        </w:rPr>
        <w:t xml:space="preserve">      </w:t>
      </w:r>
      <w:r w:rsidR="00925700">
        <w:rPr>
          <w:bCs/>
          <w:iCs/>
        </w:rPr>
        <w:t xml:space="preserve">  </w:t>
      </w:r>
      <w:r w:rsidR="007C1EEA">
        <w:rPr>
          <w:bCs/>
          <w:iCs/>
        </w:rPr>
        <w:t xml:space="preserve">       (</w:t>
      </w:r>
      <w:r w:rsidR="008663D3">
        <w:rPr>
          <w:bCs/>
          <w:iCs/>
        </w:rPr>
        <w:t>6</w:t>
      </w:r>
      <w:r w:rsidR="007C1EEA">
        <w:rPr>
          <w:bCs/>
          <w:iCs/>
        </w:rPr>
        <w:t>)</w:t>
      </w:r>
    </w:p>
    <w:p w14:paraId="4F4ED1FA" w14:textId="6277B734" w:rsidR="00CB060C" w:rsidRPr="00D1685E" w:rsidRDefault="00F559CD" w:rsidP="007C1EEA">
      <w:r>
        <w:t>T</w:t>
      </w:r>
      <w:r w:rsidR="00946BA0">
        <w:t>his equation</w:t>
      </w:r>
      <w:r w:rsidR="00B53AA9">
        <w:t xml:space="preserve"> </w:t>
      </w:r>
      <w:r w:rsidR="00E3683E">
        <w:t>p</w:t>
      </w:r>
      <w:r w:rsidR="00F652DD">
        <w:t>rovides</w:t>
      </w:r>
      <w:r w:rsidR="00DB1190">
        <w:t xml:space="preserve"> a semi-empirical estimate of</w:t>
      </w:r>
      <w:r w:rsidR="003B2AE9">
        <w:t xml:space="preserve"> the </w:t>
      </w:r>
      <w:r w:rsidR="00925700">
        <w:t xml:space="preserve">cumulative </w:t>
      </w:r>
      <w:r w:rsidR="001F4E6B">
        <w:t xml:space="preserve">collision </w:t>
      </w:r>
      <w:r w:rsidR="001F4E6B" w:rsidRPr="00D1685E">
        <w:t>probability</w:t>
      </w:r>
      <w:r w:rsidR="003B2AE9" w:rsidRPr="00D1685E">
        <w:t xml:space="preserve"> </w:t>
      </w:r>
      <w:r w:rsidR="00925700" w:rsidRPr="00D1685E">
        <w:t>as</w:t>
      </w:r>
      <w:r w:rsidR="003B2AE9" w:rsidRPr="00D1685E">
        <w:t xml:space="preserve">suming no translational risk mitigation maneuvers had </w:t>
      </w:r>
      <w:r w:rsidR="00CB060C" w:rsidRPr="00D1685E">
        <w:t xml:space="preserve">actually </w:t>
      </w:r>
      <w:r w:rsidR="003B2AE9" w:rsidRPr="00D1685E">
        <w:t>been performed</w:t>
      </w:r>
      <w:r w:rsidR="00CC646D" w:rsidRPr="00D1685E">
        <w:t xml:space="preserve">.  </w:t>
      </w:r>
      <w:r w:rsidR="0062454A">
        <w:t>(</w:t>
      </w:r>
      <w:r w:rsidR="00C87C08" w:rsidRPr="00D1685E">
        <w:t>T</w:t>
      </w:r>
      <w:r w:rsidR="003B2AE9" w:rsidRPr="00D1685E">
        <w:t>his is a safe assumption</w:t>
      </w:r>
      <w:r w:rsidR="00C87C08" w:rsidRPr="00D1685E">
        <w:t xml:space="preserve"> for HST</w:t>
      </w:r>
      <w:r w:rsidR="00CC646D" w:rsidRPr="00D1685E">
        <w:t>,</w:t>
      </w:r>
      <w:r w:rsidR="003B2AE9" w:rsidRPr="00D1685E">
        <w:t xml:space="preserve"> because it </w:t>
      </w:r>
      <w:r w:rsidR="00C43099" w:rsidRPr="00D1685E">
        <w:t>is limited to</w:t>
      </w:r>
      <w:r w:rsidR="003B2AE9" w:rsidRPr="00D1685E">
        <w:t xml:space="preserve"> </w:t>
      </w:r>
      <w:r w:rsidR="001D0604" w:rsidRPr="00D1685E">
        <w:t xml:space="preserve">purely </w:t>
      </w:r>
      <w:r w:rsidR="003B2AE9" w:rsidRPr="00D1685E">
        <w:t>rotational RMMs, which do not</w:t>
      </w:r>
      <w:r w:rsidR="003B2AE9">
        <w:t xml:space="preserve"> affect the archived TCA states and covariance</w:t>
      </w:r>
      <w:r w:rsidR="00C43099">
        <w:t xml:space="preserve"> matrice</w:t>
      </w:r>
      <w:r w:rsidR="003B2AE9">
        <w:t>s.</w:t>
      </w:r>
      <w:r w:rsidR="0062454A">
        <w:t>)</w:t>
      </w:r>
      <w:r w:rsidR="00DB1190">
        <w:t xml:space="preserve">  Applying </w:t>
      </w:r>
      <w:r w:rsidR="00946BA0">
        <w:t>eq. (</w:t>
      </w:r>
      <w:r w:rsidR="008663D3">
        <w:t>6</w:t>
      </w:r>
      <w:r w:rsidR="00946BA0">
        <w:t xml:space="preserve">) </w:t>
      </w:r>
      <w:r w:rsidR="00DB1190">
        <w:t>to the</w:t>
      </w:r>
      <w:r w:rsidR="00B60CBC">
        <w:t xml:space="preserve">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oMath>
      <w:r w:rsidR="00DB1190">
        <w:t xml:space="preserve"> </w:t>
      </w:r>
      <w:r w:rsidR="00B60CBC">
        <w:t xml:space="preserve">set </w:t>
      </w:r>
      <w:r w:rsidR="00D1685E">
        <w:t xml:space="preserve">illustrated </w:t>
      </w:r>
      <w:r w:rsidR="00DB1190">
        <w:t>in Figure 1 yields</w:t>
      </w:r>
      <w:r w:rsidR="00B60CBC">
        <w:t xml:space="preserve"> a cumulative collision probability of </w:t>
      </w:r>
      <w:r w:rsidR="00D1685E">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obs</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cum</m:t>
            </m:r>
          </m:sub>
        </m:sSub>
        <m:d>
          <m:dPr>
            <m:ctrlPr>
              <w:rPr>
                <w:rFonts w:ascii="Cambria Math" w:hAnsi="Cambria Math"/>
                <w:i/>
              </w:rPr>
            </m:ctrlPr>
          </m:dPr>
          <m:e>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e>
        </m:d>
        <m:r>
          <w:rPr>
            <w:rFonts w:ascii="Cambria Math" w:hAnsi="Cambria Math"/>
          </w:rPr>
          <m:t>=6.8×</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F652DD">
        <w:t xml:space="preserve"> </w:t>
      </w:r>
      <w:r w:rsidR="00D1685E">
        <w:t>for model</w:t>
      </w:r>
      <w:r w:rsidR="00B60CBC">
        <w:t xml:space="preserve"> mission</w:t>
      </w:r>
      <w:r w:rsidR="00D1685E">
        <w:t xml:space="preserve"> parameters </w:t>
      </w:r>
      <m:oMath>
        <m:r>
          <w:rPr>
            <w:rFonts w:ascii="Cambria Math" w:hAnsi="Cambria Math"/>
          </w:rPr>
          <m:t xml:space="preserve"> H=10 </m:t>
        </m:r>
        <m:r>
          <m:rPr>
            <m:sty m:val="p"/>
          </m:rPr>
          <w:rPr>
            <w:rFonts w:ascii="Cambria Math" w:hAnsi="Cambria Math"/>
          </w:rPr>
          <m:t>m</m:t>
        </m:r>
      </m:oMath>
      <w:r w:rsidR="00D1685E">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rsidR="00D1685E">
        <w:t xml:space="preserve"> 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rsidR="00D1685E">
        <w:t xml:space="preserve">.  </w:t>
      </w:r>
      <w:r w:rsidR="00CB060C">
        <w:t>This implies that</w:t>
      </w:r>
      <w:r w:rsidR="00F652DD">
        <w:t xml:space="preserve"> a </w:t>
      </w:r>
      <w:r w:rsidR="00223904">
        <w:t xml:space="preserve">hypothetical </w:t>
      </w:r>
      <w:r w:rsidR="00F652DD">
        <w:t xml:space="preserve">satellite </w:t>
      </w:r>
      <w:r w:rsidR="00783160">
        <w:t xml:space="preserve">in or near HST’s orbit </w:t>
      </w:r>
      <w:r w:rsidR="00F652DD">
        <w:t xml:space="preserve">with these </w:t>
      </w:r>
      <w:r w:rsidR="00223904">
        <w:t xml:space="preserve">model </w:t>
      </w:r>
      <w:r w:rsidR="00F652DD">
        <w:t xml:space="preserve">mission parameters would have accumulated ~0.7% probability of colliding with </w:t>
      </w:r>
      <w:r w:rsidR="003534DE">
        <w:t>an</w:t>
      </w:r>
      <w:r w:rsidR="002D0961">
        <w:t xml:space="preserve">other </w:t>
      </w:r>
      <w:r w:rsidR="00F652DD">
        <w:t xml:space="preserve">cataloged object </w:t>
      </w:r>
      <w:r w:rsidR="001D720B">
        <w:t xml:space="preserve">during this </w:t>
      </w:r>
      <w:r w:rsidR="00C87C08">
        <w:t>ten-year</w:t>
      </w:r>
      <w:r w:rsidR="001D720B">
        <w:t xml:space="preserve"> period</w:t>
      </w:r>
      <w:r w:rsidR="00C87C08">
        <w:t>,</w:t>
      </w:r>
      <w:r w:rsidR="001D720B">
        <w:t xml:space="preserve"> had it performed no RMMs.</w:t>
      </w:r>
      <w:r w:rsidR="00D612FD">
        <w:t xml:space="preserve">  </w:t>
      </w:r>
      <w:r w:rsidR="006769F7">
        <w:t>I</w:t>
      </w:r>
      <w:r w:rsidR="00D612FD">
        <w:t xml:space="preserve">f such a mission had </w:t>
      </w:r>
      <w:r w:rsidR="00925700">
        <w:t>a</w:t>
      </w:r>
      <w:r w:rsidR="00BE1BFC">
        <w:t xml:space="preserve"> </w:t>
      </w:r>
      <w:r w:rsidR="003322D2">
        <w:t xml:space="preserve">requirement </w:t>
      </w:r>
      <w:r w:rsidR="006769F7">
        <w:t xml:space="preserve">of </w:t>
      </w:r>
      <w:r w:rsidR="00D612FD">
        <w:t>keeping</w:t>
      </w:r>
      <w:r w:rsidR="00593D3C">
        <w:t xml:space="preserve"> the cumulative probability at or below a</w:t>
      </w:r>
      <w:r w:rsidR="003322D2">
        <w:t xml:space="preserve"> </w:t>
      </w:r>
      <w:r w:rsidR="00593D3C">
        <w:t xml:space="preserve">level of </w:t>
      </w:r>
      <m:oMath>
        <m:sSup>
          <m:sSupPr>
            <m:ctrlPr>
              <w:rPr>
                <w:rFonts w:ascii="Cambria Math" w:hAnsi="Cambria Math"/>
                <w:i/>
                <w:szCs w:val="22"/>
              </w:rPr>
            </m:ctrlPr>
          </m:sSupPr>
          <m:e>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r>
              <w:rPr>
                <w:rFonts w:ascii="Cambria Math" w:hAnsi="Cambria Math"/>
                <w:szCs w:val="22"/>
              </w:rPr>
              <m:t>=10</m:t>
            </m:r>
          </m:e>
          <m:sup>
            <m:r>
              <w:rPr>
                <w:rFonts w:ascii="Cambria Math" w:hAnsi="Cambria Math"/>
                <w:szCs w:val="22"/>
              </w:rPr>
              <m:t>-3</m:t>
            </m:r>
          </m:sup>
        </m:sSup>
      </m:oMath>
      <w:r w:rsidR="004170BD">
        <w:rPr>
          <w:szCs w:val="22"/>
        </w:rPr>
        <w:t xml:space="preserve"> during this period,</w:t>
      </w:r>
      <w:r w:rsidR="00D612FD">
        <w:rPr>
          <w:szCs w:val="22"/>
        </w:rPr>
        <w:t xml:space="preserve"> it would </w:t>
      </w:r>
      <w:r w:rsidR="009A0D6B">
        <w:rPr>
          <w:szCs w:val="22"/>
        </w:rPr>
        <w:t xml:space="preserve">have </w:t>
      </w:r>
      <w:r w:rsidR="00BC01CA">
        <w:rPr>
          <w:szCs w:val="22"/>
        </w:rPr>
        <w:t>need</w:t>
      </w:r>
      <w:r w:rsidR="009A0D6B">
        <w:rPr>
          <w:szCs w:val="22"/>
        </w:rPr>
        <w:t>ed</w:t>
      </w:r>
      <w:r w:rsidR="00D612FD">
        <w:rPr>
          <w:szCs w:val="22"/>
        </w:rPr>
        <w:t xml:space="preserve"> </w:t>
      </w:r>
      <w:r w:rsidR="004170BD">
        <w:rPr>
          <w:szCs w:val="22"/>
        </w:rPr>
        <w:t xml:space="preserve">to perform </w:t>
      </w:r>
      <w:r w:rsidR="001C3931">
        <w:rPr>
          <w:szCs w:val="22"/>
        </w:rPr>
        <w:t>RMM</w:t>
      </w:r>
      <w:r w:rsidR="003322D2">
        <w:rPr>
          <w:szCs w:val="22"/>
        </w:rPr>
        <w:t>s to</w:t>
      </w:r>
      <w:r w:rsidR="00BC01CA">
        <w:rPr>
          <w:szCs w:val="22"/>
        </w:rPr>
        <w:t xml:space="preserve"> achieve this goal</w:t>
      </w:r>
      <w:r w:rsidR="004170BD">
        <w:rPr>
          <w:szCs w:val="22"/>
        </w:rPr>
        <w:t>.</w:t>
      </w:r>
    </w:p>
    <w:p w14:paraId="57E7B17D" w14:textId="75857894" w:rsidR="00E00363" w:rsidRDefault="00E00363" w:rsidP="00E00363">
      <w:pPr>
        <w:pStyle w:val="Section"/>
      </w:pPr>
      <w:r>
        <w:t>Semi-Empirical Cumulative Collision RISK Model</w:t>
      </w:r>
    </w:p>
    <w:p w14:paraId="6918D5EC" w14:textId="2B8E7786" w:rsidR="0097278E" w:rsidRDefault="005D45F2" w:rsidP="0011788F">
      <w:r>
        <w:t>T</w:t>
      </w:r>
      <w:r w:rsidR="00E45730">
        <w:t>h</w:t>
      </w:r>
      <w:r>
        <w:t xml:space="preserve">is section </w:t>
      </w:r>
      <w:r w:rsidR="00D81A08">
        <w:t xml:space="preserve">illustrates </w:t>
      </w:r>
      <w:r>
        <w:t>how</w:t>
      </w:r>
      <w:r w:rsidR="00E45730">
        <w:t xml:space="preserve"> </w:t>
      </w:r>
      <w:r>
        <w:t xml:space="preserve">the </w:t>
      </w:r>
      <w:r w:rsidR="002D0961">
        <w:t xml:space="preserve">semi-empirical </w:t>
      </w:r>
      <w:r w:rsidR="00E45730">
        <w:t xml:space="preserve">approach can be </w:t>
      </w:r>
      <w:r>
        <w:t>extend</w:t>
      </w:r>
      <w:r w:rsidR="00E45730">
        <w:t xml:space="preserve">ed to </w:t>
      </w:r>
      <w:r>
        <w:t>provide</w:t>
      </w:r>
      <w:r w:rsidR="006857E2">
        <w:t xml:space="preserve"> </w:t>
      </w:r>
      <w:r>
        <w:t xml:space="preserve">approximations </w:t>
      </w:r>
      <w:r w:rsidR="00E45730">
        <w:t xml:space="preserve">for </w:t>
      </w:r>
      <w:r>
        <w:t xml:space="preserve">model </w:t>
      </w:r>
      <w:r w:rsidR="00476408">
        <w:t>satellite</w:t>
      </w:r>
      <w:r>
        <w:t xml:space="preserve">s with </w:t>
      </w:r>
      <w:r w:rsidR="00E17AAC">
        <w:t>different</w:t>
      </w:r>
      <w:r w:rsidR="00E45730">
        <w:t xml:space="preserve"> on-orbit durations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obs</m:t>
            </m:r>
          </m:sub>
        </m:sSub>
      </m:oMath>
      <w:r w:rsidR="00476408">
        <w:t xml:space="preserve">, and </w:t>
      </w:r>
      <w:r>
        <w:t xml:space="preserve">to allow </w:t>
      </w:r>
      <w:r w:rsidR="00E45730">
        <w:t>combining multiple primaries occupying similar orbits</w:t>
      </w:r>
      <w:r w:rsidR="005126AB">
        <w:t xml:space="preserve"> to enlarge the </w:t>
      </w:r>
      <w:r w:rsidR="00B24EDB">
        <w:t xml:space="preserve">input </w:t>
      </w:r>
      <w:r w:rsidR="005126AB">
        <w:t>pool of conjunction data</w:t>
      </w:r>
      <w:r w:rsidR="00E45730">
        <w:t>.</w:t>
      </w:r>
      <w:r w:rsidR="00D25622">
        <w:t xml:space="preserve">  These </w:t>
      </w:r>
      <w:r w:rsidR="003913F3">
        <w:t xml:space="preserve">generalizations </w:t>
      </w:r>
      <w:r w:rsidR="005126AB">
        <w:t xml:space="preserve">first employ </w:t>
      </w:r>
      <w:r w:rsidR="003913F3">
        <w:t xml:space="preserve">a scaling method to approximate the cumulative number of conjunctions experienced by </w:t>
      </w:r>
      <w:r w:rsidR="009F5690">
        <w:t>a</w:t>
      </w:r>
      <w:r w:rsidR="003913F3">
        <w:t xml:space="preserve"> model satellite, </w:t>
      </w:r>
      <m:oMath>
        <m:sSub>
          <m:sSubPr>
            <m:ctrlPr>
              <w:rPr>
                <w:rFonts w:ascii="Cambria Math" w:hAnsi="Cambria Math"/>
                <w:i/>
              </w:rPr>
            </m:ctrlPr>
          </m:sSubPr>
          <m:e>
            <m:r>
              <w:rPr>
                <w:rFonts w:ascii="Cambria Math" w:hAnsi="Cambria Math"/>
              </w:rPr>
              <m:t>N</m:t>
            </m:r>
          </m:e>
          <m:sub>
            <m:r>
              <w:rPr>
                <w:rFonts w:ascii="Cambria Math" w:hAnsi="Cambria Math"/>
              </w:rPr>
              <m:t>mod</m:t>
            </m:r>
          </m:sub>
        </m:sSub>
      </m:oMath>
      <w:r w:rsidR="00C36A66">
        <w:t xml:space="preserve">, </w:t>
      </w:r>
      <w:r w:rsidR="003913F3">
        <w:t xml:space="preserve">followed by a resampling approach to generate multiple realizations of the </w:t>
      </w:r>
      <w:r w:rsidR="00E66EC4">
        <w:t xml:space="preserve">model </w:t>
      </w:r>
      <w:r w:rsidR="00E47F1D">
        <w:t>state/covariance</w:t>
      </w:r>
      <w:r w:rsidR="00F42591">
        <w:t xml:space="preserve"> sequence</w:t>
      </w:r>
      <w:r w:rsidR="0070049D">
        <w:t xml:space="preserve">,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mod</m:t>
            </m:r>
          </m:sub>
        </m:sSub>
      </m:oMath>
      <w:r w:rsidR="00E47F1D">
        <w:t xml:space="preserve">, and </w:t>
      </w:r>
      <w:r w:rsidR="000348F9">
        <w:t xml:space="preserve">the </w:t>
      </w:r>
      <w:r w:rsidR="00E47F1D">
        <w:t xml:space="preserve">associated collision probability sequence,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mod</m:t>
            </m:r>
          </m:sub>
        </m:sSub>
      </m:oMath>
      <w:r w:rsidR="00E47F1D">
        <w:t>.</w:t>
      </w:r>
    </w:p>
    <w:p w14:paraId="7CADD20E" w14:textId="03F8F6EC" w:rsidR="00E00363" w:rsidRPr="00E00363" w:rsidRDefault="00E00363" w:rsidP="00E00363">
      <w:pPr>
        <w:pStyle w:val="Sub-Section"/>
      </w:pPr>
      <w:r>
        <w:t>Scaling the Cumulative Number of Conjunctions</w:t>
      </w:r>
    </w:p>
    <w:p w14:paraId="4E3DC933" w14:textId="145E8927" w:rsidR="0011788F" w:rsidRDefault="00CD486D" w:rsidP="0011788F">
      <w:r>
        <w:t>T</w:t>
      </w:r>
      <w:r w:rsidR="00C7773E">
        <w:t xml:space="preserve">he </w:t>
      </w:r>
      <w:r w:rsidR="0086682D">
        <w:t xml:space="preserve">cumulative </w:t>
      </w:r>
      <w:r w:rsidR="00C7773E">
        <w:t xml:space="preserve">number of </w:t>
      </w:r>
      <w:r w:rsidR="007B5D53">
        <w:t>conjunctions</w:t>
      </w:r>
      <w:r w:rsidR="00C7773E">
        <w:t xml:space="preserve"> </w:t>
      </w:r>
      <w:r w:rsidR="003913F3">
        <w:t xml:space="preserve">expected </w:t>
      </w:r>
      <w:r w:rsidR="00C7773E">
        <w:t xml:space="preserve">for </w:t>
      </w:r>
      <w:r w:rsidR="0097278E">
        <w:t xml:space="preserve">a </w:t>
      </w:r>
      <w:r w:rsidR="00C7773E">
        <w:t xml:space="preserve">model </w:t>
      </w:r>
      <w:r w:rsidR="0010457B">
        <w:t xml:space="preserve">satellite </w:t>
      </w:r>
      <w:r w:rsidR="00E17AAC">
        <w:t xml:space="preserve">occupying an orbit </w:t>
      </w:r>
      <w:r w:rsidR="00592A9F">
        <w:t>similar</w:t>
      </w:r>
      <w:r w:rsidR="006873B8">
        <w:t xml:space="preserve"> to</w:t>
      </w:r>
      <w:r w:rsidR="00E17AAC">
        <w:t xml:space="preserve"> an observed primary’s orbit </w:t>
      </w:r>
      <w:r>
        <w:t>can be approximated by</w:t>
      </w:r>
      <w:r w:rsidR="00B6476E">
        <w:t xml:space="preserve"> applying </w:t>
      </w:r>
      <w:r w:rsidR="00D92393">
        <w:t>two</w:t>
      </w:r>
      <w:r w:rsidR="00B6476E">
        <w:t xml:space="preserve"> scale factors</w:t>
      </w:r>
    </w:p>
    <w:p w14:paraId="6D76CBD2" w14:textId="07337991" w:rsidR="00C7773E" w:rsidRPr="00395914" w:rsidRDefault="0083235C" w:rsidP="00D917CA">
      <w:pPr>
        <w:jc w:val="right"/>
      </w:pPr>
      <m:oMath>
        <m:sSub>
          <m:sSubPr>
            <m:ctrlPr>
              <w:rPr>
                <w:rFonts w:ascii="Cambria Math" w:hAnsi="Cambria Math"/>
                <w:bCs/>
                <w:i/>
                <w:iCs/>
              </w:rPr>
            </m:ctrlPr>
          </m:sSubPr>
          <m:e>
            <m:r>
              <w:rPr>
                <w:rFonts w:ascii="Cambria Math" w:hAnsi="Cambria Math"/>
              </w:rPr>
              <m:t>N</m:t>
            </m:r>
          </m:e>
          <m:sub>
            <m:r>
              <w:rPr>
                <w:rFonts w:ascii="Cambria Math" w:hAnsi="Cambria Math"/>
              </w:rPr>
              <m:t>mod</m:t>
            </m:r>
          </m:sub>
        </m:sSub>
        <m:r>
          <w:rPr>
            <w:rFonts w:ascii="Cambria Math"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obs</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mod</m:t>
                    </m:r>
                  </m:sub>
                </m:sSub>
              </m:num>
              <m:den>
                <m:sSub>
                  <m:sSubPr>
                    <m:ctrlPr>
                      <w:rPr>
                        <w:rFonts w:ascii="Cambria Math" w:hAnsi="Cambria Math"/>
                        <w:i/>
                      </w:rPr>
                    </m:ctrlPr>
                  </m:sSubPr>
                  <m:e>
                    <m:r>
                      <w:rPr>
                        <w:rFonts w:ascii="Cambria Math" w:hAnsi="Cambria Math"/>
                      </w:rPr>
                      <m:t>T</m:t>
                    </m:r>
                  </m:e>
                  <m:sub>
                    <m:r>
                      <w:rPr>
                        <w:rFonts w:ascii="Cambria Math" w:hAnsi="Cambria Math"/>
                      </w:rPr>
                      <m:t>obs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pri</m:t>
                    </m:r>
                  </m:sub>
                </m:sSub>
              </m:den>
            </m:f>
          </m:e>
        </m:d>
      </m:oMath>
      <w:r w:rsidR="00C7773E">
        <w:rPr>
          <w:bCs/>
          <w:iCs/>
        </w:rPr>
        <w:t xml:space="preserve">            </w:t>
      </w:r>
      <w:r w:rsidR="009114C7">
        <w:rPr>
          <w:bCs/>
          <w:iCs/>
        </w:rPr>
        <w:t xml:space="preserve"> </w:t>
      </w:r>
      <w:r w:rsidR="00C5638A">
        <w:rPr>
          <w:bCs/>
          <w:iCs/>
        </w:rPr>
        <w:t xml:space="preserve">    </w:t>
      </w:r>
      <w:r w:rsidR="00D92393">
        <w:rPr>
          <w:bCs/>
          <w:iCs/>
        </w:rPr>
        <w:t xml:space="preserve">           </w:t>
      </w:r>
      <w:r w:rsidR="00C5638A">
        <w:rPr>
          <w:bCs/>
          <w:iCs/>
        </w:rPr>
        <w:t xml:space="preserve">    </w:t>
      </w:r>
      <w:r w:rsidR="00C7773E">
        <w:rPr>
          <w:bCs/>
          <w:iCs/>
        </w:rPr>
        <w:t xml:space="preserve">   </w:t>
      </w:r>
      <w:r w:rsidR="0010457B">
        <w:rPr>
          <w:bCs/>
          <w:iCs/>
        </w:rPr>
        <w:t xml:space="preserve">   </w:t>
      </w:r>
      <w:r w:rsidR="00C7773E">
        <w:rPr>
          <w:bCs/>
          <w:iCs/>
        </w:rPr>
        <w:t xml:space="preserve">    </w:t>
      </w:r>
      <w:r w:rsidR="00D917CA">
        <w:rPr>
          <w:bCs/>
          <w:iCs/>
        </w:rPr>
        <w:t xml:space="preserve">      </w:t>
      </w:r>
      <w:r w:rsidR="00C7773E">
        <w:rPr>
          <w:bCs/>
          <w:iCs/>
        </w:rPr>
        <w:t xml:space="preserve">   (</w:t>
      </w:r>
      <w:r w:rsidR="008663D3">
        <w:rPr>
          <w:bCs/>
          <w:iCs/>
        </w:rPr>
        <w:t>7</w:t>
      </w:r>
      <w:r w:rsidR="00C7773E">
        <w:rPr>
          <w:bCs/>
          <w:iCs/>
        </w:rPr>
        <w:t>)</w:t>
      </w:r>
    </w:p>
    <w:p w14:paraId="6F0E88F9" w14:textId="77033541" w:rsidR="007B5D53" w:rsidRDefault="00D917CA" w:rsidP="00B320FC">
      <w:r>
        <w:t>The first factor in square brackets scales the number of events by the ratio of the model mission duration to the observation duration</w:t>
      </w:r>
      <w:r w:rsidR="00A277ED">
        <w:t xml:space="preserve">.  </w:t>
      </w:r>
      <w:r w:rsidR="00E30FA8">
        <w:t xml:space="preserve">The second factor in square brackets allows </w:t>
      </w:r>
      <w:r w:rsidR="002544F9">
        <w:t>data</w:t>
      </w:r>
      <w:r w:rsidR="00E30FA8">
        <w:t xml:space="preserve"> from multiple primaries to be combined</w:t>
      </w:r>
      <w:r w:rsidR="007B5D53">
        <w:t>.</w:t>
      </w:r>
      <w:r w:rsidR="00E30FA8">
        <w:t xml:space="preserve">  For instance, the CARA archive contains conjunction data for the two </w:t>
      </w:r>
      <w:r w:rsidR="0073753D">
        <w:t xml:space="preserve">identical </w:t>
      </w:r>
      <w:r w:rsidR="00E30FA8">
        <w:t>GRACE satellites</w:t>
      </w:r>
      <w:r w:rsidR="0073753D">
        <w:t>.</w:t>
      </w:r>
      <w:r w:rsidR="000839E9" w:rsidRPr="000839E9">
        <w:rPr>
          <w:vertAlign w:val="superscript"/>
        </w:rPr>
        <w:fldChar w:fldCharType="begin"/>
      </w:r>
      <w:r w:rsidR="000839E9" w:rsidRPr="000839E9">
        <w:rPr>
          <w:vertAlign w:val="superscript"/>
        </w:rPr>
        <w:instrText xml:space="preserve"> REF _Ref6564420 \r \h </w:instrText>
      </w:r>
      <w:r w:rsidR="000839E9">
        <w:rPr>
          <w:vertAlign w:val="superscript"/>
        </w:rPr>
        <w:instrText xml:space="preserve"> \* MERGEFORMAT </w:instrText>
      </w:r>
      <w:r w:rsidR="000839E9" w:rsidRPr="000839E9">
        <w:rPr>
          <w:vertAlign w:val="superscript"/>
        </w:rPr>
      </w:r>
      <w:r w:rsidR="000839E9" w:rsidRPr="000839E9">
        <w:rPr>
          <w:vertAlign w:val="superscript"/>
        </w:rPr>
        <w:fldChar w:fldCharType="separate"/>
      </w:r>
      <w:r w:rsidR="004F2D83">
        <w:rPr>
          <w:vertAlign w:val="superscript"/>
        </w:rPr>
        <w:t>12</w:t>
      </w:r>
      <w:r w:rsidR="000839E9" w:rsidRPr="000839E9">
        <w:rPr>
          <w:vertAlign w:val="superscript"/>
        </w:rPr>
        <w:fldChar w:fldCharType="end"/>
      </w:r>
      <w:r w:rsidR="00E30FA8">
        <w:t xml:space="preserve"> </w:t>
      </w:r>
      <w:r w:rsidR="0073753D">
        <w:t xml:space="preserve"> During their active mission</w:t>
      </w:r>
      <w:r w:rsidR="002071AA">
        <w:t>,</w:t>
      </w:r>
      <w:r w:rsidR="0073753D">
        <w:t xml:space="preserve"> this pair occupied </w:t>
      </w:r>
      <w:r w:rsidR="003149B3">
        <w:t>congruent</w:t>
      </w:r>
      <w:r w:rsidR="0073753D">
        <w:t xml:space="preserve"> polar orbit</w:t>
      </w:r>
      <w:r w:rsidR="003149B3">
        <w:t>s</w:t>
      </w:r>
      <w:r w:rsidR="0073753D">
        <w:t>, with one leading the other by about 220 km.  Because of this</w:t>
      </w:r>
      <w:r w:rsidR="006873B8">
        <w:t>,</w:t>
      </w:r>
      <w:r w:rsidR="0073753D">
        <w:t xml:space="preserve"> the archived conjunction data for this pair c</w:t>
      </w:r>
      <w:r w:rsidR="000F4871">
        <w:t>ould</w:t>
      </w:r>
      <w:r w:rsidR="0073753D">
        <w:t xml:space="preserve"> be combined for </w:t>
      </w:r>
      <w:r w:rsidR="000F4871">
        <w:t>a</w:t>
      </w:r>
      <w:r w:rsidR="0073753D">
        <w:t xml:space="preserve"> semi-empirical analysis</w:t>
      </w:r>
      <w:r w:rsidR="00A15E22">
        <w:t>,</w:t>
      </w:r>
      <w:r w:rsidR="0073753D">
        <w:t xml:space="preserve"> and </w:t>
      </w:r>
      <m:oMath>
        <m:sSub>
          <m:sSubPr>
            <m:ctrlPr>
              <w:rPr>
                <w:rFonts w:ascii="Cambria Math" w:hAnsi="Cambria Math"/>
                <w:i/>
              </w:rPr>
            </m:ctrlPr>
          </m:sSubPr>
          <m:e>
            <m:r>
              <w:rPr>
                <w:rFonts w:ascii="Cambria Math" w:hAnsi="Cambria Math"/>
              </w:rPr>
              <m:t>N</m:t>
            </m:r>
          </m:e>
          <m:sub>
            <m:r>
              <w:rPr>
                <w:rFonts w:ascii="Cambria Math" w:hAnsi="Cambria Math"/>
              </w:rPr>
              <m:t>pri</m:t>
            </m:r>
          </m:sub>
        </m:sSub>
      </m:oMath>
      <w:r w:rsidR="0073753D">
        <w:t xml:space="preserve"> </w:t>
      </w:r>
      <w:r w:rsidR="00A15E22">
        <w:t xml:space="preserve">set to two in eq. </w:t>
      </w:r>
      <w:r w:rsidR="008663D3">
        <w:t>(7)</w:t>
      </w:r>
      <w:r w:rsidR="00A277ED">
        <w:t xml:space="preserve">.  </w:t>
      </w:r>
      <w:r w:rsidR="00A15E22">
        <w:t xml:space="preserve">The </w:t>
      </w:r>
      <w:r w:rsidR="0073753D">
        <w:t xml:space="preserve">CARA </w:t>
      </w:r>
      <w:r w:rsidR="00A15E22">
        <w:t>archive contains data for</w:t>
      </w:r>
      <w:r w:rsidR="0073753D">
        <w:t xml:space="preserve"> other sa</w:t>
      </w:r>
      <w:r w:rsidR="00A15E22">
        <w:t xml:space="preserve">tellite </w:t>
      </w:r>
      <w:r w:rsidR="0073753D">
        <w:t>groups and constellations that can be combined</w:t>
      </w:r>
      <w:r w:rsidR="00476408">
        <w:t xml:space="preserve"> similarly</w:t>
      </w:r>
      <w:r w:rsidR="00A15E22">
        <w:t>.</w:t>
      </w:r>
    </w:p>
    <w:p w14:paraId="587BCBCE" w14:textId="226A4B18" w:rsidR="00A15E22" w:rsidRDefault="00BC234D" w:rsidP="00B320FC">
      <w:r>
        <w:t>A</w:t>
      </w:r>
      <w:r w:rsidR="008B43B9">
        <w:t>pplying th</w:t>
      </w:r>
      <w:r>
        <w:t>ese</w:t>
      </w:r>
      <w:r w:rsidR="008B43B9">
        <w:t xml:space="preserve"> </w:t>
      </w:r>
      <w:r w:rsidR="00AC20F2">
        <w:t xml:space="preserve">two </w:t>
      </w:r>
      <w:r w:rsidR="008B43B9">
        <w:t>scale factor</w:t>
      </w:r>
      <w:r>
        <w:t>s</w:t>
      </w:r>
      <w:r w:rsidR="008B43B9">
        <w:t xml:space="preserve"> </w:t>
      </w:r>
      <w:r>
        <w:t xml:space="preserve">implicitly </w:t>
      </w:r>
      <w:r w:rsidR="008B43B9">
        <w:t>assumes that the distribution of states</w:t>
      </w:r>
      <w:r w:rsidR="00B632FB">
        <w:t>/</w:t>
      </w:r>
      <w:r w:rsidR="008B43B9">
        <w:t>covariance</w:t>
      </w:r>
      <w:r w:rsidR="003149B3">
        <w:t xml:space="preserve"> matrice</w:t>
      </w:r>
      <w:r w:rsidR="008B43B9">
        <w:t xml:space="preserve">s for conjunctions experienced by the </w:t>
      </w:r>
      <w:r w:rsidR="001D446F">
        <w:t xml:space="preserve">model satellite </w:t>
      </w:r>
      <w:r w:rsidR="008B43B9">
        <w:t xml:space="preserve">will be </w:t>
      </w:r>
      <w:r>
        <w:t>the same</w:t>
      </w:r>
      <w:r w:rsidR="00C849ED">
        <w:t xml:space="preserve"> as</w:t>
      </w:r>
      <w:r>
        <w:t xml:space="preserve"> (or sufficiently similar to) </w:t>
      </w:r>
      <w:r w:rsidR="008B43B9">
        <w:t xml:space="preserve">the distribution </w:t>
      </w:r>
      <w:r w:rsidR="001D446F">
        <w:t>observed for the actual primary</w:t>
      </w:r>
      <w:r w:rsidR="004124FF">
        <w:t xml:space="preserve">, </w:t>
      </w:r>
      <w:r w:rsidR="00396254">
        <w:t>or primaries</w:t>
      </w:r>
      <w:r w:rsidR="00F677E2">
        <w:t>,</w:t>
      </w:r>
      <w:r w:rsidR="00396254">
        <w:t xml:space="preserve"> if </w:t>
      </w:r>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&gt;1</m:t>
        </m:r>
      </m:oMath>
      <w:r>
        <w:t xml:space="preserve">.  </w:t>
      </w:r>
      <w:r w:rsidR="005539AB">
        <w:t>In other words,</w:t>
      </w:r>
      <w:r w:rsidR="005E08F8">
        <w:t xml:space="preserve"> the data in Figure 1 </w:t>
      </w:r>
      <w:r w:rsidR="005539AB">
        <w:t xml:space="preserve">can be </w:t>
      </w:r>
      <w:r w:rsidR="00B71153">
        <w:t xml:space="preserve">used </w:t>
      </w:r>
      <w:r w:rsidR="00476408">
        <w:t xml:space="preserve">for semi-empirical approximations </w:t>
      </w:r>
      <w:r w:rsidR="000F4871">
        <w:t>only for</w:t>
      </w:r>
      <w:r w:rsidR="005E08F8">
        <w:t xml:space="preserve"> model satellite</w:t>
      </w:r>
      <w:r w:rsidR="00476408">
        <w:t xml:space="preserve"> missions</w:t>
      </w:r>
      <w:r w:rsidR="00E96BDF">
        <w:t xml:space="preserve"> </w:t>
      </w:r>
      <w:r w:rsidR="005539AB">
        <w:t xml:space="preserve">deployed </w:t>
      </w:r>
      <w:r w:rsidR="005E08F8">
        <w:t>in</w:t>
      </w:r>
      <w:r w:rsidR="005539AB">
        <w:t>to</w:t>
      </w:r>
      <w:r w:rsidR="005E08F8">
        <w:t xml:space="preserve"> </w:t>
      </w:r>
      <w:r w:rsidR="005539AB">
        <w:t>HST-like</w:t>
      </w:r>
      <w:r w:rsidR="005E08F8">
        <w:t xml:space="preserve"> orbit</w:t>
      </w:r>
      <w:r w:rsidR="00E96BDF">
        <w:t>s</w:t>
      </w:r>
      <w:r w:rsidR="005539AB">
        <w:t>,</w:t>
      </w:r>
      <w:r w:rsidR="005E08F8">
        <w:t xml:space="preserve"> and </w:t>
      </w:r>
      <w:r w:rsidR="005539AB">
        <w:t>interact</w:t>
      </w:r>
      <w:r w:rsidR="00E96BDF">
        <w:t>ing</w:t>
      </w:r>
      <w:r w:rsidR="005539AB">
        <w:t xml:space="preserve"> with</w:t>
      </w:r>
      <w:r w:rsidR="005E08F8">
        <w:t xml:space="preserve"> </w:t>
      </w:r>
      <w:r w:rsidR="005539AB">
        <w:t xml:space="preserve">a similar </w:t>
      </w:r>
      <w:r w:rsidR="005E08F8">
        <w:t>secondary population.</w:t>
      </w:r>
      <w:r w:rsidR="00E96BDF">
        <w:t xml:space="preserve">  </w:t>
      </w:r>
      <w:r w:rsidR="00476408">
        <w:t>This study</w:t>
      </w:r>
      <w:r w:rsidR="00E96BDF">
        <w:t xml:space="preserve"> </w:t>
      </w:r>
      <w:r w:rsidR="00E96BDF">
        <w:lastRenderedPageBreak/>
        <w:t>appl</w:t>
      </w:r>
      <w:r w:rsidR="00476408">
        <w:t>ies</w:t>
      </w:r>
      <w:r w:rsidR="00E96BDF">
        <w:t xml:space="preserve"> the first scale factor</w:t>
      </w:r>
      <w:r w:rsidR="000F4871">
        <w:t xml:space="preserve"> in eq. (</w:t>
      </w:r>
      <w:r w:rsidR="008663D3">
        <w:t>7</w:t>
      </w:r>
      <w:r w:rsidR="000F4871">
        <w:t>)</w:t>
      </w:r>
      <w:r w:rsidR="00476408">
        <w:t>,</w:t>
      </w:r>
      <w:r w:rsidR="00E96BDF">
        <w:t xml:space="preserve"> </w:t>
      </w:r>
      <w:r w:rsidR="00B460CA">
        <w:t xml:space="preserve">in order </w:t>
      </w:r>
      <w:r w:rsidR="00E96BDF">
        <w:t xml:space="preserve">to </w:t>
      </w:r>
      <w:r w:rsidR="00771EB8">
        <w:t>study the effect of</w:t>
      </w:r>
      <w:r w:rsidR="00E96BDF">
        <w:t xml:space="preserve"> varying </w:t>
      </w:r>
      <w:r w:rsidR="00B71153">
        <w:t xml:space="preserve">the </w:t>
      </w:r>
      <w:r w:rsidR="00476408">
        <w:t>mission</w:t>
      </w:r>
      <w:r w:rsidR="00E96BDF">
        <w:t xml:space="preserve"> durations.  </w:t>
      </w:r>
      <w:r w:rsidR="00B04D9A">
        <w:t>Appl</w:t>
      </w:r>
      <w:r w:rsidR="00771EB8">
        <w:t>ication of</w:t>
      </w:r>
      <w:r w:rsidR="00B04D9A">
        <w:t xml:space="preserve"> the second factor </w:t>
      </w:r>
      <w:r w:rsidR="003149B3">
        <w:t>is reserved for future analysis</w:t>
      </w:r>
      <w:r w:rsidR="00B04D9A">
        <w:t>.</w:t>
      </w:r>
    </w:p>
    <w:p w14:paraId="15C9098A" w14:textId="2A0AE710" w:rsidR="00E00363" w:rsidRDefault="00E00363" w:rsidP="00E00363">
      <w:pPr>
        <w:pStyle w:val="Sub-Section"/>
      </w:pPr>
      <w:r w:rsidRPr="00E00363">
        <w:t>Resampling to Generate Multiple Model Conjunction Sequence Realizations</w:t>
      </w:r>
    </w:p>
    <w:p w14:paraId="5CECA7A7" w14:textId="0080AC0A" w:rsidR="006E1F58" w:rsidRPr="003E50FF" w:rsidRDefault="00C17FB5" w:rsidP="00C57FE1">
      <w:pPr>
        <w:rPr>
          <w:rFonts w:ascii="Cambria Math" w:hAnsi="Cambria Math"/>
          <w:i/>
        </w:rPr>
      </w:pPr>
      <w:r>
        <w:t xml:space="preserve">As mentioned previously, </w:t>
      </w:r>
      <w:r w:rsidR="00373C2D">
        <w:t>an observed</w:t>
      </w:r>
      <w:r w:rsidR="00E36826">
        <w:t xml:space="preserve"> conjunction sequence has </w:t>
      </w:r>
      <w:r w:rsidR="000B3E5F">
        <w:t xml:space="preserve">archived </w:t>
      </w:r>
      <w:r w:rsidR="00E36826">
        <w:t>TCA orbital states and covariance</w:t>
      </w:r>
      <w:r w:rsidR="006E1F58">
        <w:t xml:space="preserve"> matrice</w:t>
      </w:r>
      <w:r w:rsidR="00E36826">
        <w:t xml:space="preserve">s </w:t>
      </w:r>
      <w:r w:rsidR="00373C2D">
        <w:t xml:space="preserve">specified by the set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obs</m:t>
            </m:r>
          </m:sub>
        </m:sSub>
      </m:oMath>
      <w:r w:rsidR="00373C2D">
        <w:t xml:space="preserve"> given in eq. (2).</w:t>
      </w:r>
      <w:r w:rsidR="006818A2">
        <w:t xml:space="preserve">  </w:t>
      </w:r>
      <w:r w:rsidR="00D2702F">
        <w:t>T</w:t>
      </w:r>
      <w:r w:rsidR="006818A2">
        <w:t xml:space="preserve">his set can be resampled </w:t>
      </w:r>
      <w:r w:rsidR="00E86430">
        <w:t>to construct one or more sequences</w:t>
      </w:r>
      <w:r w:rsidR="00D2702F">
        <w:t xml:space="preserve"> that can be applied </w:t>
      </w:r>
      <w:r w:rsidR="00C57FE1">
        <w:t>to</w:t>
      </w:r>
      <w:r w:rsidR="00D2702F">
        <w:t xml:space="preserve"> a model </w:t>
      </w:r>
      <w:r w:rsidR="00390F93">
        <w:t>mission</w:t>
      </w:r>
      <w:r w:rsidR="006C5339">
        <w:t>.</w:t>
      </w:r>
      <w:r w:rsidR="006818A2">
        <w:t xml:space="preserve">  The first step of th</w:t>
      </w:r>
      <w:r w:rsidR="00D2702F">
        <w:t>is</w:t>
      </w:r>
      <w:r w:rsidR="006818A2">
        <w:t xml:space="preserve"> process is to generate </w:t>
      </w:r>
      <w:r w:rsidR="00B460CA">
        <w:t xml:space="preserve">a </w:t>
      </w:r>
      <w:r w:rsidR="006818A2">
        <w:t>set of resampling ind</w:t>
      </w:r>
      <w:r w:rsidR="00CA3978">
        <w:t>ice</w:t>
      </w:r>
      <w:r w:rsidR="006818A2">
        <w:t>s</w:t>
      </w:r>
      <w:r w:rsidR="003407DB">
        <w:t>,</w:t>
      </w:r>
      <w:r w:rsidR="00907754">
        <w:t xml:space="preserve"> {</w:t>
      </w:r>
      <m:oMath>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r>
          <w:rPr>
            <w:rFonts w:ascii="Cambria Math" w:hAnsi="Cambria Math"/>
          </w:rPr>
          <m:t>}</m:t>
        </m:r>
      </m:oMath>
      <w:r w:rsidR="00B71153">
        <w:t>,</w:t>
      </w:r>
      <w:r w:rsidR="006818A2">
        <w:t xml:space="preserve"> </w:t>
      </w:r>
      <w:r w:rsidR="00907754">
        <w:t>with</w:t>
      </w:r>
      <w:r w:rsidR="00373C2D">
        <w:t xml:space="preserve"> </w:t>
      </w:r>
      <m:oMath>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mod</m:t>
            </m:r>
          </m:sub>
        </m:sSub>
      </m:oMath>
      <w:r w:rsidR="00373C2D">
        <w:t xml:space="preserve">, </w:t>
      </w:r>
      <w:r w:rsidR="003407DB">
        <w:t xml:space="preserve">which represent randomly-selected </w:t>
      </w:r>
      <w:r w:rsidR="00907754">
        <w:t xml:space="preserve">integers </w:t>
      </w:r>
      <w:r w:rsidR="00B234AC">
        <w:t>distributed</w:t>
      </w:r>
      <w:r w:rsidR="00907754">
        <w:t xml:space="preserve"> </w:t>
      </w:r>
      <w:r w:rsidR="003407DB">
        <w:t xml:space="preserve">uniformly </w:t>
      </w:r>
      <w:r w:rsidR="00B234AC">
        <w:t>over</w:t>
      </w:r>
      <w:r w:rsidR="003407DB">
        <w:t xml:space="preserve"> the range</w:t>
      </w:r>
      <w:r w:rsidR="00373C2D">
        <w:t xml:space="preserve"> </w:t>
      </w:r>
      <m:oMath>
        <m:r>
          <w:rPr>
            <w:rFonts w:ascii="Cambria Math" w:hAnsi="Cambria Math"/>
          </w:rPr>
          <m:t>1≤</m:t>
        </m:r>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obs</m:t>
            </m:r>
          </m:sub>
        </m:sSub>
      </m:oMath>
      <w:r w:rsidR="00373C2D">
        <w:t xml:space="preserve"> </w:t>
      </w:r>
      <w:r w:rsidR="00B460CA">
        <w:t>produced</w:t>
      </w:r>
      <w:r w:rsidR="008F0AD7">
        <w:t xml:space="preserve"> using a sampling</w:t>
      </w:r>
      <w:r w:rsidR="00B71153">
        <w:t>-</w:t>
      </w:r>
      <w:r w:rsidR="008F0AD7">
        <w:t>with</w:t>
      </w:r>
      <w:r w:rsidR="00B71153">
        <w:t>-</w:t>
      </w:r>
      <w:r w:rsidR="008F0AD7">
        <w:t xml:space="preserve">replacement algorithm </w:t>
      </w:r>
      <w:r w:rsidR="00B71153">
        <w:t>that</w:t>
      </w:r>
      <w:r w:rsidR="008F0AD7">
        <w:t xml:space="preserve"> allows repeated integer values</w:t>
      </w:r>
      <w:r w:rsidR="00967A37">
        <w:t xml:space="preserve">.  </w:t>
      </w:r>
      <w:r w:rsidR="00B234AC">
        <w:t>These</w:t>
      </w:r>
      <w:r w:rsidR="00F768B5">
        <w:t xml:space="preserve"> indices</w:t>
      </w:r>
      <w:r w:rsidR="00B234AC">
        <w:t xml:space="preserve"> </w:t>
      </w:r>
      <w:r w:rsidR="00373C2D">
        <w:t>are then</w:t>
      </w:r>
      <w:r w:rsidR="00B234AC">
        <w:t xml:space="preserve"> used to</w:t>
      </w:r>
      <w:r w:rsidR="003B020A">
        <w:t xml:space="preserve"> create a</w:t>
      </w:r>
      <w:r w:rsidR="00B234AC">
        <w:t xml:space="preserve"> </w:t>
      </w:r>
      <w:r w:rsidR="003B020A">
        <w:t>re</w:t>
      </w:r>
      <w:r w:rsidR="00B234AC">
        <w:t xml:space="preserve">sampled </w:t>
      </w:r>
      <w:r w:rsidR="00F768B5">
        <w:t xml:space="preserve">state/covariance </w:t>
      </w:r>
      <w:r w:rsidR="00E17BFE">
        <w:t>sequence</w:t>
      </w:r>
      <w:r w:rsidR="00B234AC">
        <w:t xml:space="preserve"> applicable to </w:t>
      </w:r>
      <w:r w:rsidR="00A22F1B">
        <w:t>a</w:t>
      </w:r>
      <w:r w:rsidR="00B234AC">
        <w:t xml:space="preserve"> model mission</w:t>
      </w:r>
    </w:p>
    <w:p w14:paraId="5DCF654D" w14:textId="12F699E5" w:rsidR="006E1F58" w:rsidRDefault="0083235C" w:rsidP="00373C2D">
      <w:pPr>
        <w:jc w:val="right"/>
        <w:rPr>
          <w:bCs/>
          <w:iCs/>
        </w:rPr>
      </w:pP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mod</m:t>
            </m:r>
          </m:sub>
        </m:sSub>
        <m:r>
          <w:rPr>
            <w:rFonts w:ascii="Cambria Math" w:hAnsi="Cambria Math"/>
          </w:rPr>
          <m:t>=</m:t>
        </m:r>
        <m:d>
          <m:dPr>
            <m:begChr m:val="{"/>
            <m:endChr m:val="}"/>
            <m:ctrlPr>
              <w:rPr>
                <w:rFonts w:ascii="Cambria Math" w:hAnsi="Cambria Math"/>
                <w:bCs/>
                <w:i/>
                <w:iCs/>
              </w:rPr>
            </m:ctrlPr>
          </m:dPr>
          <m:e>
            <m:sSubSup>
              <m:sSubSupPr>
                <m:ctrlPr>
                  <w:rPr>
                    <w:rFonts w:ascii="Cambria Math" w:hAnsi="Cambria Math"/>
                    <w:i/>
                    <w:iCs/>
                  </w:rPr>
                </m:ctrlPr>
              </m:sSubSupPr>
              <m:e>
                <m:r>
                  <m:rPr>
                    <m:sty m:val="b"/>
                  </m:rPr>
                  <w:rPr>
                    <w:rFonts w:ascii="Cambria Math" w:hAnsi="Cambria Math"/>
                  </w:rPr>
                  <m:t>X</m:t>
                </m:r>
              </m:e>
              <m:sub>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sub>
              <m:sup>
                <m:r>
                  <w:rPr>
                    <w:rFonts w:ascii="Cambria Math" w:hAnsi="Cambria Math"/>
                  </w:rPr>
                  <m:t>pri</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X</m:t>
                </m:r>
              </m:e>
              <m:sub>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sub>
              <m:sup>
                <m:r>
                  <w:rPr>
                    <w:rFonts w:ascii="Cambria Math" w:hAnsi="Cambria Math"/>
                  </w:rPr>
                  <m:t>sec</m:t>
                </m:r>
              </m:sup>
            </m:sSubSup>
            <m:r>
              <w:rPr>
                <w:rFonts w:ascii="Cambria Math" w:hAnsi="Cambria Math"/>
              </w:rPr>
              <m:t>,</m:t>
            </m:r>
            <m:sSubSup>
              <m:sSubSupPr>
                <m:ctrlPr>
                  <w:rPr>
                    <w:rFonts w:ascii="Cambria Math" w:hAnsi="Cambria Math"/>
                    <w:i/>
                    <w:iCs/>
                  </w:rPr>
                </m:ctrlPr>
              </m:sSubSupPr>
              <m:e>
                <m:r>
                  <m:rPr>
                    <m:sty m:val="b"/>
                  </m:rPr>
                  <w:rPr>
                    <w:rFonts w:ascii="Cambria Math" w:hAnsi="Cambria Math"/>
                  </w:rPr>
                  <m:t>C</m:t>
                </m:r>
              </m:e>
              <m:sub>
                <m:sSub>
                  <m:sSubPr>
                    <m:ctrlPr>
                      <w:rPr>
                        <w:rFonts w:ascii="Cambria Math" w:hAnsi="Cambria Math"/>
                        <w:i/>
                      </w:rPr>
                    </m:ctrlPr>
                  </m:sSubPr>
                  <m:e>
                    <m:r>
                      <m:rPr>
                        <m:scr m:val="script"/>
                      </m:rPr>
                      <w:rPr>
                        <w:rFonts w:ascii="Cambria Math" w:hAnsi="Cambria Math"/>
                      </w:rPr>
                      <m:t>i</m:t>
                    </m:r>
                  </m:e>
                  <m:sub>
                    <m:r>
                      <w:rPr>
                        <w:rFonts w:ascii="Cambria Math" w:hAnsi="Cambria Math"/>
                      </w:rPr>
                      <m:t>j</m:t>
                    </m:r>
                  </m:sub>
                </m:sSub>
              </m:sub>
              <m:sup>
                <m:r>
                  <w:rPr>
                    <w:rFonts w:ascii="Cambria Math" w:hAnsi="Cambria Math"/>
                  </w:rPr>
                  <m:t>sec</m:t>
                </m:r>
              </m:sup>
            </m:sSubSup>
          </m:e>
        </m:d>
      </m:oMath>
      <w:r w:rsidR="00373C2D">
        <w:rPr>
          <w:bCs/>
          <w:iCs/>
        </w:rPr>
        <w:t xml:space="preserve">                                                  (8)</w:t>
      </w:r>
    </w:p>
    <w:p w14:paraId="23CE4BBE" w14:textId="15B93F67" w:rsidR="00C57FE1" w:rsidRDefault="00072E31" w:rsidP="003E50FF">
      <w:r>
        <w:rPr>
          <w:bCs/>
          <w:iCs/>
        </w:rPr>
        <w:t>Repeating t</w:t>
      </w:r>
      <w:r w:rsidR="00B234AC">
        <w:rPr>
          <w:bCs/>
          <w:iCs/>
        </w:rPr>
        <w:t xml:space="preserve">his </w:t>
      </w:r>
      <w:r w:rsidR="003B020A">
        <w:rPr>
          <w:bCs/>
          <w:iCs/>
        </w:rPr>
        <w:t xml:space="preserve">randomized </w:t>
      </w:r>
      <w:r w:rsidR="00F768B5">
        <w:rPr>
          <w:bCs/>
          <w:iCs/>
        </w:rPr>
        <w:t xml:space="preserve">sampling </w:t>
      </w:r>
      <w:r w:rsidR="00B234AC">
        <w:rPr>
          <w:bCs/>
          <w:iCs/>
        </w:rPr>
        <w:t>process generate</w:t>
      </w:r>
      <w:r>
        <w:rPr>
          <w:bCs/>
          <w:iCs/>
        </w:rPr>
        <w:t>s</w:t>
      </w:r>
      <w:r w:rsidR="00B234AC">
        <w:rPr>
          <w:bCs/>
          <w:iCs/>
        </w:rPr>
        <w:t xml:space="preserve"> multiple such model se</w:t>
      </w:r>
      <w:r w:rsidR="001260F4">
        <w:rPr>
          <w:bCs/>
          <w:iCs/>
        </w:rPr>
        <w:t>quences</w:t>
      </w:r>
      <w:r w:rsidR="00B234AC">
        <w:rPr>
          <w:bCs/>
          <w:iCs/>
        </w:rPr>
        <w:t xml:space="preserve">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mod,k</m:t>
            </m:r>
          </m:sub>
        </m:sSub>
      </m:oMath>
      <w:r w:rsidR="00B234AC">
        <w:t xml:space="preserve"> with </w:t>
      </w:r>
      <m:oMath>
        <m:r>
          <w:rPr>
            <w:rFonts w:ascii="Cambria Math" w:hAnsi="Cambria Math"/>
          </w:rPr>
          <m:t>k=1…K</m:t>
        </m:r>
      </m:oMath>
      <w:r w:rsidR="00B234AC">
        <w:t xml:space="preserve">, where </w:t>
      </w:r>
      <m:oMath>
        <m:r>
          <w:rPr>
            <w:rFonts w:ascii="Cambria Math" w:hAnsi="Cambria Math"/>
          </w:rPr>
          <m:t>K</m:t>
        </m:r>
      </m:oMath>
      <w:r w:rsidR="00B234AC">
        <w:t xml:space="preserve"> represents the number of resampling realizations used in the analysis.  </w:t>
      </w:r>
      <w:r w:rsidR="006818A2">
        <w:t xml:space="preserve">Each </w:t>
      </w:r>
      <w:r w:rsidR="00B234AC">
        <w:t xml:space="preserve">set </w:t>
      </w:r>
      <m:oMath>
        <m:sSub>
          <m:sSubPr>
            <m:ctrlPr>
              <w:rPr>
                <w:rFonts w:ascii="Cambria Math" w:hAnsi="Cambria Math"/>
                <w:i/>
              </w:rPr>
            </m:ctrlPr>
          </m:sSubPr>
          <m:e>
            <m:r>
              <m:rPr>
                <m:scr m:val="script"/>
                <m:sty m:val="bi"/>
              </m:rPr>
              <w:rPr>
                <w:rFonts w:ascii="Cambria Math" w:hAnsi="Cambria Math"/>
              </w:rPr>
              <m:t>D</m:t>
            </m:r>
          </m:e>
          <m:sub>
            <m:r>
              <w:rPr>
                <w:rFonts w:ascii="Cambria Math" w:hAnsi="Cambria Math"/>
              </w:rPr>
              <m:t>mod,k</m:t>
            </m:r>
          </m:sub>
        </m:sSub>
      </m:oMath>
      <w:r w:rsidR="00B234AC">
        <w:t xml:space="preserve"> represents</w:t>
      </w:r>
      <w:r w:rsidR="006818A2">
        <w:t xml:space="preserve"> </w:t>
      </w:r>
      <w:r w:rsidR="00B234AC">
        <w:t>a</w:t>
      </w:r>
      <w:r w:rsidR="009D24F6">
        <w:t xml:space="preserve"> synthetic </w:t>
      </w:r>
      <w:r w:rsidR="006818A2">
        <w:t xml:space="preserve">realization of the </w:t>
      </w:r>
      <w:r w:rsidR="003B020A">
        <w:t xml:space="preserve">conjunction </w:t>
      </w:r>
      <w:r w:rsidR="006818A2">
        <w:t>sequence experienced by the model satellite</w:t>
      </w:r>
      <w:r w:rsidR="004A0DF3">
        <w:t xml:space="preserve">, and </w:t>
      </w:r>
      <w:r w:rsidR="009D24F6">
        <w:t>provides the means</w:t>
      </w:r>
      <w:r w:rsidR="004A0DF3">
        <w:t xml:space="preserve"> to estimate </w:t>
      </w:r>
      <w:r w:rsidR="00E17BFE">
        <w:t xml:space="preserve">the associated set of collision probabilities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mod,k</m:t>
            </m:r>
          </m:sub>
        </m:sSub>
      </m:oMath>
      <w:r w:rsidR="00E17BFE">
        <w:t xml:space="preserve"> </w:t>
      </w:r>
      <w:r w:rsidR="00F768B5">
        <w:t>using eq. (</w:t>
      </w:r>
      <w:r w:rsidR="008663D3">
        <w:t>3</w:t>
      </w:r>
      <w:r w:rsidR="00F768B5">
        <w:t>), which in turn can be used to estimate the</w:t>
      </w:r>
      <w:r w:rsidR="004A0DF3">
        <w:t xml:space="preserve"> cumulative probability </w:t>
      </w:r>
      <m:oMath>
        <m:sSub>
          <m:sSubPr>
            <m:ctrlPr>
              <w:rPr>
                <w:rFonts w:ascii="Cambria Math" w:hAnsi="Cambria Math"/>
                <w:i/>
              </w:rPr>
            </m:ctrlPr>
          </m:sSubPr>
          <m:e>
            <m:r>
              <w:rPr>
                <w:rFonts w:ascii="Cambria Math" w:hAnsi="Cambria Math"/>
              </w:rPr>
              <m:t>P</m:t>
            </m:r>
          </m:e>
          <m:sub>
            <m:r>
              <w:rPr>
                <w:rFonts w:ascii="Cambria Math" w:hAnsi="Cambria Math"/>
              </w:rPr>
              <m:t>cum,k</m:t>
            </m:r>
          </m:sub>
        </m:sSub>
      </m:oMath>
      <w:r w:rsidR="003B020A">
        <w:t xml:space="preserve"> using eq. (</w:t>
      </w:r>
      <w:r w:rsidR="008663D3">
        <w:t>6</w:t>
      </w:r>
      <w:r w:rsidR="003B020A">
        <w:t>).</w:t>
      </w:r>
      <w:r w:rsidR="006B6A40">
        <w:t xml:space="preserve">  </w:t>
      </w:r>
      <w:r w:rsidR="00A15458">
        <w:t>The m</w:t>
      </w:r>
      <w:r w:rsidR="006B6A40">
        <w:t xml:space="preserve">ultiple </w:t>
      </w:r>
      <w:r w:rsidR="00A15458">
        <w:t xml:space="preserve">sampling </w:t>
      </w:r>
      <w:r w:rsidR="006B6A40">
        <w:t xml:space="preserve">realizations can be combined to produce </w:t>
      </w:r>
      <w:r w:rsidR="00B71153">
        <w:t xml:space="preserve">a </w:t>
      </w:r>
      <w:r w:rsidR="00913C6B">
        <w:t xml:space="preserve">median </w:t>
      </w:r>
      <w:r w:rsidR="00F768B5">
        <w:t>estimate</w:t>
      </w:r>
    </w:p>
    <w:p w14:paraId="46617F5F" w14:textId="6FC4B6B9" w:rsidR="006B6A40" w:rsidRDefault="0083235C" w:rsidP="006B6A40">
      <w:pPr>
        <w:jc w:val="right"/>
        <w:rPr>
          <w:bCs/>
          <w:iCs/>
        </w:rPr>
      </w:pP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r>
          <w:rPr>
            <w:rFonts w:ascii="Cambria Math" w:hAnsi="Cambria Math"/>
          </w:rPr>
          <m:t>=</m:t>
        </m:r>
        <m:r>
          <m:rPr>
            <m:sty m:val="p"/>
          </m:rPr>
          <w:rPr>
            <w:rFonts w:ascii="Cambria Math" w:hAnsi="Cambria Math"/>
          </w:rPr>
          <m:t>median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cum,k</m:t>
            </m:r>
          </m:sub>
        </m:sSub>
        <m:r>
          <w:rPr>
            <w:rFonts w:ascii="Cambria Math" w:hAnsi="Cambria Math"/>
          </w:rPr>
          <m:t>)</m:t>
        </m:r>
      </m:oMath>
      <w:r w:rsidR="006B6A40">
        <w:rPr>
          <w:bCs/>
          <w:iCs/>
        </w:rPr>
        <w:t xml:space="preserve">         </w:t>
      </w:r>
      <w:r w:rsidR="009D24F6">
        <w:rPr>
          <w:bCs/>
          <w:iCs/>
        </w:rPr>
        <w:t xml:space="preserve">  </w:t>
      </w:r>
      <w:r w:rsidR="006B6A40">
        <w:rPr>
          <w:bCs/>
          <w:iCs/>
        </w:rPr>
        <w:t xml:space="preserve"> </w:t>
      </w:r>
      <w:r w:rsidR="00F768B5">
        <w:rPr>
          <w:bCs/>
          <w:iCs/>
        </w:rPr>
        <w:t xml:space="preserve">                                     </w:t>
      </w:r>
      <w:r w:rsidR="006B6A40">
        <w:rPr>
          <w:bCs/>
          <w:iCs/>
        </w:rPr>
        <w:t xml:space="preserve">   (</w:t>
      </w:r>
      <w:r w:rsidR="00373C2D">
        <w:rPr>
          <w:bCs/>
          <w:iCs/>
        </w:rPr>
        <w:t>9</w:t>
      </w:r>
      <w:r w:rsidR="006B6A40">
        <w:rPr>
          <w:bCs/>
          <w:iCs/>
        </w:rPr>
        <w:t>)</w:t>
      </w:r>
    </w:p>
    <w:p w14:paraId="004BA649" w14:textId="5FA2613C" w:rsidR="003E5FB9" w:rsidRDefault="00840F29" w:rsidP="00B320FC">
      <w:r>
        <w:t>V</w:t>
      </w:r>
      <w:r w:rsidR="006B6A40">
        <w:t xml:space="preserve">ariations </w:t>
      </w:r>
      <w:r>
        <w:t xml:space="preserve">associated with the sampling process </w:t>
      </w:r>
      <w:r w:rsidR="006B6A40">
        <w:t xml:space="preserve">can be </w:t>
      </w:r>
      <w:r w:rsidR="00913C6B">
        <w:t>measured</w:t>
      </w:r>
      <w:r w:rsidR="006B6A40">
        <w:t xml:space="preserve"> using </w:t>
      </w:r>
      <w:r>
        <w:t>the bounds on the</w:t>
      </w:r>
      <w:r w:rsidR="00913C6B">
        <w:t xml:space="preserve"> central 95% of</w:t>
      </w:r>
      <w:r w:rsidR="006B6A40">
        <w:t xml:space="preserve"> </w:t>
      </w:r>
      <w:r w:rsidR="00913C6B">
        <w:t>the range spanned by</w:t>
      </w:r>
      <w:r w:rsidR="006B6A40">
        <w:t xml:space="preserve"> the set {</w:t>
      </w:r>
      <m:oMath>
        <m:sSub>
          <m:sSubPr>
            <m:ctrlPr>
              <w:rPr>
                <w:rFonts w:ascii="Cambria Math" w:hAnsi="Cambria Math"/>
                <w:i/>
              </w:rPr>
            </m:ctrlPr>
          </m:sSubPr>
          <m:e>
            <m:r>
              <w:rPr>
                <w:rFonts w:ascii="Cambria Math" w:hAnsi="Cambria Math"/>
              </w:rPr>
              <m:t>P</m:t>
            </m:r>
          </m:e>
          <m:sub>
            <m:r>
              <w:rPr>
                <w:rFonts w:ascii="Cambria Math" w:hAnsi="Cambria Math"/>
              </w:rPr>
              <m:t>cum,k</m:t>
            </m:r>
          </m:sub>
        </m:sSub>
        <m:r>
          <w:rPr>
            <w:rFonts w:ascii="Cambria Math" w:hAnsi="Cambria Math"/>
          </w:rPr>
          <m:t>}</m:t>
        </m:r>
      </m:oMath>
      <w:r w:rsidR="00913C6B">
        <w:t>.</w:t>
      </w:r>
    </w:p>
    <w:p w14:paraId="776E6F57" w14:textId="1AA72C7F" w:rsidR="0009405B" w:rsidRPr="007331EA" w:rsidRDefault="006E6A21" w:rsidP="0009405B">
      <w:pPr>
        <w:jc w:val="center"/>
        <w:rPr>
          <w:b/>
        </w:rPr>
      </w:pPr>
      <w:r w:rsidRPr="006E6A21">
        <w:rPr>
          <w:b/>
          <w:noProof/>
        </w:rPr>
        <w:drawing>
          <wp:inline distT="0" distB="0" distL="0" distR="0" wp14:anchorId="0D002E3A" wp14:editId="19BB56B2">
            <wp:extent cx="3169062" cy="2743200"/>
            <wp:effectExtent l="0" t="0" r="0" b="0"/>
            <wp:docPr id="2" name="Picture 2" descr="C:\dth\ConjDist\OCMDB_20050224_to_20190122_SCN20580_20580_Pclud_190424_131125\RemTab_LEO2-2_20580_541km556km28dg_HBR10m_Commit1.5dy_Add0ThEv_IncNonCat_PcumN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th\ConjDist\OCMDB_20050224_to_20190122_SCN20580_20580_Pclud_190424_131125\RemTab_LEO2-2_20580_541km556km28dg_HBR10m_Commit1.5dy_Add0ThEv_IncNonCat_PcumNoRe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861" b="3329"/>
                    <a:stretch/>
                  </pic:blipFill>
                  <pic:spPr bwMode="auto">
                    <a:xfrm>
                      <a:off x="0" y="0"/>
                      <a:ext cx="3169062"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FEA095F" w14:textId="14FA4FF0" w:rsidR="0009405B" w:rsidRDefault="0009405B" w:rsidP="004152B8">
      <w:pPr>
        <w:pStyle w:val="Caption"/>
        <w:jc w:val="center"/>
      </w:pPr>
      <w:r w:rsidRPr="00505624">
        <w:t>Figure </w:t>
      </w:r>
      <w:r w:rsidR="00DA0F12">
        <w:t>3</w:t>
      </w:r>
      <w:r w:rsidRPr="00505624">
        <w:t>.</w:t>
      </w:r>
      <w:r>
        <w:t xml:space="preserve"> </w:t>
      </w:r>
      <w:r w:rsidR="007435AD">
        <w:t>Semi-empirical c</w:t>
      </w:r>
      <w:r>
        <w:t>umulative collision probabilities estimated as a function of on-orbit duration for a</w:t>
      </w:r>
      <w:r w:rsidR="00DD7519">
        <w:t xml:space="preserve"> model</w:t>
      </w:r>
      <w:r>
        <w:t xml:space="preserve"> </w:t>
      </w:r>
      <w:r w:rsidR="004B782D">
        <w:t>mission deployed</w:t>
      </w:r>
      <w:r>
        <w:t xml:space="preserve"> in</w:t>
      </w:r>
      <w:r w:rsidR="004B782D">
        <w:t>to</w:t>
      </w:r>
      <w:r>
        <w:t xml:space="preserve"> an HST-like orbit</w:t>
      </w:r>
      <w:r w:rsidR="00A71810">
        <w:t>, assuming no remediation maneuvers are performed.</w:t>
      </w:r>
      <w:r w:rsidR="007331EA">
        <w:t xml:space="preserve">  The solid line shows median</w:t>
      </w:r>
      <w:r w:rsidR="00066AE8">
        <w:t xml:space="preserve"> estimates</w:t>
      </w:r>
      <w:r w:rsidR="007331EA">
        <w:t xml:space="preserve"> </w:t>
      </w:r>
      <w:r w:rsidR="00B925BA">
        <w:t>for</w:t>
      </w:r>
      <w:r w:rsidR="007331EA">
        <w:t xml:space="preserve"> 1,000</w:t>
      </w:r>
      <w:r w:rsidR="00B925BA">
        <w:t xml:space="preserve"> resampling realizations; dashed lines show </w:t>
      </w:r>
      <w:r w:rsidR="00B21268">
        <w:t xml:space="preserve">bounds for the central </w:t>
      </w:r>
      <w:r w:rsidR="00066AE8">
        <w:t xml:space="preserve">95% </w:t>
      </w:r>
      <w:r w:rsidR="00B21268">
        <w:t xml:space="preserve">of the </w:t>
      </w:r>
      <w:r w:rsidR="007435AD">
        <w:t>realizations.</w:t>
      </w:r>
    </w:p>
    <w:p w14:paraId="3EEC47DE" w14:textId="77777777" w:rsidR="007000C4" w:rsidRDefault="007000C4" w:rsidP="007000C4">
      <w:pPr>
        <w:pStyle w:val="Sub-Section"/>
      </w:pPr>
      <w:r w:rsidRPr="00685502">
        <w:lastRenderedPageBreak/>
        <w:t xml:space="preserve">Applying the Semi-Empirical Model to the Observed </w:t>
      </w:r>
      <w:r>
        <w:t xml:space="preserve">Primary </w:t>
      </w:r>
      <w:r w:rsidRPr="00685502">
        <w:t>Satellite</w:t>
      </w:r>
    </w:p>
    <w:p w14:paraId="098DE79E" w14:textId="58EA4F53" w:rsidR="007000C4" w:rsidRDefault="007000C4" w:rsidP="007000C4">
      <w:r>
        <w:t xml:space="preserve">The self-consistency and sampling variations of the semi-empirical model can be tested by estimating the cumulative probability for observed time period, i.e.,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obs</m:t>
            </m:r>
          </m:sub>
        </m:sSub>
      </m:oMath>
      <w:r>
        <w:t xml:space="preserve">.  For this test, </w:t>
      </w:r>
      <w:r w:rsidR="00D92393">
        <w:t>both</w:t>
      </w:r>
      <w:r>
        <w:t xml:space="preserve"> scale factors in eq. (</w:t>
      </w:r>
      <w:r w:rsidR="008663D3">
        <w:t>7</w:t>
      </w:r>
      <w:r>
        <w:t xml:space="preserve">) equal one, so </w:t>
      </w:r>
      <m:oMath>
        <m:sSub>
          <m:sSubPr>
            <m:ctrlPr>
              <w:rPr>
                <w:rFonts w:ascii="Cambria Math" w:hAnsi="Cambria Math"/>
                <w:bCs/>
                <w:i/>
                <w:iCs/>
              </w:rPr>
            </m:ctrlPr>
          </m:sSubPr>
          <m:e>
            <m:r>
              <w:rPr>
                <w:rFonts w:ascii="Cambria Math" w:hAnsi="Cambria Math"/>
              </w:rPr>
              <m:t>N</m:t>
            </m:r>
          </m:e>
          <m:sub>
            <m:r>
              <w:rPr>
                <w:rFonts w:ascii="Cambria Math" w:hAnsi="Cambria Math"/>
              </w:rPr>
              <m:t>mod</m:t>
            </m:r>
          </m:sub>
        </m:sSub>
        <m:r>
          <w:rPr>
            <w:rFonts w:ascii="Cambria Math" w:hAnsi="Cambria Math"/>
          </w:rPr>
          <m:t>=</m:t>
        </m:r>
        <m:sSub>
          <m:sSubPr>
            <m:ctrlPr>
              <w:rPr>
                <w:rFonts w:ascii="Cambria Math" w:hAnsi="Cambria Math"/>
                <w:bCs/>
                <w:i/>
                <w:iCs/>
              </w:rPr>
            </m:ctrlPr>
          </m:sSubPr>
          <m:e>
            <m:r>
              <w:rPr>
                <w:rFonts w:ascii="Cambria Math" w:hAnsi="Cambria Math"/>
              </w:rPr>
              <m:t>N</m:t>
            </m:r>
          </m:e>
          <m:sub>
            <m:r>
              <w:rPr>
                <w:rFonts w:ascii="Cambria Math" w:hAnsi="Cambria Math"/>
              </w:rPr>
              <m:t>obs</m:t>
            </m:r>
          </m:sub>
        </m:sSub>
      </m:oMath>
      <w:r>
        <w:t xml:space="preserve">.  However, the resampling process </w:t>
      </w:r>
      <w:r w:rsidR="00F115F7">
        <w:t>produces</w:t>
      </w:r>
      <w:r>
        <w:t xml:space="preserve"> conjunction sequence realizations with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mod,k</m:t>
            </m:r>
          </m:sub>
        </m:sSub>
        <m:r>
          <w:rPr>
            <w:rFonts w:ascii="Cambria Math" w:hAnsi="Cambria Math"/>
          </w:rPr>
          <m:t>≠</m:t>
        </m:r>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oMath>
      <w:r>
        <w:t xml:space="preserve">.  Generating </w:t>
      </w:r>
      <w:r w:rsidRPr="00317CB0">
        <w:rPr>
          <w:i/>
        </w:rPr>
        <w:t>K</w:t>
      </w:r>
      <w:r>
        <w:t xml:space="preserve"> = 1,000 resampling realizations from the HST data shown in Figure 1 yields a median estimate of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r>
          <w:rPr>
            <w:rFonts w:ascii="Cambria Math" w:hAnsi="Cambria Math"/>
          </w:rPr>
          <m:t>=6.6×</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with the central 95% spanning the range (</w:t>
      </w:r>
      <m:oMath>
        <m:r>
          <w:rPr>
            <w:rFonts w:ascii="Cambria Math" w:hAnsi="Cambria Math"/>
          </w:rPr>
          <m:t>2.8-12.6)×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w:r>
        <w:t xml:space="preserve">(for model parameters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 xml:space="preserve">=9.92 </m:t>
        </m:r>
        <m:r>
          <m:rPr>
            <m:sty m:val="p"/>
          </m:rPr>
          <w:rPr>
            <w:rFonts w:ascii="Cambria Math" w:hAnsi="Cambria Math"/>
          </w:rPr>
          <m:t>year</m:t>
        </m:r>
        <m:r>
          <w:rPr>
            <w:rFonts w:ascii="Cambria Math" w:hAnsi="Cambria Math"/>
          </w:rPr>
          <m:t>,</m:t>
        </m:r>
      </m:oMath>
      <w:r>
        <w:t xml:space="preserve">  </w:t>
      </w:r>
      <m:oMath>
        <m:r>
          <w:rPr>
            <w:rFonts w:ascii="Cambria Math" w:hAnsi="Cambria Math"/>
          </w:rPr>
          <m:t xml:space="preserve">H=10 </m:t>
        </m:r>
        <m:r>
          <m:rPr>
            <m:sty m:val="p"/>
          </m:rPr>
          <w:rPr>
            <w:rFonts w:ascii="Cambria Math" w:hAnsi="Cambria Math"/>
          </w:rPr>
          <m:t>m</m:t>
        </m:r>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t xml:space="preserve">).  This is consistent with the estimate reported previously of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obs</m:t>
            </m:r>
          </m:sup>
        </m:sSubSup>
        <m:r>
          <w:rPr>
            <w:rFonts w:ascii="Cambria Math" w:hAnsi="Cambria Math"/>
          </w:rPr>
          <m:t>=6.8×</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calculated directly from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oMath>
      <w:r>
        <w:t>.  Notably, the 95% sampling range spans</w:t>
      </w:r>
      <w:r w:rsidR="00044889">
        <w:t xml:space="preserve"> scale</w:t>
      </w:r>
      <w:r>
        <w:t xml:space="preserve"> factors of ~1.9 above and ~2.4 below the median, indicating that this semi-empirical method can only provide rough estimates for cumulative probabilities</w:t>
      </w:r>
      <w:r w:rsidR="00CC0850">
        <w:t xml:space="preserve">.  These sampling ranges can be reduced </w:t>
      </w:r>
      <w:r w:rsidR="00C813F7">
        <w:t>(</w:t>
      </w:r>
      <w:r w:rsidR="00945968">
        <w:t>but not eliminated</w:t>
      </w:r>
      <w:r w:rsidR="00C813F7">
        <w:t>)</w:t>
      </w:r>
      <w:r w:rsidR="00CC0850">
        <w:t xml:space="preserve"> by using larger conjunction data sets</w:t>
      </w:r>
      <w:r w:rsidR="00C813F7">
        <w:t xml:space="preserve">, which can be </w:t>
      </w:r>
      <w:r w:rsidR="00945968">
        <w:t xml:space="preserve">created </w:t>
      </w:r>
      <w:r w:rsidR="00CC0850">
        <w:t xml:space="preserve">by extending the observation durations </w:t>
      </w:r>
      <w:r w:rsidR="00945968">
        <w:t>and/</w:t>
      </w:r>
      <w:r w:rsidR="00CC0850">
        <w:t>or combining multiple primaries.</w:t>
      </w:r>
    </w:p>
    <w:p w14:paraId="7657948F" w14:textId="2FF204EF" w:rsidR="00483697" w:rsidRPr="00F01DBB" w:rsidRDefault="00483697" w:rsidP="00483697">
      <w:r w:rsidRPr="00D6211D">
        <w:t>Figure 3 shows</w:t>
      </w:r>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oMath>
      <w:r w:rsidRPr="00D6211D">
        <w:t xml:space="preserve"> estimates</w:t>
      </w:r>
      <w:r>
        <w:t xml:space="preserve"> and 95% sampling ranges</w:t>
      </w:r>
      <w:r w:rsidRPr="00D6211D">
        <w:t xml:space="preserve"> </w:t>
      </w:r>
      <w:r>
        <w:t>calculated by varying model on-orbit durations over the range</w:t>
      </w:r>
      <w:r w:rsidRPr="00D6211D">
        <w:t xml:space="preserve"> </w:t>
      </w:r>
      <m:oMath>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≤25</m:t>
        </m:r>
      </m:oMath>
      <w:r>
        <w:t xml:space="preserve"> years (but </w:t>
      </w:r>
      <w:r w:rsidR="00044889">
        <w:t xml:space="preserve">retaining </w:t>
      </w:r>
      <m:oMath>
        <m:r>
          <w:rPr>
            <w:rFonts w:ascii="Cambria Math" w:hAnsi="Cambria Math"/>
          </w:rPr>
          <m:t xml:space="preserve">H=10 </m:t>
        </m:r>
        <m:r>
          <m:rPr>
            <m:sty m:val="p"/>
          </m:rPr>
          <w:rPr>
            <w:rFonts w:ascii="Cambria Math" w:hAnsi="Cambria Math"/>
          </w:rPr>
          <m:t>m</m:t>
        </m:r>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t xml:space="preserve">).  </w:t>
      </w:r>
      <w:r w:rsidR="00767700">
        <w:t>I</w:t>
      </w:r>
      <w:r>
        <w:t xml:space="preserve">t </w:t>
      </w:r>
      <w:r w:rsidR="002232B1">
        <w:t xml:space="preserve">sensibly </w:t>
      </w:r>
      <w:r w:rsidR="00767700">
        <w:t>demonstrates</w:t>
      </w:r>
      <w:r>
        <w:t xml:space="preserve"> that</w:t>
      </w:r>
      <w:r w:rsidR="00651FB8">
        <w:t xml:space="preserve"> cumulative collision probability</w:t>
      </w:r>
      <w:r w:rsidRPr="00F01DBB">
        <w:t xml:space="preserve"> estimates decrease </w:t>
      </w:r>
      <w:r>
        <w:t>as</w:t>
      </w:r>
      <w:r w:rsidRPr="00F01DBB">
        <w:t xml:space="preserve"> </w:t>
      </w:r>
      <w:r w:rsidR="00651FB8">
        <w:t>on-orbit durations</w:t>
      </w:r>
      <w:r w:rsidRPr="00F01DBB">
        <w:t xml:space="preserve"> </w:t>
      </w:r>
      <w:r>
        <w:t>decrease.</w:t>
      </w:r>
      <w:r w:rsidRPr="00F01DBB">
        <w:t xml:space="preserve">  This means that for sufficiently short durations,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oMath>
      <w:r w:rsidRPr="00F01DBB">
        <w:t xml:space="preserve"> could be</w:t>
      </w:r>
      <w:r w:rsidR="00767700">
        <w:t>come</w:t>
      </w:r>
      <w:r w:rsidRPr="00F01DBB">
        <w:t xml:space="preserve"> less than a mission’s cumulative risk goal value of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oMath>
      <w:r w:rsidRPr="00F01DBB">
        <w:t xml:space="preserve">.  </w:t>
      </w:r>
      <w:r w:rsidR="002232B1">
        <w:t>D</w:t>
      </w:r>
      <w:r w:rsidR="00767700">
        <w:t xml:space="preserve">uring such short </w:t>
      </w:r>
      <w:r>
        <w:t>missions no remediation may be required at all</w:t>
      </w:r>
      <w:r w:rsidR="00767700">
        <w:t xml:space="preserve"> within the model</w:t>
      </w:r>
      <w:r>
        <w:t xml:space="preserve">.  </w:t>
      </w:r>
      <w:r w:rsidR="00647F22">
        <w:t xml:space="preserve">As can be seen in Figure </w:t>
      </w:r>
      <w:r w:rsidR="00D911FF">
        <w:t>3</w:t>
      </w:r>
      <w:r w:rsidR="00647F22">
        <w:t xml:space="preserve">, </w:t>
      </w:r>
      <w:r w:rsidR="00D911FF">
        <w:t xml:space="preserve">for a cumulative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D911FF">
        <w:t xml:space="preserve"> goal value of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D911FF">
        <w:t xml:space="preserve">, </w:t>
      </w:r>
      <w:r w:rsidR="00647F22">
        <w:t>t</w:t>
      </w:r>
      <w:r>
        <w:t>his</w:t>
      </w:r>
      <w:r w:rsidR="00E36725">
        <w:t xml:space="preserve"> short-duration limit </w:t>
      </w:r>
      <w:r>
        <w:t>occurs</w:t>
      </w:r>
      <w:r w:rsidR="005426B9">
        <w:t xml:space="preserve"> </w:t>
      </w:r>
      <w:r w:rsidR="00E36725">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 xml:space="preserve">≤2.3 </m:t>
        </m:r>
        <m:r>
          <m:rPr>
            <m:sty m:val="p"/>
          </m:rPr>
          <w:rPr>
            <w:rFonts w:ascii="Cambria Math" w:hAnsi="Cambria Math"/>
          </w:rPr>
          <m:t>years</m:t>
        </m:r>
      </m:oMath>
      <w:r>
        <w:t xml:space="preserve"> </w:t>
      </w:r>
      <w:r w:rsidR="00D911FF">
        <w:t xml:space="preserve">for the median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oMath>
      <w:r w:rsidR="00D911FF" w:rsidRPr="00F01DBB">
        <w:t xml:space="preserve"> </w:t>
      </w:r>
      <w:r w:rsidR="00D911FF">
        <w:t xml:space="preserve">values estimated </w:t>
      </w:r>
      <w:r w:rsidR="00170890">
        <w:t xml:space="preserve">in this </w:t>
      </w:r>
      <w:r w:rsidR="00D911FF">
        <w:t>example</w:t>
      </w:r>
      <w:r w:rsidR="002232B1">
        <w:t>.</w:t>
      </w:r>
    </w:p>
    <w:p w14:paraId="26D27B75" w14:textId="516FE921" w:rsidR="005F1BCE" w:rsidRPr="001B0783" w:rsidRDefault="00044889" w:rsidP="00B320FC">
      <w:r>
        <w:t>Al</w:t>
      </w:r>
      <w:r w:rsidR="00F07816" w:rsidRPr="001B0783">
        <w:t>though it provides rough estimates, t</w:t>
      </w:r>
      <w:r w:rsidR="005F1BCE" w:rsidRPr="001B0783">
        <w:t>h</w:t>
      </w:r>
      <w:r w:rsidR="00F07816" w:rsidRPr="001B0783">
        <w:t>is</w:t>
      </w:r>
      <w:r w:rsidR="005F1BCE" w:rsidRPr="001B0783">
        <w:t xml:space="preserve"> generalized </w:t>
      </w:r>
      <w:r w:rsidR="00AA0ED9">
        <w:t xml:space="preserve">semi-empirical </w:t>
      </w:r>
      <w:r w:rsidR="005F1BCE" w:rsidRPr="001B0783">
        <w:t xml:space="preserve">model </w:t>
      </w:r>
      <w:r w:rsidR="007435AD" w:rsidRPr="001B0783">
        <w:t>enabl</w:t>
      </w:r>
      <w:r w:rsidR="00CE7E35" w:rsidRPr="001B0783">
        <w:t>es</w:t>
      </w:r>
      <w:r w:rsidR="007435AD" w:rsidRPr="001B0783">
        <w:t xml:space="preserve"> sensitivity analyses</w:t>
      </w:r>
      <w:r w:rsidR="00D70899" w:rsidRPr="001B0783">
        <w:t xml:space="preserve"> </w:t>
      </w:r>
      <w:r w:rsidR="00B86192">
        <w:t>that</w:t>
      </w:r>
      <w:r w:rsidR="00D70899" w:rsidRPr="001B0783">
        <w:t xml:space="preserve"> could aid pre-</w:t>
      </w:r>
      <w:r w:rsidR="00AA0ED9">
        <w:t xml:space="preserve">launch </w:t>
      </w:r>
      <w:r w:rsidR="008143E7" w:rsidRPr="001B0783">
        <w:t>mission</w:t>
      </w:r>
      <w:r w:rsidR="007D3D5D" w:rsidRPr="001B0783">
        <w:t xml:space="preserve"> </w:t>
      </w:r>
      <w:r w:rsidR="008143E7" w:rsidRPr="001B0783">
        <w:t>risk assessment</w:t>
      </w:r>
      <w:r w:rsidR="007D3D5D" w:rsidRPr="001B0783">
        <w:t>s</w:t>
      </w:r>
      <w:r w:rsidR="005F1BCE" w:rsidRPr="001B0783">
        <w:t xml:space="preserve">.  </w:t>
      </w:r>
      <w:r w:rsidR="00CE7E35" w:rsidRPr="001B0783">
        <w:t xml:space="preserve">For instance, </w:t>
      </w:r>
      <w:r w:rsidR="005378F3" w:rsidRPr="001B0783">
        <w:t>Figure</w:t>
      </w:r>
      <w:r w:rsidR="00170890">
        <w:t xml:space="preserve"> 3</w:t>
      </w:r>
      <w:r w:rsidR="005378F3" w:rsidRPr="001B0783">
        <w:t xml:space="preserve"> </w:t>
      </w:r>
      <w:r w:rsidR="00003529" w:rsidRPr="001B0783">
        <w:t xml:space="preserve">indicates that a mission </w:t>
      </w:r>
      <w:r w:rsidR="001D2384" w:rsidRPr="001B0783">
        <w:t xml:space="preserve">planning to </w:t>
      </w:r>
      <w:r w:rsidR="00003529" w:rsidRPr="001B0783">
        <w:t xml:space="preserve">launch into HST’s </w:t>
      </w:r>
      <w:r>
        <w:t>orbital regime</w:t>
      </w:r>
      <w:r w:rsidRPr="001B0783">
        <w:t xml:space="preserve"> </w:t>
      </w:r>
      <w:r w:rsidR="00003529" w:rsidRPr="001B0783">
        <w:t>with a 5-year on-orbit duration</w:t>
      </w:r>
      <w:r w:rsidR="006647F7">
        <w:t xml:space="preserve"> and a 10 m HBR</w:t>
      </w:r>
      <w:r w:rsidR="00003529" w:rsidRPr="001B0783">
        <w:t xml:space="preserve"> </w:t>
      </w:r>
      <w:r>
        <w:t>w</w:t>
      </w:r>
      <w:r w:rsidRPr="001B0783">
        <w:t xml:space="preserve">ould </w:t>
      </w:r>
      <w:r w:rsidR="00003529" w:rsidRPr="001B0783">
        <w:t xml:space="preserve">expect to accumulate a collision risk of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003529" w:rsidRPr="001B0783">
        <w:t xml:space="preserve"> with a 95% range </w:t>
      </w:r>
      <w:r w:rsidR="001D2384" w:rsidRPr="001B0783">
        <w:t>spanning</w:t>
      </w:r>
      <w:r w:rsidR="00003529" w:rsidRPr="001B0783">
        <w:t xml:space="preserve"> (</w:t>
      </w:r>
      <m:oMath>
        <m:r>
          <w:rPr>
            <w:rFonts w:ascii="Cambria Math" w:hAnsi="Cambria Math"/>
          </w:rPr>
          <m:t>1.0-8.5)×</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F07816" w:rsidRPr="001B0783">
        <w:t>, if no RMMs were performed.</w:t>
      </w:r>
      <w:r w:rsidR="00003529" w:rsidRPr="001B0783">
        <w:t xml:space="preserve"> </w:t>
      </w:r>
      <w:r w:rsidR="0077561C">
        <w:t xml:space="preserve"> </w:t>
      </w:r>
      <w:r w:rsidR="0045015B">
        <w:t>For this example, t</w:t>
      </w:r>
      <w:r w:rsidR="006647F7">
        <w:t>he model indicates that</w:t>
      </w:r>
      <w:r w:rsidR="0045015B">
        <w:t xml:space="preserve"> </w:t>
      </w:r>
      <w:r w:rsidR="006647F7">
        <w:t>r</w:t>
      </w:r>
      <w:r w:rsidR="001D2384" w:rsidRPr="001B0783">
        <w:t xml:space="preserve">educing the HBR </w:t>
      </w:r>
      <w:r w:rsidR="006647F7">
        <w:t xml:space="preserve">by half </w:t>
      </w:r>
      <w:r w:rsidR="001D2384" w:rsidRPr="001B0783">
        <w:t>to</w:t>
      </w:r>
      <w:r w:rsidR="006647F7">
        <w:t xml:space="preserve"> 5 m</w:t>
      </w:r>
      <w:r w:rsidR="001D2384" w:rsidRPr="001B0783">
        <w:t xml:space="preserve"> decreases these cumulative probabilit</w:t>
      </w:r>
      <w:r w:rsidR="006647F7">
        <w:t>ies</w:t>
      </w:r>
      <w:r w:rsidR="001D2384" w:rsidRPr="001B0783">
        <w:t xml:space="preserve"> by a factor of </w:t>
      </w:r>
      <w:r w:rsidR="0045015B">
        <w:t>~4.  More broadly, the model indicates that</w:t>
      </w:r>
      <w:r w:rsidR="00CC76C1">
        <w:t>,</w:t>
      </w:r>
      <w:r w:rsidR="0045015B">
        <w:t xml:space="preserve"> for typical</w:t>
      </w:r>
      <w:r w:rsidR="005865C9">
        <w:t xml:space="preserve"> satellite</w:t>
      </w:r>
      <w:r w:rsidR="0045015B">
        <w:t xml:space="preserve"> </w:t>
      </w:r>
      <w:r w:rsidR="005865C9">
        <w:t>HBR values</w:t>
      </w:r>
      <w:r w:rsidR="0045015B">
        <w:t xml:space="preserve">, </w:t>
      </w:r>
      <w:r w:rsidR="005865C9">
        <w:t xml:space="preserve">cumulative collision probabilities </w:t>
      </w:r>
      <w:r w:rsidR="0045015B">
        <w:t xml:space="preserve">scale </w:t>
      </w:r>
      <w:r w:rsidR="00D911FF">
        <w:t xml:space="preserve">very nearly </w:t>
      </w:r>
      <w:r w:rsidR="0045015B">
        <w:t>in proportion to</w:t>
      </w:r>
      <w:r w:rsidR="005865C9">
        <w:t xml:space="preserve"> the hard-body sphere’s projected area (i.e.,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w:r w:rsidR="005865C9">
        <w:t xml:space="preserve">), as do the individual conjunction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865C9">
        <w:t xml:space="preserve"> values.</w:t>
      </w:r>
      <w:r w:rsidR="0045015B">
        <w:t xml:space="preserve"> </w:t>
      </w:r>
      <w:r w:rsidR="005378F3" w:rsidRPr="001B0783">
        <w:t xml:space="preserve">These examples show how </w:t>
      </w:r>
      <w:r w:rsidR="009F42BB" w:rsidRPr="001B0783">
        <w:t xml:space="preserve">prospective </w:t>
      </w:r>
      <w:r w:rsidR="005378F3" w:rsidRPr="001B0783">
        <w:t>mission</w:t>
      </w:r>
      <w:r w:rsidR="009F42BB" w:rsidRPr="001B0783">
        <w:t>s</w:t>
      </w:r>
      <w:r w:rsidR="005378F3" w:rsidRPr="001B0783">
        <w:t xml:space="preserve"> can gauge cumulative </w:t>
      </w:r>
      <w:r w:rsidR="00AD44D8" w:rsidRPr="001B0783">
        <w:t xml:space="preserve">collision </w:t>
      </w:r>
      <w:r w:rsidR="005378F3" w:rsidRPr="001B0783">
        <w:t>risk</w:t>
      </w:r>
      <w:r w:rsidR="00AD44D8" w:rsidRPr="001B0783">
        <w:t xml:space="preserve"> </w:t>
      </w:r>
      <w:r w:rsidR="001D2384" w:rsidRPr="001B0783">
        <w:t xml:space="preserve">over a trade-space of </w:t>
      </w:r>
      <w:r w:rsidR="00651FB8">
        <w:t>satellite and mission</w:t>
      </w:r>
      <w:r w:rsidR="00AD44D8" w:rsidRPr="001B0783">
        <w:t xml:space="preserve"> parameters</w:t>
      </w:r>
      <w:r w:rsidR="001D2384" w:rsidRPr="001B0783">
        <w:t>.</w:t>
      </w:r>
    </w:p>
    <w:p w14:paraId="0F667CF4" w14:textId="26F131F2" w:rsidR="00841173" w:rsidRDefault="00841173" w:rsidP="00841173">
      <w:pPr>
        <w:pStyle w:val="Sub-Section"/>
      </w:pPr>
      <w:r>
        <w:t>Cumulative Collision Probabilit</w:t>
      </w:r>
      <w:r w:rsidR="00BD0001">
        <w:t>y Model</w:t>
      </w:r>
      <w:r>
        <w:t xml:space="preserve"> with Risk Remediation</w:t>
      </w:r>
    </w:p>
    <w:p w14:paraId="0599BD43" w14:textId="4544D60D" w:rsidR="005D03F5" w:rsidRDefault="008A5E64" w:rsidP="005D03F5">
      <w:pPr>
        <w:rPr>
          <w:szCs w:val="22"/>
        </w:rPr>
      </w:pPr>
      <w:r>
        <w:rPr>
          <w:szCs w:val="22"/>
        </w:rPr>
        <w:t>T</w:t>
      </w:r>
      <w:r w:rsidR="0099611E">
        <w:rPr>
          <w:szCs w:val="22"/>
        </w:rPr>
        <w:t xml:space="preserve">he previous sections calculated cumulative collision probabilities </w:t>
      </w:r>
      <w:r w:rsidR="00CF6958">
        <w:rPr>
          <w:szCs w:val="22"/>
        </w:rPr>
        <w:t xml:space="preserve">based on the </w:t>
      </w:r>
      <w:r w:rsidR="0099611E">
        <w:rPr>
          <w:szCs w:val="22"/>
        </w:rPr>
        <w:t>assum</w:t>
      </w:r>
      <w:r w:rsidR="00CF6958">
        <w:rPr>
          <w:szCs w:val="22"/>
        </w:rPr>
        <w:t>ption that</w:t>
      </w:r>
      <w:r w:rsidR="0099611E">
        <w:rPr>
          <w:szCs w:val="22"/>
        </w:rPr>
        <w:t xml:space="preserve"> </w:t>
      </w:r>
      <w:r w:rsidR="00CF6958">
        <w:rPr>
          <w:szCs w:val="22"/>
        </w:rPr>
        <w:t xml:space="preserve">the model mission performs </w:t>
      </w:r>
      <w:r w:rsidR="0099611E">
        <w:rPr>
          <w:szCs w:val="22"/>
        </w:rPr>
        <w:t xml:space="preserve">no </w:t>
      </w:r>
      <w:r>
        <w:rPr>
          <w:szCs w:val="22"/>
        </w:rPr>
        <w:t>risk mitigation maneuvers</w:t>
      </w:r>
      <w:r w:rsidR="0099611E">
        <w:rPr>
          <w:szCs w:val="22"/>
        </w:rPr>
        <w:t xml:space="preserve"> </w:t>
      </w:r>
      <w:r w:rsidR="00CF6958">
        <w:rPr>
          <w:szCs w:val="22"/>
        </w:rPr>
        <w:t xml:space="preserve">(i.e., for </w:t>
      </w:r>
      <w:r>
        <w:rPr>
          <w:szCs w:val="22"/>
        </w:rPr>
        <w:t>a limiting</w:t>
      </w:r>
      <w:r w:rsidR="00CF6958">
        <w:rPr>
          <w:szCs w:val="22"/>
        </w:rPr>
        <w:t xml:space="preserve"> red threshold </w:t>
      </w:r>
      <w:r w:rsidR="006D463D">
        <w:rPr>
          <w:szCs w:val="22"/>
        </w:rPr>
        <w:t xml:space="preserve">of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r>
          <w:rPr>
            <w:rFonts w:ascii="Cambria Math" w:hAnsi="Cambria Math"/>
            <w:szCs w:val="22"/>
          </w:rPr>
          <m:t>→1</m:t>
        </m:r>
      </m:oMath>
      <w:r w:rsidR="00CF6958">
        <w:rPr>
          <w:szCs w:val="22"/>
        </w:rPr>
        <w:t xml:space="preserve">).  </w:t>
      </w:r>
      <w:r w:rsidR="005D03F5">
        <w:rPr>
          <w:szCs w:val="22"/>
        </w:rPr>
        <w:t xml:space="preserve">The effect of </w:t>
      </w:r>
      <w:r w:rsidR="00D6211D">
        <w:rPr>
          <w:szCs w:val="22"/>
        </w:rPr>
        <w:t xml:space="preserve">remediating collision risk by </w:t>
      </w:r>
      <w:r w:rsidR="005D03F5">
        <w:rPr>
          <w:szCs w:val="22"/>
        </w:rPr>
        <w:t xml:space="preserve">performing </w:t>
      </w:r>
      <w:r w:rsidR="006D463D">
        <w:rPr>
          <w:szCs w:val="22"/>
        </w:rPr>
        <w:t>RMMs</w:t>
      </w:r>
      <w:r w:rsidR="005D03F5">
        <w:rPr>
          <w:szCs w:val="22"/>
        </w:rPr>
        <w:t xml:space="preserve"> can be incorporated into the semi-empirical </w:t>
      </w:r>
      <w:r w:rsidR="00DC710A">
        <w:rPr>
          <w:szCs w:val="22"/>
        </w:rPr>
        <w:t>model</w:t>
      </w:r>
      <w:r w:rsidR="005D03F5">
        <w:rPr>
          <w:szCs w:val="22"/>
        </w:rPr>
        <w:t xml:space="preserve"> by modifying eq. (</w:t>
      </w:r>
      <w:r w:rsidR="008663D3">
        <w:rPr>
          <w:szCs w:val="22"/>
        </w:rPr>
        <w:t>6</w:t>
      </w:r>
      <w:r w:rsidR="005D03F5">
        <w:rPr>
          <w:szCs w:val="22"/>
        </w:rPr>
        <w:t>)</w:t>
      </w:r>
      <w:r w:rsidR="00FD2757">
        <w:rPr>
          <w:szCs w:val="22"/>
        </w:rPr>
        <w:t xml:space="preserve"> to express the remediated cumulative probability</w:t>
      </w:r>
    </w:p>
    <w:p w14:paraId="0FB5B0E8" w14:textId="61BA0CF3" w:rsidR="005D03F5" w:rsidRPr="001F4E6B" w:rsidRDefault="0083235C" w:rsidP="005D03F5">
      <w:pPr>
        <w:jc w:val="right"/>
        <w:rPr>
          <w:bCs/>
          <w:iCs/>
        </w:rPr>
      </w:pP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rem</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cum</m:t>
            </m:r>
          </m:sub>
        </m:sSub>
        <m:r>
          <w:rPr>
            <w:rFonts w:ascii="Cambria Math" w:hAnsi="Cambria Math"/>
          </w:rPr>
          <m:t>(</m:t>
        </m:r>
        <m:sSub>
          <m:sSubPr>
            <m:ctrlPr>
              <w:rPr>
                <w:rFonts w:ascii="Cambria Math" w:hAnsi="Cambria Math"/>
                <w:i/>
              </w:rPr>
            </m:ctrlPr>
          </m:sSubPr>
          <m:e>
            <m:r>
              <m:rPr>
                <m:scr m:val="script"/>
                <m:sty m:val="bi"/>
              </m:rPr>
              <w:rPr>
                <w:rFonts w:ascii="Cambria Math" w:hAnsi="Cambria Math"/>
              </w:rPr>
              <m:t>P</m:t>
            </m:r>
          </m:e>
          <m:sub>
            <m:r>
              <w:rPr>
                <w:rFonts w:ascii="Cambria Math" w:hAnsi="Cambria Math"/>
              </w:rPr>
              <m:t>rem</m:t>
            </m:r>
          </m:sub>
        </m:sSub>
        <m:r>
          <w:rPr>
            <w:rFonts w:ascii="Cambria Math" w:hAnsi="Cambria Math"/>
          </w:rPr>
          <m:t>)=1-</m:t>
        </m:r>
        <m:nary>
          <m:naryPr>
            <m:chr m:val="∏"/>
            <m:limLoc m:val="undOvr"/>
            <m:ctrlPr>
              <w:rPr>
                <w:rFonts w:ascii="Cambria Math" w:hAnsi="Cambria Math"/>
                <w:bCs/>
                <w:i/>
                <w:iCs/>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mod</m:t>
                </m:r>
              </m:sub>
            </m:sSub>
          </m:sup>
          <m:e>
            <m:d>
              <m:dPr>
                <m:begChr m:val="["/>
                <m:endChr m:val="]"/>
                <m:ctrlPr>
                  <w:rPr>
                    <w:rFonts w:ascii="Cambria Math" w:hAnsi="Cambria Math"/>
                    <w:bCs/>
                    <w:i/>
                    <w:iCs/>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c,i</m:t>
                    </m:r>
                  </m:sub>
                  <m:sup>
                    <m:r>
                      <w:rPr>
                        <w:rFonts w:ascii="Cambria Math" w:hAnsi="Cambria Math"/>
                      </w:rPr>
                      <m:t>rem</m:t>
                    </m:r>
                  </m:sup>
                </m:sSubSup>
              </m:e>
            </m:d>
          </m:e>
        </m:nary>
      </m:oMath>
      <w:r w:rsidR="005D03F5">
        <w:rPr>
          <w:bCs/>
          <w:iCs/>
        </w:rPr>
        <w:t xml:space="preserve">              </w:t>
      </w:r>
      <w:r w:rsidR="00712E16">
        <w:rPr>
          <w:bCs/>
          <w:iCs/>
        </w:rPr>
        <w:t xml:space="preserve">       </w:t>
      </w:r>
      <w:r w:rsidR="005D03F5">
        <w:rPr>
          <w:bCs/>
          <w:iCs/>
        </w:rPr>
        <w:t xml:space="preserve"> </w:t>
      </w:r>
      <w:r w:rsidR="00D6211D">
        <w:rPr>
          <w:bCs/>
          <w:iCs/>
        </w:rPr>
        <w:t xml:space="preserve">   </w:t>
      </w:r>
      <w:r w:rsidR="005D03F5">
        <w:rPr>
          <w:bCs/>
          <w:iCs/>
        </w:rPr>
        <w:t xml:space="preserve"> </w:t>
      </w:r>
      <w:r w:rsidR="00712E16">
        <w:rPr>
          <w:bCs/>
          <w:iCs/>
        </w:rPr>
        <w:t xml:space="preserve">   </w:t>
      </w:r>
      <w:r w:rsidR="005D03F5">
        <w:rPr>
          <w:bCs/>
          <w:iCs/>
        </w:rPr>
        <w:t xml:space="preserve">         (</w:t>
      </w:r>
      <w:r w:rsidR="00373C2D">
        <w:rPr>
          <w:bCs/>
          <w:iCs/>
        </w:rPr>
        <w:t>10</w:t>
      </w:r>
      <w:r w:rsidR="005D03F5">
        <w:rPr>
          <w:bCs/>
          <w:iCs/>
        </w:rPr>
        <w:t>)</w:t>
      </w:r>
    </w:p>
    <w:p w14:paraId="0DD717B8" w14:textId="4EBF6C4F" w:rsidR="005D03F5" w:rsidRDefault="00712E16" w:rsidP="005D03F5">
      <w:r>
        <w:t>where the remediated collision probability for</w:t>
      </w:r>
      <w:r w:rsidR="00DA3CD9">
        <w:t xml:space="preserve"> </w:t>
      </w:r>
      <w:r w:rsidR="007C5352">
        <w:t xml:space="preserve">the </w:t>
      </w:r>
      <w:proofErr w:type="spellStart"/>
      <w:r w:rsidR="007C5352" w:rsidRPr="00311EDC">
        <w:rPr>
          <w:i/>
        </w:rPr>
        <w:t>i</w:t>
      </w:r>
      <w:r w:rsidR="007C5352" w:rsidRPr="00311EDC">
        <w:rPr>
          <w:vertAlign w:val="superscript"/>
        </w:rPr>
        <w:t>th</w:t>
      </w:r>
      <w:proofErr w:type="spellEnd"/>
      <w:r w:rsidR="007C5352">
        <w:t xml:space="preserve"> </w:t>
      </w:r>
      <w:r w:rsidR="00C575BC">
        <w:t xml:space="preserve">model </w:t>
      </w:r>
      <w:r w:rsidR="007C5352">
        <w:t>conjunction</w:t>
      </w:r>
      <w:r>
        <w:t xml:space="preserve"> is</w:t>
      </w:r>
    </w:p>
    <w:p w14:paraId="3B718D4D" w14:textId="66351350" w:rsidR="0037279B" w:rsidRPr="001F4E6B" w:rsidRDefault="0083235C" w:rsidP="0037279B">
      <w:pPr>
        <w:jc w:val="right"/>
        <w:rPr>
          <w:bCs/>
          <w:iCs/>
        </w:rPr>
      </w:pPr>
      <m:oMath>
        <m:sSubSup>
          <m:sSubSupPr>
            <m:ctrlPr>
              <w:rPr>
                <w:rFonts w:ascii="Cambria Math" w:hAnsi="Cambria Math"/>
                <w:i/>
              </w:rPr>
            </m:ctrlPr>
          </m:sSubSupPr>
          <m:e>
            <m:r>
              <w:rPr>
                <w:rFonts w:ascii="Cambria Math" w:hAnsi="Cambria Math"/>
              </w:rPr>
              <m:t>P</m:t>
            </m:r>
          </m:e>
          <m:sub>
            <m:r>
              <w:rPr>
                <w:rFonts w:ascii="Cambria Math" w:hAnsi="Cambria Math"/>
              </w:rPr>
              <m:t>c,i</m:t>
            </m:r>
          </m:sub>
          <m:sup>
            <m:r>
              <w:rPr>
                <w:rFonts w:ascii="Cambria Math" w:hAnsi="Cambria Math"/>
              </w:rPr>
              <m:t>rem</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c,i</m:t>
                      </m:r>
                    </m:sub>
                  </m:sSub>
                </m:e>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 xml:space="preserve"> </m:t>
                  </m:r>
                  <m:r>
                    <m:rPr>
                      <m:sty m:val="p"/>
                    </m:rPr>
                    <w:rPr>
                      <w:rFonts w:ascii="Cambria Math" w:hAnsi="Cambria Math"/>
                    </w:rPr>
                    <m:t>(no RMM required)</m:t>
                  </m:r>
                  <m:r>
                    <w:rPr>
                      <w:rFonts w:ascii="Cambria Math" w:hAnsi="Cambria Math"/>
                    </w:rPr>
                    <m:t xml:space="preserve">                 </m:t>
                  </m:r>
                </m:e>
              </m:mr>
              <m:mr>
                <m:e>
                  <m:sSub>
                    <m:sSubPr>
                      <m:ctrlPr>
                        <w:rPr>
                          <w:rFonts w:ascii="Cambria Math" w:hAnsi="Cambria Math"/>
                          <w:i/>
                        </w:rPr>
                      </m:ctrlPr>
                    </m:sSubPr>
                    <m:e>
                      <m:r>
                        <w:rPr>
                          <w:rFonts w:ascii="Cambria Math" w:hAnsi="Cambria Math"/>
                        </w:rPr>
                        <m:t>ρ</m:t>
                      </m:r>
                    </m:e>
                    <m:sub>
                      <m:r>
                        <w:rPr>
                          <w:rFonts w:ascii="Cambria Math" w:hAnsi="Cambria Math"/>
                        </w:rPr>
                        <m:t xml:space="preserve">r </m:t>
                      </m:r>
                    </m:sub>
                  </m:sSub>
                  <m:sSub>
                    <m:sSubPr>
                      <m:ctrlPr>
                        <w:rPr>
                          <w:rFonts w:ascii="Cambria Math" w:hAnsi="Cambria Math"/>
                          <w:i/>
                        </w:rPr>
                      </m:ctrlPr>
                    </m:sSubPr>
                    <m:e>
                      <m:r>
                        <w:rPr>
                          <w:rFonts w:ascii="Cambria Math" w:hAnsi="Cambria Math"/>
                        </w:rPr>
                        <m:t>P</m:t>
                      </m:r>
                    </m:e>
                    <m:sub>
                      <m:r>
                        <w:rPr>
                          <w:rFonts w:ascii="Cambria Math" w:hAnsi="Cambria Math"/>
                        </w:rPr>
                        <m:t>c,i</m:t>
                      </m:r>
                    </m:sub>
                  </m:sSub>
                </m:e>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 xml:space="preserve"> </m:t>
                  </m:r>
                  <m:r>
                    <m:rPr>
                      <m:sty m:val="p"/>
                    </m:rPr>
                    <w:rPr>
                      <w:rFonts w:ascii="Cambria Math" w:hAnsi="Cambria Math"/>
                    </w:rPr>
                    <m:t xml:space="preserve">and rotational RMM type      </m:t>
                  </m:r>
                </m:e>
              </m:mr>
              <m:mr>
                <m:e>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 xml:space="preserve">t </m:t>
                          </m:r>
                        </m:sub>
                      </m:sSub>
                      <m:r>
                        <w:rPr>
                          <w:rFonts w:ascii="Cambria Math" w:hAnsi="Cambria Math"/>
                        </w:rPr>
                        <m:t>P</m:t>
                      </m:r>
                    </m:e>
                    <m:sub>
                      <m:r>
                        <w:rPr>
                          <w:rFonts w:ascii="Cambria Math" w:hAnsi="Cambria Math"/>
                        </w:rPr>
                        <m:t>RMM</m:t>
                      </m:r>
                    </m:sub>
                  </m:sSub>
                </m:e>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 xml:space="preserve"> </m:t>
                  </m:r>
                  <m:r>
                    <m:rPr>
                      <m:sty m:val="p"/>
                    </m:rPr>
                    <w:rPr>
                      <w:rFonts w:ascii="Cambria Math" w:hAnsi="Cambria Math"/>
                    </w:rPr>
                    <m:t>and translational RMM type</m:t>
                  </m:r>
                </m:e>
              </m:mr>
            </m:m>
          </m:e>
        </m:d>
      </m:oMath>
      <w:r w:rsidR="0037279B">
        <w:rPr>
          <w:bCs/>
          <w:iCs/>
        </w:rPr>
        <w:t xml:space="preserve">          </w:t>
      </w:r>
      <w:r w:rsidR="00F559CD">
        <w:rPr>
          <w:bCs/>
          <w:iCs/>
        </w:rPr>
        <w:t xml:space="preserve"> </w:t>
      </w:r>
      <w:r w:rsidR="0037279B">
        <w:rPr>
          <w:bCs/>
          <w:iCs/>
        </w:rPr>
        <w:t xml:space="preserve"> </w:t>
      </w:r>
      <w:r w:rsidR="009D177B">
        <w:rPr>
          <w:bCs/>
          <w:iCs/>
        </w:rPr>
        <w:t xml:space="preserve">  </w:t>
      </w:r>
      <w:r w:rsidR="0037279B">
        <w:rPr>
          <w:bCs/>
          <w:iCs/>
        </w:rPr>
        <w:t xml:space="preserve">      (</w:t>
      </w:r>
      <w:r w:rsidR="008663D3">
        <w:rPr>
          <w:bCs/>
          <w:iCs/>
        </w:rPr>
        <w:t>1</w:t>
      </w:r>
      <w:r w:rsidR="00373C2D">
        <w:rPr>
          <w:bCs/>
          <w:iCs/>
        </w:rPr>
        <w:t>1</w:t>
      </w:r>
      <w:r w:rsidR="0037279B">
        <w:rPr>
          <w:bCs/>
          <w:iCs/>
        </w:rPr>
        <w:t>)</w:t>
      </w:r>
    </w:p>
    <w:p w14:paraId="7F44132D" w14:textId="4CA022EB" w:rsidR="00712E16" w:rsidRDefault="00DC710A" w:rsidP="008A5E64">
      <w:pPr>
        <w:rPr>
          <w:szCs w:val="22"/>
        </w:rPr>
      </w:pPr>
      <w:r>
        <w:lastRenderedPageBreak/>
        <w:t xml:space="preserve">and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rem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c,i</m:t>
            </m:r>
          </m:sub>
          <m:sup>
            <m:r>
              <w:rPr>
                <w:rFonts w:ascii="Cambria Math" w:hAnsi="Cambria Math"/>
              </w:rPr>
              <m:t>rem</m:t>
            </m:r>
          </m:sup>
        </m:sSubSup>
        <m:r>
          <w:rPr>
            <w:rFonts w:ascii="Cambria Math" w:hAnsi="Cambria Math"/>
          </w:rPr>
          <m:t>}</m:t>
        </m:r>
      </m:oMath>
      <w:r>
        <w:t xml:space="preserve"> represents the entire set</w:t>
      </w:r>
      <w:r w:rsidR="008E38B1">
        <w:t xml:space="preserve"> </w:t>
      </w:r>
      <w:r w:rsidR="00B57644">
        <w:t xml:space="preserve">comprising </w:t>
      </w:r>
      <m:oMath>
        <m:sSub>
          <m:sSubPr>
            <m:ctrlPr>
              <w:rPr>
                <w:rFonts w:ascii="Cambria Math" w:hAnsi="Cambria Math"/>
                <w:i/>
              </w:rPr>
            </m:ctrlPr>
          </m:sSubPr>
          <m:e>
            <m:r>
              <w:rPr>
                <w:rFonts w:ascii="Cambria Math" w:hAnsi="Cambria Math"/>
              </w:rPr>
              <m:t>N</m:t>
            </m:r>
          </m:e>
          <m:sub>
            <m:r>
              <w:rPr>
                <w:rFonts w:ascii="Cambria Math" w:hAnsi="Cambria Math"/>
              </w:rPr>
              <m:t>mod</m:t>
            </m:r>
          </m:sub>
        </m:sSub>
      </m:oMath>
      <w:r w:rsidR="008E38B1">
        <w:t xml:space="preserve"> probabilities</w:t>
      </w:r>
      <w:r>
        <w:t xml:space="preserve">.  </w:t>
      </w:r>
      <w:r w:rsidR="00CF6958">
        <w:t>As mentioned previously</w:t>
      </w:r>
      <w:r>
        <w:t>,</w:t>
      </w:r>
      <w:r w:rsidR="00712E16">
        <w:t xml:space="preserve"> </w:t>
      </w:r>
      <m:oMath>
        <m:sSub>
          <m:sSubPr>
            <m:ctrlPr>
              <w:rPr>
                <w:rFonts w:ascii="Cambria Math" w:hAnsi="Cambria Math"/>
                <w:i/>
              </w:rPr>
            </m:ctrlPr>
          </m:sSubPr>
          <m:e>
            <m:r>
              <w:rPr>
                <w:rFonts w:ascii="Cambria Math" w:hAnsi="Cambria Math"/>
              </w:rPr>
              <m:t>P</m:t>
            </m:r>
          </m:e>
          <m:sub>
            <m:r>
              <w:rPr>
                <w:rFonts w:ascii="Cambria Math" w:hAnsi="Cambria Math"/>
              </w:rPr>
              <m:t>RMM</m:t>
            </m:r>
          </m:sub>
        </m:sSub>
      </m:oMath>
      <w:r w:rsidR="006D463D">
        <w:t xml:space="preserve"> denotes</w:t>
      </w:r>
      <w:r w:rsidR="00712E16">
        <w:t xml:space="preserve"> the </w:t>
      </w:r>
      <w:r w:rsidR="008F6BEE">
        <w:t xml:space="preserve">“red” </w:t>
      </w:r>
      <w:r w:rsidR="00712E16">
        <w:t>collision probability threshold</w:t>
      </w:r>
      <w:r w:rsidR="008A5E64">
        <w:t xml:space="preserve"> in eq. (11)</w:t>
      </w:r>
      <w:r w:rsidR="00CF6958">
        <w:t>.</w:t>
      </w:r>
      <w:r w:rsidR="00712E16">
        <w:t xml:space="preserve"> </w:t>
      </w:r>
      <w:r w:rsidR="008A5E64">
        <w:t xml:space="preserve"> The factors </w:t>
      </w:r>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 xml:space="preserve"> </m:t>
        </m:r>
      </m:oMath>
      <w:r w:rsidR="008A5E64">
        <w:t xml:space="preserve">and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8A5E64">
        <w:t xml:space="preserve"> represent </w:t>
      </w:r>
      <w:r w:rsidR="00A96DA2">
        <w:t>the</w:t>
      </w:r>
      <w:r w:rsidR="00712E16">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587C2A" w:rsidRPr="00445A2D">
        <w:rPr>
          <w:szCs w:val="22"/>
        </w:rPr>
        <w:t xml:space="preserve"> </w:t>
      </w:r>
      <w:r w:rsidR="00712E16">
        <w:t>reduction</w:t>
      </w:r>
      <w:r w:rsidR="00C575BC">
        <w:t xml:space="preserve"> level</w:t>
      </w:r>
      <w:r w:rsidR="008A5E64">
        <w:t>s</w:t>
      </w:r>
      <w:r w:rsidR="00712E16">
        <w:t xml:space="preserve"> </w:t>
      </w:r>
      <w:r w:rsidR="00897A40">
        <w:t xml:space="preserve">achieved by </w:t>
      </w:r>
      <w:r w:rsidR="008A5E64">
        <w:t xml:space="preserve">rotational and translational </w:t>
      </w:r>
      <w:r w:rsidR="00C72F60">
        <w:t>maneuver</w:t>
      </w:r>
      <w:r w:rsidR="005539A2">
        <w:t>s</w:t>
      </w:r>
      <w:r w:rsidR="008A5E64">
        <w:t>, respectively</w:t>
      </w:r>
      <w:r w:rsidR="00897A40">
        <w:t xml:space="preserve">.  </w:t>
      </w:r>
      <w:r w:rsidR="001B2432">
        <w:t>Eq. (</w:t>
      </w:r>
      <w:r w:rsidR="008663D3">
        <w:t>1</w:t>
      </w:r>
      <w:r w:rsidR="00373C2D">
        <w:t>1</w:t>
      </w:r>
      <w:r w:rsidR="001B2432">
        <w:t xml:space="preserve">) corresponds to a </w:t>
      </w:r>
      <w:r w:rsidR="005C1E6C">
        <w:t xml:space="preserve">risk </w:t>
      </w:r>
      <w:r w:rsidR="00596D4D">
        <w:t xml:space="preserve">remediation </w:t>
      </w:r>
      <w:r w:rsidR="001B2432">
        <w:t>policy of performing RMMs for all events with</w:t>
      </w:r>
      <w:r w:rsidR="006D463D">
        <w:t xml:space="preserve"> last-update</w:t>
      </w:r>
      <w:r w:rsidR="001B2432">
        <w:t xml:space="preserve"> collision probabilit</w:t>
      </w:r>
      <w:r w:rsidR="007C5352">
        <w:t>ies</w:t>
      </w:r>
      <w:r w:rsidR="001B2432">
        <w:t xml:space="preserve"> exceeding the </w:t>
      </w:r>
      <w:r w:rsidR="00C528A2">
        <w:t xml:space="preserve">red </w:t>
      </w:r>
      <w:r w:rsidR="009F7916">
        <w:t xml:space="preserve">threshold.  </w:t>
      </w:r>
      <w:r w:rsidR="00897A40">
        <w:t>Eq. (</w:t>
      </w:r>
      <w:r w:rsidR="008663D3">
        <w:t>1</w:t>
      </w:r>
      <w:r w:rsidR="00373C2D">
        <w:t>1</w:t>
      </w:r>
      <w:r w:rsidR="00897A40">
        <w:t xml:space="preserve">) </w:t>
      </w:r>
      <w:r w:rsidR="001B2432">
        <w:t xml:space="preserve">also </w:t>
      </w:r>
      <w:r w:rsidR="00897A40">
        <w:t xml:space="preserve">shows the </w:t>
      </w:r>
      <w:r w:rsidR="006D463D">
        <w:t xml:space="preserve">different </w:t>
      </w:r>
      <w:r w:rsidR="00897A40">
        <w:t>nature of th</w:t>
      </w:r>
      <w:r w:rsidR="001B2432">
        <w:t>e</w:t>
      </w:r>
      <w:r w:rsidR="006D463D">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c</m:t>
            </m:r>
          </m:sub>
        </m:sSub>
      </m:oMath>
      <w:r w:rsidR="006D463D" w:rsidRPr="00445A2D">
        <w:rPr>
          <w:szCs w:val="22"/>
        </w:rPr>
        <w:t xml:space="preserve"> </w:t>
      </w:r>
      <w:r w:rsidR="00897A40">
        <w:t xml:space="preserve">reduction </w:t>
      </w:r>
      <w:r w:rsidR="006D463D">
        <w:t>factors for</w:t>
      </w:r>
      <w:r w:rsidR="00897A40">
        <w:t xml:space="preserve"> translational and rotational RMM types.  Specifically, rotational maneuvers can </w:t>
      </w:r>
      <w:r w:rsidR="009D177B">
        <w:t xml:space="preserve">only </w:t>
      </w:r>
      <w:r w:rsidR="00897A40" w:rsidRPr="00445A2D">
        <w:rPr>
          <w:szCs w:val="22"/>
        </w:rPr>
        <w:t>reduce the</w:t>
      </w:r>
      <w:r w:rsidR="00311799">
        <w:rPr>
          <w:szCs w:val="22"/>
        </w:rPr>
        <w:t xml:space="preserve"> </w:t>
      </w:r>
      <w:r w:rsidR="00443022">
        <w:rPr>
          <w:szCs w:val="22"/>
        </w:rPr>
        <w:t>primary’s</w:t>
      </w:r>
      <w:r w:rsidR="00897A40" w:rsidRPr="00445A2D">
        <w:rPr>
          <w:szCs w:val="22"/>
        </w:rPr>
        <w:t xml:space="preserve"> area projected toward the incoming </w:t>
      </w:r>
      <w:r w:rsidR="00443022">
        <w:rPr>
          <w:szCs w:val="22"/>
        </w:rPr>
        <w:t>secondary</w:t>
      </w:r>
      <w:r w:rsidR="00897A40">
        <w:rPr>
          <w:szCs w:val="22"/>
        </w:rPr>
        <w:t xml:space="preserve">, </w:t>
      </w:r>
      <w:r w:rsidR="00443022">
        <w:rPr>
          <w:szCs w:val="22"/>
        </w:rPr>
        <w:t>thereby decreas</w:t>
      </w:r>
      <w:r w:rsidR="00311799">
        <w:rPr>
          <w:szCs w:val="22"/>
        </w:rPr>
        <w:t>ing</w:t>
      </w:r>
      <w:r w:rsidR="00897A40">
        <w:rPr>
          <w:szCs w:val="22"/>
        </w:rPr>
        <w:t xml:space="preserve"> </w:t>
      </w:r>
      <w:r w:rsidR="00C72F60">
        <w:rPr>
          <w:szCs w:val="22"/>
        </w:rPr>
        <w:t>the collision</w:t>
      </w:r>
      <w:r w:rsidR="00897A40">
        <w:rPr>
          <w:szCs w:val="22"/>
        </w:rPr>
        <w:t xml:space="preserve"> probability</w:t>
      </w:r>
      <w:r w:rsidR="00A47236">
        <w:rPr>
          <w:szCs w:val="22"/>
        </w:rPr>
        <w:t xml:space="preserve"> by a finite amount</w:t>
      </w:r>
      <w:r w:rsidR="00897A40">
        <w:rPr>
          <w:szCs w:val="22"/>
        </w:rPr>
        <w:t xml:space="preserve"> approximately</w:t>
      </w:r>
      <w:r w:rsidR="00311799">
        <w:rPr>
          <w:szCs w:val="22"/>
        </w:rPr>
        <w:t xml:space="preserve"> </w:t>
      </w:r>
      <w:r w:rsidR="00A47236">
        <w:rPr>
          <w:szCs w:val="22"/>
        </w:rPr>
        <w:t xml:space="preserve">equal to </w:t>
      </w:r>
      <w:r w:rsidR="00311799">
        <w:rPr>
          <w:szCs w:val="22"/>
        </w:rPr>
        <w:t>the ratio of areas</w:t>
      </w:r>
    </w:p>
    <w:p w14:paraId="3A637DB8" w14:textId="65BD22F0" w:rsidR="00897A40" w:rsidRPr="001F4E6B" w:rsidRDefault="0083235C" w:rsidP="00897A40">
      <w:pPr>
        <w:jc w:val="right"/>
        <w:rPr>
          <w:bCs/>
          <w:iCs/>
        </w:rPr>
      </w:pPr>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proj</m:t>
            </m:r>
          </m:sub>
        </m:sSub>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w:r w:rsidR="00897A40">
        <w:t xml:space="preserve">           </w:t>
      </w:r>
      <w:r w:rsidR="00897A40">
        <w:rPr>
          <w:bCs/>
          <w:iCs/>
        </w:rPr>
        <w:t xml:space="preserve">                                                (</w:t>
      </w:r>
      <w:r w:rsidR="008663D3">
        <w:rPr>
          <w:bCs/>
          <w:iCs/>
        </w:rPr>
        <w:t>1</w:t>
      </w:r>
      <w:r w:rsidR="00373C2D">
        <w:rPr>
          <w:bCs/>
          <w:iCs/>
        </w:rPr>
        <w:t>2</w:t>
      </w:r>
      <w:r w:rsidR="00897A40">
        <w:rPr>
          <w:bCs/>
          <w:iCs/>
        </w:rPr>
        <w:t>)</w:t>
      </w:r>
    </w:p>
    <w:p w14:paraId="5F9D4FC0" w14:textId="35281116" w:rsidR="0003791A" w:rsidRDefault="00311799" w:rsidP="005D03F5">
      <w:r>
        <w:t xml:space="preserve">where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t xml:space="preserve"> is the reduced projected </w:t>
      </w:r>
      <w:proofErr w:type="gramStart"/>
      <w:r>
        <w:t>area.</w:t>
      </w:r>
      <w:proofErr w:type="gramEnd"/>
      <w:r w:rsidR="00C72F60">
        <w:t xml:space="preserve">  </w:t>
      </w:r>
      <w:r w:rsidR="00A96DA2">
        <w:t xml:space="preserve">Translational maneuvers, on the other hand, have the capability to reduce </w:t>
      </w:r>
      <w:r w:rsidR="00A96DA2">
        <w:rPr>
          <w:szCs w:val="22"/>
        </w:rPr>
        <w:t xml:space="preserve">probabilities to </w:t>
      </w:r>
      <w:r w:rsidR="00F6301B">
        <w:rPr>
          <w:szCs w:val="22"/>
        </w:rPr>
        <w:t xml:space="preserve">very small </w:t>
      </w:r>
      <w:r w:rsidR="00A96DA2">
        <w:rPr>
          <w:szCs w:val="22"/>
        </w:rPr>
        <w:t>levels</w:t>
      </w:r>
      <w:r w:rsidR="00C72F60">
        <w:rPr>
          <w:szCs w:val="22"/>
        </w:rPr>
        <w:t xml:space="preserve"> (i.e.,</w:t>
      </w:r>
      <w:r w:rsidR="00447391">
        <w:rPr>
          <w:szCs w:val="22"/>
        </w:rPr>
        <w:t xml:space="preserve"> effectively</w:t>
      </w:r>
      <w:r w:rsidR="00C72F60">
        <w:rPr>
          <w:szCs w:val="22"/>
        </w:rPr>
        <w:t xml:space="preserve"> </w:t>
      </w:r>
      <w:r w:rsidR="009D177B">
        <w:rPr>
          <w:szCs w:val="22"/>
        </w:rPr>
        <w:t xml:space="preserve">to </w:t>
      </w:r>
      <w:r w:rsidR="00C72F60">
        <w:rPr>
          <w:szCs w:val="22"/>
        </w:rPr>
        <w:t>zero)</w:t>
      </w:r>
      <w:r w:rsidR="00A96DA2">
        <w:rPr>
          <w:szCs w:val="22"/>
        </w:rPr>
        <w:t xml:space="preserve">, depending on how early they are performed and how much </w:t>
      </w:r>
      <w:r w:rsidR="005B4C29">
        <w:rPr>
          <w:szCs w:val="22"/>
        </w:rPr>
        <w:t xml:space="preserve">change in velocity </w:t>
      </w:r>
      <w:r w:rsidR="00A96DA2">
        <w:rPr>
          <w:szCs w:val="22"/>
        </w:rPr>
        <w:t>is applied</w:t>
      </w:r>
      <w:r w:rsidR="00EC4550">
        <w:rPr>
          <w:szCs w:val="22"/>
        </w:rPr>
        <w:t>.</w:t>
      </w:r>
      <w:r w:rsidR="008F6BEE">
        <w:rPr>
          <w:szCs w:val="22"/>
        </w:rPr>
        <w:t xml:space="preserve">  For translational RMMs, </w:t>
      </w:r>
      <w:r w:rsidR="00CA290C">
        <w:rPr>
          <w:szCs w:val="22"/>
        </w:rPr>
        <w:t xml:space="preserve">the product </w:t>
      </w:r>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 xml:space="preserve">t </m:t>
                </m:r>
              </m:sub>
            </m:sSub>
            <m:r>
              <w:rPr>
                <w:rFonts w:ascii="Cambria Math" w:hAnsi="Cambria Math"/>
              </w:rPr>
              <m:t>P</m:t>
            </m:r>
          </m:e>
          <m:sub>
            <m:r>
              <w:rPr>
                <w:rFonts w:ascii="Cambria Math" w:hAnsi="Cambria Math"/>
              </w:rPr>
              <m:t>RMM</m:t>
            </m:r>
          </m:sub>
        </m:sSub>
      </m:oMath>
      <w:r w:rsidR="00CA290C">
        <w:t xml:space="preserve"> represents </w:t>
      </w:r>
      <w:r w:rsidR="008F6BEE">
        <w:rPr>
          <w:szCs w:val="22"/>
        </w:rPr>
        <w:t xml:space="preserve">the </w:t>
      </w:r>
      <w:r w:rsidR="007A580E">
        <w:rPr>
          <w:szCs w:val="22"/>
        </w:rPr>
        <w:t>blue</w:t>
      </w:r>
      <w:r w:rsidR="008F6BEE">
        <w:rPr>
          <w:szCs w:val="22"/>
        </w:rPr>
        <w:t xml:space="preserve"> </w:t>
      </w:r>
      <w:r w:rsidR="00CA290C">
        <w:rPr>
          <w:szCs w:val="22"/>
        </w:rPr>
        <w:t xml:space="preserve">remediation </w:t>
      </w:r>
      <w:r w:rsidR="008F6BEE">
        <w:rPr>
          <w:szCs w:val="22"/>
        </w:rPr>
        <w:t>threshold</w:t>
      </w:r>
      <w:r w:rsidR="00C528A2">
        <w:rPr>
          <w:szCs w:val="22"/>
        </w:rPr>
        <w:t xml:space="preserve"> </w:t>
      </w:r>
      <w:r w:rsidR="00C528A2">
        <w:t>in this analysis</w:t>
      </w:r>
      <w:r w:rsidR="008F6BEE">
        <w:t>.</w:t>
      </w:r>
      <w:r w:rsidR="009D177B">
        <w:t xml:space="preserve">  </w:t>
      </w:r>
      <w:r w:rsidR="00C528A2">
        <w:t>R</w:t>
      </w:r>
      <w:r w:rsidR="009D177B">
        <w:t xml:space="preserve">emediating to </w:t>
      </w:r>
      <w:r w:rsidR="00EE69B2">
        <w:t>an exceedingly small</w:t>
      </w:r>
      <w:r w:rsidR="007622BA">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EE69B2">
        <w:t xml:space="preserve"> </w:t>
      </w:r>
      <w:r w:rsidR="00B77716">
        <w:t xml:space="preserve">value </w:t>
      </w:r>
      <w:r w:rsidR="00F559CD">
        <w:t xml:space="preserve">such as </w:t>
      </w:r>
      <w:r w:rsidR="00F559CD">
        <w:sym w:font="Symbol" w:char="F0A3"/>
      </w:r>
      <w:r w:rsidR="00F559CD">
        <w:t>10</w:t>
      </w:r>
      <w:r w:rsidR="00F559CD" w:rsidRPr="00F559CD">
        <w:rPr>
          <w:vertAlign w:val="superscript"/>
        </w:rPr>
        <w:t>-6</w:t>
      </w:r>
      <w:r w:rsidR="00F559CD">
        <w:t xml:space="preserve"> </w:t>
      </w:r>
      <w:r w:rsidR="009D177B">
        <w:t>c</w:t>
      </w:r>
      <w:r w:rsidR="00B77716">
        <w:t>ould</w:t>
      </w:r>
      <w:r w:rsidR="009D177B">
        <w:t xml:space="preserve"> conceivably require prohibitively early or large maneuvers</w:t>
      </w:r>
      <w:r w:rsidR="00C528A2">
        <w:t xml:space="preserve">.  </w:t>
      </w:r>
      <w:r w:rsidR="00B57644">
        <w:t>However, a</w:t>
      </w:r>
      <w:r w:rsidR="00C528A2">
        <w:t>s discussed later,</w:t>
      </w:r>
      <w:r w:rsidR="009D177B">
        <w:t xml:space="preserve"> </w:t>
      </w:r>
      <w:r w:rsidR="00C528A2">
        <w:t>remediating</w:t>
      </w:r>
      <w:r w:rsidR="009D177B">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9D177B">
        <w:t xml:space="preserve"> to </w:t>
      </w:r>
      <w:r w:rsidR="00447391">
        <w:t xml:space="preserve">more </w:t>
      </w:r>
      <w:r w:rsidR="009D177B">
        <w:t xml:space="preserve">moderate </w:t>
      </w:r>
      <w:r w:rsidR="00B77716">
        <w:t xml:space="preserve">values </w:t>
      </w:r>
      <w:r w:rsidR="009D177B">
        <w:t>such as 0.03</w:t>
      </w:r>
      <w:r w:rsidR="00B77716">
        <w:t>-</w:t>
      </w:r>
      <w:r w:rsidR="009D177B">
        <w:t>0.1</w:t>
      </w:r>
      <w:r w:rsidR="00B77716">
        <w:t xml:space="preserve"> provides comparable </w:t>
      </w:r>
      <w:r w:rsidR="00D26C1C">
        <w:t xml:space="preserve">collision </w:t>
      </w:r>
      <w:r w:rsidR="00C528A2">
        <w:t xml:space="preserve">risk </w:t>
      </w:r>
      <w:r w:rsidR="00B77716">
        <w:t>re</w:t>
      </w:r>
      <w:r w:rsidR="00C528A2">
        <w:t>duction</w:t>
      </w:r>
      <w:r w:rsidR="00B77716">
        <w:t xml:space="preserve">, </w:t>
      </w:r>
      <w:r w:rsidR="00170890">
        <w:t>and</w:t>
      </w:r>
      <w:r w:rsidR="007C5352">
        <w:t xml:space="preserve"> </w:t>
      </w:r>
      <w:r w:rsidR="007622BA">
        <w:t>potentially</w:t>
      </w:r>
      <w:r w:rsidR="00B77716">
        <w:t xml:space="preserve"> allow</w:t>
      </w:r>
      <w:r w:rsidR="007C5352">
        <w:t>s</w:t>
      </w:r>
      <w:r w:rsidR="00B77716">
        <w:t xml:space="preserve"> more efficient </w:t>
      </w:r>
      <w:r w:rsidR="00F559CD">
        <w:t xml:space="preserve">translational </w:t>
      </w:r>
      <w:r w:rsidR="00B77716">
        <w:t>RMM</w:t>
      </w:r>
      <w:r w:rsidR="00EE69B2">
        <w:t>s to be</w:t>
      </w:r>
      <w:r w:rsidR="00B77716">
        <w:t xml:space="preserve"> </w:t>
      </w:r>
      <w:r w:rsidR="00CF0C69">
        <w:t xml:space="preserve">scheduled and </w:t>
      </w:r>
      <w:r w:rsidR="00B77716">
        <w:t>execut</w:t>
      </w:r>
      <w:r w:rsidR="00EE69B2">
        <w:t>ed</w:t>
      </w:r>
      <w:r w:rsidR="00B77716">
        <w:t>.</w:t>
      </w:r>
    </w:p>
    <w:p w14:paraId="03FF2AFF" w14:textId="203E42FA" w:rsidR="009D1657" w:rsidRDefault="009D1657" w:rsidP="00B320FC">
      <w:pPr>
        <w:pStyle w:val="Sub-Section"/>
      </w:pPr>
      <w:r>
        <w:t>Risk Mitigation Maneuver Execution Rates</w:t>
      </w:r>
    </w:p>
    <w:p w14:paraId="0F9C269F" w14:textId="63AD541A" w:rsidR="009D1657" w:rsidRDefault="009D1657" w:rsidP="009D1657">
      <w:r>
        <w:t xml:space="preserve">The </w:t>
      </w:r>
      <w:r w:rsidR="001C6493">
        <w:t xml:space="preserve">average </w:t>
      </w:r>
      <w:r w:rsidR="0091791D">
        <w:t>rate</w:t>
      </w:r>
      <w:r>
        <w:t xml:space="preserve"> </w:t>
      </w:r>
      <w:r w:rsidR="0091791D">
        <w:t>that a</w:t>
      </w:r>
      <w:r>
        <w:t xml:space="preserve"> mission perform</w:t>
      </w:r>
      <w:r w:rsidR="00CA290C">
        <w:t>s</w:t>
      </w:r>
      <w:r>
        <w:t xml:space="preserve"> </w:t>
      </w:r>
      <w:r w:rsidR="002E23D9">
        <w:t>maneuvers</w:t>
      </w:r>
      <w:r w:rsidR="001C6493">
        <w:t xml:space="preserve"> </w:t>
      </w:r>
      <w:r w:rsidR="00CA290C">
        <w:t xml:space="preserve">in the model </w:t>
      </w:r>
      <w:r w:rsidR="001C6493">
        <w:t>is given by</w:t>
      </w:r>
    </w:p>
    <w:p w14:paraId="2242AFE5" w14:textId="20D7381D" w:rsidR="001C6493" w:rsidRPr="001F4E6B" w:rsidRDefault="0083235C" w:rsidP="001C6493">
      <w:pPr>
        <w:jc w:val="right"/>
        <w:rPr>
          <w:bCs/>
          <w:iC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r>
          <w:rPr>
            <w:rFonts w:ascii="Cambria Math" w:hAnsi="Cambria Math"/>
          </w:rPr>
          <m:t>=</m:t>
        </m:r>
        <m:f>
          <m:fPr>
            <m:type m:val="skw"/>
            <m:ctrlPr>
              <w:rPr>
                <w:rFonts w:ascii="Cambria Math" w:hAnsi="Cambria Math"/>
                <w:i/>
              </w:rPr>
            </m:ctrlPr>
          </m:fPr>
          <m:num>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mod</m:t>
                        </m:r>
                      </m:sub>
                    </m:sSub>
                  </m:sup>
                  <m:e>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e>
                </m:nary>
              </m:e>
            </m:d>
          </m:num>
          <m:den>
            <m:sSub>
              <m:sSubPr>
                <m:ctrlPr>
                  <w:rPr>
                    <w:rFonts w:ascii="Cambria Math" w:hAnsi="Cambria Math"/>
                    <w:i/>
                  </w:rPr>
                </m:ctrlPr>
              </m:sSubPr>
              <m:e>
                <m:r>
                  <w:rPr>
                    <w:rFonts w:ascii="Cambria Math" w:hAnsi="Cambria Math"/>
                  </w:rPr>
                  <m:t>T</m:t>
                </m:r>
              </m:e>
              <m:sub>
                <m:r>
                  <w:rPr>
                    <w:rFonts w:ascii="Cambria Math" w:hAnsi="Cambria Math"/>
                  </w:rPr>
                  <m:t>mod</m:t>
                </m:r>
              </m:sub>
            </m:sSub>
          </m:den>
        </m:f>
      </m:oMath>
      <w:r w:rsidR="001C6493">
        <w:t xml:space="preserve">           </w:t>
      </w:r>
      <w:r w:rsidR="001C6493">
        <w:rPr>
          <w:bCs/>
          <w:iCs/>
        </w:rPr>
        <w:t xml:space="preserve">                                  (1</w:t>
      </w:r>
      <w:r w:rsidR="00373C2D">
        <w:rPr>
          <w:bCs/>
          <w:iCs/>
        </w:rPr>
        <w:t>3</w:t>
      </w:r>
      <w:r w:rsidR="001C6493">
        <w:rPr>
          <w:bCs/>
          <w:iCs/>
        </w:rPr>
        <w:t>)</w:t>
      </w:r>
    </w:p>
    <w:p w14:paraId="020DA622" w14:textId="733F4D60" w:rsidR="009D1657" w:rsidRDefault="002E23D9" w:rsidP="009D1657">
      <w:r>
        <w:t>m</w:t>
      </w:r>
      <w:r w:rsidR="00A57F50">
        <w:t>easured</w:t>
      </w:r>
      <w:r>
        <w:t xml:space="preserve"> here</w:t>
      </w:r>
      <w:r w:rsidR="00A57F50">
        <w:t xml:space="preserve"> in RMMs per year</w:t>
      </w:r>
      <w:r w:rsidR="00177E37">
        <w:t xml:space="preserve">.  Here </w:t>
      </w:r>
      <m:oMath>
        <m:r>
          <w:rPr>
            <w:rFonts w:ascii="Cambria Math" w:hAnsi="Cambria Math"/>
          </w:rPr>
          <m:t>U(x)</m:t>
        </m:r>
      </m:oMath>
      <w:r w:rsidR="001D62F7">
        <w:t xml:space="preserve"> denotes the step function</w:t>
      </w:r>
    </w:p>
    <w:p w14:paraId="3F4F6F06" w14:textId="7028386D" w:rsidR="001D62F7" w:rsidRPr="001F4E6B" w:rsidRDefault="001D62F7" w:rsidP="001D62F7">
      <w:pPr>
        <w:jc w:val="right"/>
        <w:rPr>
          <w:bCs/>
          <w:iCs/>
        </w:rPr>
      </w:pPr>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for</m:t>
                  </m:r>
                  <m:r>
                    <w:rPr>
                      <w:rFonts w:ascii="Cambria Math" w:hAnsi="Cambria Math"/>
                    </w:rPr>
                    <m:t xml:space="preserve"> x≤0</m:t>
                  </m:r>
                </m:e>
              </m:mr>
              <m:mr>
                <m:e>
                  <m:r>
                    <w:rPr>
                      <w:rFonts w:ascii="Cambria Math" w:hAnsi="Cambria Math"/>
                    </w:rPr>
                    <m:t>1</m:t>
                  </m:r>
                </m:e>
                <m:e>
                  <m:r>
                    <m:rPr>
                      <m:sty m:val="p"/>
                    </m:rPr>
                    <w:rPr>
                      <w:rFonts w:ascii="Cambria Math" w:hAnsi="Cambria Math"/>
                    </w:rPr>
                    <m:t>for</m:t>
                  </m:r>
                  <m:r>
                    <w:rPr>
                      <w:rFonts w:ascii="Cambria Math" w:hAnsi="Cambria Math"/>
                    </w:rPr>
                    <m:t xml:space="preserve"> x&gt;0</m:t>
                  </m:r>
                </m:e>
              </m:mr>
            </m:m>
          </m:e>
        </m:d>
      </m:oMath>
      <w:r>
        <w:t xml:space="preserve">           </w:t>
      </w:r>
      <w:r>
        <w:rPr>
          <w:bCs/>
          <w:iCs/>
        </w:rPr>
        <w:t xml:space="preserve">                </w:t>
      </w:r>
      <w:r w:rsidR="003D4837">
        <w:rPr>
          <w:bCs/>
          <w:iCs/>
        </w:rPr>
        <w:t xml:space="preserve">   </w:t>
      </w:r>
      <w:r>
        <w:rPr>
          <w:bCs/>
          <w:iCs/>
        </w:rPr>
        <w:t xml:space="preserve">                               (1</w:t>
      </w:r>
      <w:r w:rsidR="00373C2D">
        <w:rPr>
          <w:bCs/>
          <w:iCs/>
        </w:rPr>
        <w:t>4</w:t>
      </w:r>
      <w:r>
        <w:rPr>
          <w:bCs/>
          <w:iCs/>
        </w:rPr>
        <w:t>)</w:t>
      </w:r>
    </w:p>
    <w:p w14:paraId="76A5E0DD" w14:textId="54AA2B43" w:rsidR="0091791D" w:rsidRDefault="00010A88" w:rsidP="009D1657">
      <w:r>
        <w:t xml:space="preserve">Because performing maneuvers often requires expending limited </w:t>
      </w:r>
      <w:r w:rsidR="00A57F50">
        <w:t xml:space="preserve">and valuable </w:t>
      </w:r>
      <w:r>
        <w:t xml:space="preserve">mission resources (e.g., fuel and labor), </w:t>
      </w:r>
      <w:r w:rsidR="00F1215D">
        <w:t xml:space="preserve">average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A263ED">
        <w:t xml:space="preserve"> </w:t>
      </w:r>
      <w:r w:rsidR="00F1215D">
        <w:t xml:space="preserve">rates </w:t>
      </w:r>
      <w:r>
        <w:t xml:space="preserve">provide </w:t>
      </w:r>
      <w:r w:rsidR="00A263ED">
        <w:t>a</w:t>
      </w:r>
      <w:r w:rsidR="0075085D">
        <w:t xml:space="preserve"> convenient</w:t>
      </w:r>
      <w:r>
        <w:t xml:space="preserve"> </w:t>
      </w:r>
      <w:r w:rsidR="004A1955">
        <w:t>measure</w:t>
      </w:r>
      <w:r>
        <w:t xml:space="preserve"> </w:t>
      </w:r>
      <w:r w:rsidR="0075085D">
        <w:t xml:space="preserve">of </w:t>
      </w:r>
      <w:r>
        <w:t>the</w:t>
      </w:r>
      <w:r w:rsidR="00A263ED">
        <w:t xml:space="preserve"> </w:t>
      </w:r>
      <w:r>
        <w:t xml:space="preserve">burden imposed by </w:t>
      </w:r>
      <w:r w:rsidR="004C6C42">
        <w:t>remediating</w:t>
      </w:r>
      <w:r w:rsidR="00200E2E">
        <w:t xml:space="preserve"> to different levels of cumulative </w:t>
      </w:r>
      <w:r w:rsidR="004C6C42">
        <w:t xml:space="preserve">collision </w:t>
      </w:r>
      <w:r w:rsidR="00200E2E">
        <w:t>risk.</w:t>
      </w:r>
    </w:p>
    <w:p w14:paraId="4081BBD9" w14:textId="18960625" w:rsidR="00531380" w:rsidRDefault="00452134" w:rsidP="00531380">
      <w:pPr>
        <w:pStyle w:val="Sub-Section"/>
      </w:pPr>
      <w:r>
        <w:t xml:space="preserve">Regular vs </w:t>
      </w:r>
      <w:r w:rsidR="00531380">
        <w:t>Conservative Model Estimates</w:t>
      </w:r>
    </w:p>
    <w:p w14:paraId="6388AFF8" w14:textId="46409008" w:rsidR="00594E79" w:rsidRPr="00531380" w:rsidRDefault="00531380" w:rsidP="00531380">
      <w:r>
        <w:t xml:space="preserve">For missions with </w:t>
      </w:r>
      <w:r w:rsidR="005B4C29">
        <w:t xml:space="preserve">perfectly </w:t>
      </w:r>
      <w:r w:rsidR="00123E4B">
        <w:t>safe and</w:t>
      </w:r>
      <w:r w:rsidR="00827411">
        <w:t xml:space="preserve"> </w:t>
      </w:r>
      <w:r>
        <w:t>reliabl</w:t>
      </w:r>
      <w:r w:rsidR="00827411">
        <w:t>e</w:t>
      </w:r>
      <w:r>
        <w:t xml:space="preserve"> maneuver execution systems, the type of </w:t>
      </w:r>
      <w:r w:rsidR="00934B2D">
        <w:t>conjunction</w:t>
      </w:r>
      <w:r>
        <w:t xml:space="preserve"> that produces the most </w:t>
      </w:r>
      <w:proofErr w:type="spellStart"/>
      <w:r w:rsidR="00035BF1">
        <w:t>u</w:t>
      </w:r>
      <w:r w:rsidR="00AE4904">
        <w:t>nremediated</w:t>
      </w:r>
      <w:proofErr w:type="spellEnd"/>
      <w:r w:rsidR="00035BF1">
        <w:t xml:space="preserve"> </w:t>
      </w:r>
      <w:r>
        <w:t>risk</w:t>
      </w:r>
      <w:r w:rsidR="00827411">
        <w:t xml:space="preserve"> </w:t>
      </w:r>
      <w:r>
        <w:t xml:space="preserve">has collision probability equal to the </w:t>
      </w:r>
      <w:r w:rsidR="00035BF1">
        <w:t>red threshold, i.e.,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RMM</m:t>
            </m:r>
          </m:sub>
        </m:sSub>
      </m:oMath>
      <w:r w:rsidR="00035BF1">
        <w:t>.  Eq. (</w:t>
      </w:r>
      <w:r w:rsidR="008663D3">
        <w:t>1</w:t>
      </w:r>
      <w:r w:rsidR="00373C2D">
        <w:t>1</w:t>
      </w:r>
      <w:r w:rsidR="00035BF1">
        <w:t xml:space="preserve">) indicates that </w:t>
      </w:r>
      <w:r w:rsidR="00827411">
        <w:t>an</w:t>
      </w:r>
      <w:r w:rsidR="00035BF1">
        <w:t xml:space="preserve"> RMM would </w:t>
      </w:r>
      <w:r w:rsidR="00123E4B">
        <w:t xml:space="preserve">just barely </w:t>
      </w:r>
      <w:r w:rsidR="00827411">
        <w:t xml:space="preserve">not </w:t>
      </w:r>
      <w:r w:rsidR="00035BF1">
        <w:t>be performed in this case</w:t>
      </w:r>
      <w:r w:rsidR="001B2432">
        <w:t xml:space="preserve">, assuming strict adherence to </w:t>
      </w:r>
      <w:r w:rsidR="00170890">
        <w:t xml:space="preserve">the </w:t>
      </w:r>
      <w:r w:rsidR="004C6C42">
        <w:t>risk</w:t>
      </w:r>
      <w:r w:rsidR="001B2432">
        <w:t xml:space="preserve"> remediation policy</w:t>
      </w:r>
      <w:r w:rsidR="00035BF1">
        <w:t>.  Facing this prospect, a conservative satellite owner/operator may want to insist that, even if such a</w:t>
      </w:r>
      <w:r w:rsidR="00072E31">
        <w:t>n</w:t>
      </w:r>
      <w:r w:rsidR="00035BF1">
        <w:t xml:space="preserve"> event were to </w:t>
      </w:r>
      <w:r w:rsidR="00594E79">
        <w:t>occur</w:t>
      </w:r>
      <w:r w:rsidR="00035BF1">
        <w:t xml:space="preserve">, the mission would still </w:t>
      </w:r>
      <w:r w:rsidR="00170890">
        <w:t xml:space="preserve">confidently </w:t>
      </w:r>
      <w:r w:rsidR="002E23D9">
        <w:t xml:space="preserve">be </w:t>
      </w:r>
      <w:r w:rsidR="00594E79">
        <w:t>operat</w:t>
      </w:r>
      <w:r w:rsidR="002E23D9">
        <w:t>ing</w:t>
      </w:r>
      <w:r w:rsidR="00594E79">
        <w:t xml:space="preserve"> within</w:t>
      </w:r>
      <w:r w:rsidR="00035BF1">
        <w:t xml:space="preserve"> </w:t>
      </w:r>
      <w:r w:rsidR="00072E31">
        <w:t>the imposed</w:t>
      </w:r>
      <w:r w:rsidR="00452134">
        <w:rPr>
          <w:szCs w:val="22"/>
        </w:rPr>
        <w:t xml:space="preserve"> on-orbit </w:t>
      </w:r>
      <w:r w:rsidR="00C6724A">
        <w:rPr>
          <w:szCs w:val="22"/>
        </w:rPr>
        <w:t xml:space="preserve">cumulative </w:t>
      </w:r>
      <w:r w:rsidR="00452134">
        <w:rPr>
          <w:szCs w:val="22"/>
        </w:rPr>
        <w:t xml:space="preserve">risk </w:t>
      </w:r>
      <w:r w:rsidR="00594E79">
        <w:rPr>
          <w:szCs w:val="22"/>
        </w:rPr>
        <w:t>limit</w:t>
      </w:r>
      <w:r w:rsidR="00035BF1">
        <w:rPr>
          <w:szCs w:val="22"/>
        </w:rPr>
        <w:t>.</w:t>
      </w:r>
      <w:r w:rsidR="00594E79">
        <w:rPr>
          <w:szCs w:val="22"/>
        </w:rPr>
        <w:t xml:space="preserve">  This concept forms the basis of the “conservative” mode of the model, which </w:t>
      </w:r>
      <w:r w:rsidR="00123E4B">
        <w:rPr>
          <w:szCs w:val="22"/>
        </w:rPr>
        <w:t>adds</w:t>
      </w:r>
      <w:r w:rsidR="00594E79">
        <w:rPr>
          <w:szCs w:val="22"/>
        </w:rPr>
        <w:t xml:space="preserve"> one</w:t>
      </w:r>
      <w:r w:rsidR="008B20B3">
        <w:rPr>
          <w:szCs w:val="22"/>
        </w:rPr>
        <w:t xml:space="preserve"> threshold-level event to </w:t>
      </w:r>
      <w:r w:rsidR="00D869A3">
        <w:rPr>
          <w:szCs w:val="22"/>
        </w:rPr>
        <w:t>each</w:t>
      </w:r>
      <w:r w:rsidR="008B20B3">
        <w:rPr>
          <w:szCs w:val="22"/>
        </w:rPr>
        <w:t xml:space="preserve"> model sequence of collision probabilities,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rem</m:t>
            </m:r>
          </m:sub>
          <m:sup>
            <m:r>
              <w:rPr>
                <w:rFonts w:ascii="Cambria Math" w:hAnsi="Cambria Math"/>
              </w:rPr>
              <m:t>cons</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sSub>
              <m:sSubPr>
                <m:ctrlPr>
                  <w:rPr>
                    <w:rFonts w:ascii="Cambria Math" w:hAnsi="Cambria Math"/>
                    <w:i/>
                  </w:rPr>
                </m:ctrlPr>
              </m:sSubPr>
              <m:e>
                <m:r>
                  <m:rPr>
                    <m:scr m:val="script"/>
                    <m:sty m:val="bi"/>
                  </m:rPr>
                  <w:rPr>
                    <w:rFonts w:ascii="Cambria Math" w:hAnsi="Cambria Math"/>
                  </w:rPr>
                  <m:t>P</m:t>
                </m:r>
              </m:e>
              <m:sub>
                <m:r>
                  <w:rPr>
                    <w:rFonts w:ascii="Cambria Math" w:hAnsi="Cambria Math"/>
                  </w:rPr>
                  <m:t>rem</m:t>
                </m:r>
              </m:sub>
            </m:sSub>
          </m:e>
        </m:d>
      </m:oMath>
      <w:r w:rsidR="008B20B3">
        <w:t>, and us</w:t>
      </w:r>
      <w:r w:rsidR="00123E4B">
        <w:t>es</w:t>
      </w:r>
      <w:r w:rsidR="008B20B3">
        <w:t xml:space="preserve"> </w:t>
      </w:r>
      <w:r w:rsidR="00C6724A">
        <w:t>this augmented set</w:t>
      </w:r>
      <w:r w:rsidR="00123E4B">
        <w:t xml:space="preserve"> for estimation,</w:t>
      </w:r>
      <w:r w:rsidR="008B20B3">
        <w:t xml:space="preserve"> instead of</w:t>
      </w:r>
      <w:r w:rsidR="00D869A3">
        <w:t xml:space="preserve"> the original set</w:t>
      </w:r>
      <w:r w:rsidR="008B20B3">
        <w:t xml:space="preserve">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rem</m:t>
            </m:r>
          </m:sub>
        </m:sSub>
        <m:r>
          <w:rPr>
            <w:rFonts w:ascii="Cambria Math" w:hAnsi="Cambria Math"/>
          </w:rPr>
          <m:t xml:space="preserve"> </m:t>
        </m:r>
      </m:oMath>
      <w:r w:rsidR="001A49B2">
        <w:t xml:space="preserve">employed </w:t>
      </w:r>
      <w:r w:rsidR="002E23D9">
        <w:t>by</w:t>
      </w:r>
      <w:r w:rsidR="008B20B3">
        <w:t xml:space="preserve"> the</w:t>
      </w:r>
      <w:r w:rsidR="00827411">
        <w:t xml:space="preserve"> model’s</w:t>
      </w:r>
      <w:r w:rsidR="008B20B3">
        <w:t xml:space="preserve"> “regular” mode</w:t>
      </w:r>
      <w:r w:rsidR="00461D55">
        <w:t>.</w:t>
      </w:r>
    </w:p>
    <w:p w14:paraId="060E8A6D" w14:textId="180A143E" w:rsidR="007622BA" w:rsidRDefault="007622BA" w:rsidP="007622BA">
      <w:pPr>
        <w:pStyle w:val="Section"/>
      </w:pPr>
      <w:r>
        <w:t>Estimating Remediation Thresholds and maneuver Rates</w:t>
      </w:r>
    </w:p>
    <w:p w14:paraId="7B30BE42" w14:textId="57BE6E9C" w:rsidR="00DA5376" w:rsidRDefault="00862955" w:rsidP="00D41F0C">
      <w:r>
        <w:t xml:space="preserve">The semi-empirical model </w:t>
      </w:r>
      <w:r w:rsidR="001F4DF0">
        <w:t>formulated in the previous sections</w:t>
      </w:r>
      <w:r>
        <w:t xml:space="preserve"> provides the means to </w:t>
      </w:r>
      <w:r w:rsidR="00416DFA">
        <w:t>estimate</w:t>
      </w:r>
      <w:r>
        <w:t xml:space="preserve"> remediation threshold</w:t>
      </w:r>
      <w:r w:rsidR="007937C0">
        <w:t>s and maneuver rates</w:t>
      </w:r>
      <w:r w:rsidR="007C6AC0">
        <w:t xml:space="preserve">.  </w:t>
      </w:r>
      <w:r w:rsidR="00416DFA">
        <w:rPr>
          <w:szCs w:val="22"/>
        </w:rPr>
        <w:t>Figure 4</w:t>
      </w:r>
      <w:r w:rsidR="007C6AC0">
        <w:rPr>
          <w:szCs w:val="22"/>
        </w:rPr>
        <w:t xml:space="preserve"> graphically</w:t>
      </w:r>
      <w:r w:rsidR="00416DFA">
        <w:rPr>
          <w:szCs w:val="22"/>
        </w:rPr>
        <w:t xml:space="preserve"> illustrates the estimation process </w:t>
      </w:r>
      <w:r w:rsidR="00416DFA">
        <w:t>for a</w:t>
      </w:r>
      <w:r w:rsidR="00B93BA6">
        <w:t xml:space="preserve"> </w:t>
      </w:r>
      <w:r w:rsidR="00FD2757">
        <w:t>model</w:t>
      </w:r>
      <w:r w:rsidR="00B93BA6">
        <w:t xml:space="preserve"> satellite</w:t>
      </w:r>
      <w:r w:rsidR="00FD2757">
        <w:t xml:space="preserve"> </w:t>
      </w:r>
      <w:r w:rsidR="00416DFA">
        <w:t xml:space="preserve">in an HST-like orbit performing translational RMMs </w:t>
      </w:r>
      <w:r w:rsidR="00416DFA" w:rsidRPr="000811A5">
        <w:t>with</w:t>
      </w:r>
      <w:r w:rsidR="00BA32FF">
        <w:t xml:space="preserve"> </w:t>
      </w:r>
      <w:r w:rsidR="002E3DEC">
        <w:t xml:space="preserve">the </w:t>
      </w:r>
      <w:r w:rsidR="00BA32FF">
        <w:t xml:space="preserve">mission </w:t>
      </w:r>
      <w:r w:rsidR="009E63D9">
        <w:t>parameters</w:t>
      </w:r>
      <w:r w:rsidR="00416DFA" w:rsidRPr="000811A5">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=0.03</m:t>
        </m:r>
      </m:oMath>
      <w:r w:rsidR="00416DFA" w:rsidRPr="000811A5">
        <w:t xml:space="preserve">, </w:t>
      </w:r>
      <m:oMath>
        <m:r>
          <w:rPr>
            <w:rFonts w:ascii="Cambria Math" w:hAnsi="Cambria Math"/>
          </w:rPr>
          <m:t xml:space="preserve">H=10 </m:t>
        </m:r>
        <m:r>
          <m:rPr>
            <m:sty m:val="p"/>
          </m:rPr>
          <w:rPr>
            <w:rFonts w:ascii="Cambria Math" w:hAnsi="Cambria Math"/>
          </w:rPr>
          <m:t>m</m:t>
        </m:r>
      </m:oMath>
      <w:r w:rsidR="00416DFA" w:rsidRPr="000811A5">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rsidR="00416DFA" w:rsidRPr="000811A5">
        <w:t xml:space="preserve">, and </w:t>
      </w:r>
      <m:oMath>
        <m:sSub>
          <m:sSubPr>
            <m:ctrlPr>
              <w:rPr>
                <w:rFonts w:ascii="Cambria Math" w:hAnsi="Cambria Math"/>
                <w:i/>
              </w:rPr>
            </m:ctrlPr>
          </m:sSubPr>
          <m:e>
            <m:r>
              <w:rPr>
                <w:rFonts w:ascii="Cambria Math" w:hAnsi="Cambria Math"/>
              </w:rPr>
              <m:t>τ</m:t>
            </m:r>
          </m:e>
          <m:sub>
            <m:r>
              <w:rPr>
                <w:rFonts w:ascii="Cambria Math" w:hAnsi="Cambria Math"/>
              </w:rPr>
              <m:t>cns</m:t>
            </m:r>
          </m:sub>
        </m:sSub>
        <m:r>
          <w:rPr>
            <w:rFonts w:ascii="Cambria Math" w:hAnsi="Cambria Math"/>
          </w:rPr>
          <m:t xml:space="preserve">=7 </m:t>
        </m:r>
        <m:r>
          <m:rPr>
            <m:sty m:val="p"/>
          </m:rPr>
          <w:rPr>
            <w:rFonts w:ascii="Cambria Math" w:hAnsi="Cambria Math"/>
          </w:rPr>
          <m:t>day</m:t>
        </m:r>
      </m:oMath>
      <w:r w:rsidR="004A7241">
        <w:t xml:space="preserve">. </w:t>
      </w:r>
      <w:r w:rsidR="00A263ED">
        <w:t xml:space="preserve"> </w:t>
      </w:r>
      <w:r w:rsidR="003D3D22">
        <w:t xml:space="preserve">(Note: </w:t>
      </w:r>
      <w:r w:rsidR="002E3DEC">
        <w:t xml:space="preserve">Unless otherwise stated, </w:t>
      </w:r>
      <w:r w:rsidR="002E3DEC">
        <w:lastRenderedPageBreak/>
        <w:t>t</w:t>
      </w:r>
      <w:r w:rsidR="00B93BA6">
        <w:t xml:space="preserve">his “standard” set </w:t>
      </w:r>
      <w:r w:rsidR="004A7241">
        <w:t xml:space="preserve">of </w:t>
      </w:r>
      <w:r w:rsidR="002E3DEC">
        <w:t xml:space="preserve">mission </w:t>
      </w:r>
      <w:r w:rsidR="00B93BA6">
        <w:t xml:space="preserve">parameters will be used repeatedly in the following sections </w:t>
      </w:r>
      <w:r w:rsidR="00B55C96">
        <w:t xml:space="preserve">for </w:t>
      </w:r>
      <w:r w:rsidR="009E4DA0">
        <w:t>many example analyses</w:t>
      </w:r>
      <w:r w:rsidR="002E3DEC">
        <w:t>, including Tables 1-4</w:t>
      </w:r>
      <w:r w:rsidR="00B93BA6">
        <w:t>.</w:t>
      </w:r>
      <w:r w:rsidR="003D3D22">
        <w:t>)</w:t>
      </w:r>
      <w:r w:rsidR="00B93BA6">
        <w:t xml:space="preserve">  The</w:t>
      </w:r>
      <w:r w:rsidR="00A263ED">
        <w:t xml:space="preserve"> </w:t>
      </w:r>
      <w:r w:rsidR="007C3993">
        <w:t xml:space="preserve">left panel </w:t>
      </w:r>
      <w:r w:rsidR="00B93BA6">
        <w:t xml:space="preserve">in Figure 4 </w:t>
      </w:r>
      <w:r w:rsidR="00A263ED">
        <w:t>show</w:t>
      </w:r>
      <w:r w:rsidR="007C3993">
        <w:t>s regular estimation mode solutions, and the right panel conservative</w:t>
      </w:r>
      <w:r w:rsidR="00870B68">
        <w:t xml:space="preserve"> mode</w:t>
      </w:r>
      <w:r w:rsidR="007C3993">
        <w:t xml:space="preserve"> solutions.  </w:t>
      </w:r>
      <w:r w:rsidR="00A263ED">
        <w:t xml:space="preserve"> </w:t>
      </w:r>
      <w:r w:rsidR="007C3993">
        <w:t xml:space="preserve">Each panel shows </w:t>
      </w:r>
      <w:r w:rsidR="00F32182">
        <w:t xml:space="preserve">median </w:t>
      </w:r>
      <w:r w:rsidR="00A263ED">
        <w:t>r</w:t>
      </w:r>
      <w:r w:rsidR="00A263ED" w:rsidRPr="00A263ED">
        <w:t>emediated cumulative probabilities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rem</m:t>
                </m:r>
              </m:sup>
            </m:sSubSup>
            <m:r>
              <w:rPr>
                <w:rFonts w:ascii="Cambria Math" w:hAnsi="Cambria Math"/>
              </w:rPr>
              <m:t>]</m:t>
            </m:r>
          </m:e>
        </m:func>
      </m:oMath>
      <w:r w:rsidR="00A263ED" w:rsidRPr="00A263ED">
        <w:t xml:space="preserve"> </w:t>
      </w:r>
      <w:r w:rsidR="00647F22">
        <w:t xml:space="preserve">as </w:t>
      </w:r>
      <w:r w:rsidR="004A7241">
        <w:t>measured along</w:t>
      </w:r>
      <w:r w:rsidR="00A263ED" w:rsidRPr="00A263ED">
        <w:t xml:space="preserve"> the color ax</w:t>
      </w:r>
      <w:r w:rsidR="00DE671A">
        <w:t>i</w:t>
      </w:r>
      <w:r w:rsidR="00A263ED" w:rsidRPr="00A263ED">
        <w:t>s</w:t>
      </w:r>
      <w:r w:rsidR="004A7241">
        <w:t xml:space="preserve"> and with contour lines</w:t>
      </w:r>
      <w:r w:rsidR="00A263ED" w:rsidRPr="00A263ED">
        <w:t xml:space="preserve">) estimated as a function of </w:t>
      </w:r>
      <w:r w:rsidR="00B35DCD">
        <w:t xml:space="preserve">remaining </w:t>
      </w:r>
      <w:r w:rsidR="00A263ED" w:rsidRPr="00A263ED">
        <w:t>on-orbit duration (</w:t>
      </w:r>
      <m:oMath>
        <m:sSub>
          <m:sSubPr>
            <m:ctrlPr>
              <w:rPr>
                <w:rFonts w:ascii="Cambria Math" w:hAnsi="Cambria Math"/>
                <w:i/>
              </w:rPr>
            </m:ctrlPr>
          </m:sSubPr>
          <m:e>
            <m:r>
              <w:rPr>
                <w:rFonts w:ascii="Cambria Math" w:hAnsi="Cambria Math"/>
              </w:rPr>
              <m:t>T</m:t>
            </m:r>
          </m:e>
          <m:sub>
            <m:r>
              <w:rPr>
                <w:rFonts w:ascii="Cambria Math" w:hAnsi="Cambria Math"/>
              </w:rPr>
              <m:t>mod</m:t>
            </m:r>
          </m:sub>
        </m:sSub>
      </m:oMath>
      <w:r w:rsidR="00A263ED" w:rsidRPr="00A263ED">
        <w:t xml:space="preserve"> on the vertical ax</w:t>
      </w:r>
      <w:r w:rsidR="009D01DF">
        <w:t>i</w:t>
      </w:r>
      <w:r w:rsidR="00A263ED" w:rsidRPr="00A263ED">
        <w:t xml:space="preserve">s) and </w:t>
      </w:r>
      <w:r w:rsidR="00060715">
        <w:t xml:space="preserve">red </w:t>
      </w:r>
      <w:r w:rsidR="00A263ED" w:rsidRPr="00A263ED">
        <w:t>remediation threshold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e>
        </m:func>
      </m:oMath>
      <w:r w:rsidR="00A263ED" w:rsidRPr="00A263ED">
        <w:t xml:space="preserve"> on the horizontal ax</w:t>
      </w:r>
      <w:r w:rsidR="009D01DF">
        <w:t>i</w:t>
      </w:r>
      <w:r w:rsidR="00A263ED" w:rsidRPr="00A263ED">
        <w:t>s)</w:t>
      </w:r>
      <w:r w:rsidR="00A263ED">
        <w:t xml:space="preserve">.  </w:t>
      </w:r>
      <w:r w:rsidR="00DA5376">
        <w:t xml:space="preserve">A close inspection of </w:t>
      </w:r>
      <w:r w:rsidR="005856B6">
        <w:t>the contour</w:t>
      </w:r>
      <w:r w:rsidR="004A7241">
        <w:t>s</w:t>
      </w:r>
      <w:r w:rsidR="005856B6">
        <w:t xml:space="preserve"> in </w:t>
      </w:r>
      <w:r w:rsidR="00DA5376">
        <w:t xml:space="preserve">Figure 4 indicates that the largest differences between regular and conservative mode </w:t>
      </w:r>
      <w:r w:rsidR="005856B6">
        <w:t xml:space="preserve">threshold </w:t>
      </w:r>
      <w:r w:rsidR="00DA5376">
        <w:t xml:space="preserve">estimates occur for the shortest mission </w:t>
      </w:r>
      <w:r w:rsidR="00354668">
        <w:t>durations</w:t>
      </w:r>
      <w:r w:rsidR="007C3993">
        <w:t>.</w:t>
      </w:r>
    </w:p>
    <w:p w14:paraId="7C9D3F6D" w14:textId="7922F3AE" w:rsidR="009368CD" w:rsidRDefault="000A2587" w:rsidP="009368CD">
      <w:pPr>
        <w:jc w:val="center"/>
      </w:pPr>
      <w:r w:rsidRPr="000A2587">
        <w:rPr>
          <w:noProof/>
        </w:rPr>
        <w:drawing>
          <wp:inline distT="0" distB="0" distL="0" distR="0" wp14:anchorId="625634A1" wp14:editId="06943E33">
            <wp:extent cx="5486400" cy="2234711"/>
            <wp:effectExtent l="0" t="0" r="0" b="0"/>
            <wp:docPr id="3" name="Picture 3" descr="C:\dth\Conferences\2019_08_11_ASC_Portland_ME\RiskRemThresholds\Paper\Figs\Pcum_rho0.03\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th\Conferences\2019_08_11_ASC_Portland_ME\RiskRemThresholds\Paper\Figs\Pcum_rho0.03\Slide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21" t="35061" r="7416" b="3704"/>
                    <a:stretch/>
                  </pic:blipFill>
                  <pic:spPr bwMode="auto">
                    <a:xfrm>
                      <a:off x="0" y="0"/>
                      <a:ext cx="5486400" cy="2234711"/>
                    </a:xfrm>
                    <a:prstGeom prst="rect">
                      <a:avLst/>
                    </a:prstGeom>
                    <a:noFill/>
                    <a:ln>
                      <a:noFill/>
                    </a:ln>
                    <a:extLst>
                      <a:ext uri="{53640926-AAD7-44D8-BBD7-CCE9431645EC}">
                        <a14:shadowObscured xmlns:a14="http://schemas.microsoft.com/office/drawing/2010/main"/>
                      </a:ext>
                    </a:extLst>
                  </pic:spPr>
                </pic:pic>
              </a:graphicData>
            </a:graphic>
          </wp:inline>
        </w:drawing>
      </w:r>
    </w:p>
    <w:p w14:paraId="37972745" w14:textId="11A02DF4" w:rsidR="009368CD" w:rsidRDefault="009368CD" w:rsidP="00480BEE">
      <w:pPr>
        <w:pStyle w:val="Caption"/>
        <w:jc w:val="center"/>
      </w:pPr>
      <w:r w:rsidRPr="00505624">
        <w:t>Figure </w:t>
      </w:r>
      <w:r>
        <w:t>4</w:t>
      </w:r>
      <w:r w:rsidRPr="00505624">
        <w:t>.</w:t>
      </w:r>
      <w:r>
        <w:t xml:space="preserve"> Remediated cumulative collision probabilities</w:t>
      </w:r>
      <w:r w:rsidR="00A86708">
        <w:t xml:space="preserve"> for the regular mode (left panel) vs the conservative mode (right panel), for the “standard” </w:t>
      </w:r>
      <w:r w:rsidR="00674D9B">
        <w:t>example</w:t>
      </w:r>
      <w:r w:rsidR="00002C16">
        <w:t xml:space="preserve"> </w:t>
      </w:r>
      <w:r w:rsidR="00A86708">
        <w:t>mission parameters</w:t>
      </w:r>
      <w:r w:rsidR="00002C16">
        <w:t xml:space="preserve"> (see text)</w:t>
      </w:r>
      <w:r w:rsidR="00A86708">
        <w:t xml:space="preserve">.  Each panel shows </w:t>
      </w:r>
      <w:r w:rsidR="00A86708" w:rsidRPr="00A86708">
        <w:t xml:space="preserve">median </w:t>
      </w:r>
      <m:oMath>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cum</m:t>
            </m:r>
          </m:sub>
          <m:sup>
            <m:r>
              <m:rPr>
                <m:sty m:val="bi"/>
              </m:rPr>
              <w:rPr>
                <w:rFonts w:ascii="Cambria Math" w:hAnsi="Cambria Math"/>
              </w:rPr>
              <m:t>rem</m:t>
            </m:r>
          </m:sup>
        </m:sSubSup>
      </m:oMath>
      <w:r w:rsidR="00A86708" w:rsidRPr="00A86708">
        <w:t xml:space="preserve"> </w:t>
      </w:r>
      <w:r w:rsidR="00A86708">
        <w:t xml:space="preserve">values </w:t>
      </w:r>
      <w:r>
        <w:t>(</w:t>
      </w:r>
      <w:r w:rsidR="000E7388">
        <w:t xml:space="preserve">in </w:t>
      </w:r>
      <w:r>
        <w:t>color</w:t>
      </w:r>
      <w:r w:rsidR="00894896">
        <w:t xml:space="preserve"> with contours</w:t>
      </w:r>
      <w:r>
        <w:t xml:space="preserve">) estimated as a function of </w:t>
      </w:r>
      <w:r w:rsidR="00C05781">
        <w:t>on-orbit</w:t>
      </w:r>
      <w:r>
        <w:t xml:space="preserve"> duration (vertical axis) and </w:t>
      </w:r>
      <w:r w:rsidR="00894896">
        <w:t xml:space="preserve">red </w:t>
      </w:r>
      <w:r>
        <w:t>remediation threshold (horizontal axis</w:t>
      </w:r>
      <w:r w:rsidR="00A86708">
        <w:t>).</w:t>
      </w:r>
    </w:p>
    <w:p w14:paraId="79A07BD2" w14:textId="77777777" w:rsidR="00C2799E" w:rsidRDefault="00C2799E" w:rsidP="00C2799E">
      <w:pPr>
        <w:pStyle w:val="Sub-Section"/>
      </w:pPr>
      <w:r>
        <w:t>Variation of Remediation Thresholds and Rates with Mission Duration</w:t>
      </w:r>
    </w:p>
    <w:p w14:paraId="1CBB3249" w14:textId="1B7CBE28" w:rsidR="00C2799E" w:rsidRDefault="00C2799E" w:rsidP="00C2799E">
      <w:r>
        <w:t>Unsurprisingly, the model indicates that missions with long remaining on-orbit durations need to perform more remediation actions</w:t>
      </w:r>
      <w:r w:rsidR="001B39A9">
        <w:t xml:space="preserve"> (at least initially, as discussed below)</w:t>
      </w:r>
      <w:r>
        <w:t xml:space="preserve"> in order to achieve the same level of cumulative collision risk </w:t>
      </w:r>
      <w:r w:rsidR="008D6983">
        <w:t>compared to</w:t>
      </w:r>
      <w:r>
        <w:t xml:space="preserve"> those with shorter durations.  The gray symbols</w:t>
      </w:r>
      <w:r w:rsidRPr="000811A5">
        <w:t xml:space="preserve"> </w:t>
      </w:r>
      <w:r>
        <w:t xml:space="preserve">in Figure 4 demonstrate this effect explicitly by </w:t>
      </w:r>
      <w:r w:rsidRPr="00A263ED">
        <w:t>show</w:t>
      </w:r>
      <w:r>
        <w:t>ing</w:t>
      </w:r>
      <w:r w:rsidRPr="00A263ED">
        <w:t xml:space="preserve"> solution</w:t>
      </w:r>
      <w:r>
        <w:t>s that remediate to a cumulative risk</w:t>
      </w:r>
      <w:r w:rsidRPr="00A263ED">
        <w:t xml:space="preserve"> </w:t>
      </w:r>
      <w:r>
        <w:t>goal level</w:t>
      </w:r>
      <w:r w:rsidRPr="00A263ED">
        <w:t xml:space="preserve"> of </w:t>
      </w:r>
      <m:oMath>
        <m:sSup>
          <m:sSupPr>
            <m:ctrlPr>
              <w:rPr>
                <w:rFonts w:ascii="Cambria Math" w:hAnsi="Cambria Math"/>
                <w:i/>
                <w:szCs w:val="22"/>
              </w:rPr>
            </m:ctrlPr>
          </m:sSupPr>
          <m:e>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r>
              <w:rPr>
                <w:rFonts w:ascii="Cambria Math" w:hAnsi="Cambria Math"/>
                <w:szCs w:val="22"/>
              </w:rPr>
              <m:t>=10</m:t>
            </m:r>
          </m:e>
          <m:sup>
            <m:r>
              <w:rPr>
                <w:rFonts w:ascii="Cambria Math" w:hAnsi="Cambria Math"/>
                <w:szCs w:val="22"/>
              </w:rPr>
              <m:t>-3</m:t>
            </m:r>
          </m:sup>
        </m:sSup>
      </m:oMath>
      <w:r>
        <w:t>. Specifically, gray diamonds, circles, stars and squares</w:t>
      </w:r>
      <w:r w:rsidRPr="000811A5">
        <w:t xml:space="preserve"> </w:t>
      </w:r>
      <w:r w:rsidRPr="00A263ED">
        <w:t>show solution</w:t>
      </w:r>
      <w:r>
        <w:t xml:space="preserve">s for </w:t>
      </w:r>
      <w:r w:rsidRPr="00A263ED">
        <w:t>duration</w:t>
      </w:r>
      <w:r>
        <w:t>s</w:t>
      </w:r>
      <w:r w:rsidRPr="00A263ED">
        <w:t xml:space="preserve"> of </w:t>
      </w:r>
      <w:r>
        <w:t xml:space="preserve">2, 5, 10 and 15 years, respectively.  Table 1 lists the corresponding median </w:t>
      </w:r>
      <m:oMath>
        <m:sSub>
          <m:sSubPr>
            <m:ctrlPr>
              <w:rPr>
                <w:rFonts w:ascii="Cambria Math" w:hAnsi="Cambria Math"/>
                <w:i/>
              </w:rPr>
            </m:ctrlPr>
          </m:sSubPr>
          <m:e>
            <m:r>
              <w:rPr>
                <w:rFonts w:ascii="Cambria Math" w:hAnsi="Cambria Math"/>
              </w:rPr>
              <m:t>P</m:t>
            </m:r>
          </m:e>
          <m:sub>
            <m:r>
              <w:rPr>
                <w:rFonts w:ascii="Cambria Math" w:hAnsi="Cambria Math"/>
              </w:rPr>
              <m:t>RMM</m:t>
            </m:r>
          </m:sub>
        </m:sSub>
      </m:oMath>
      <w:r>
        <w:t xml:space="preserve"> and average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t xml:space="preserve"> values</w:t>
      </w:r>
      <w:r w:rsidR="00697C92">
        <w:t xml:space="preserve">.  </w:t>
      </w:r>
      <w:r w:rsidR="001B39A9">
        <w:t xml:space="preserve">Table 1 </w:t>
      </w:r>
      <w:r w:rsidR="00697C92">
        <w:t>i</w:t>
      </w:r>
      <w:r w:rsidR="001B39A9">
        <w:t xml:space="preserve">ndicates that average maneuver rates,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1B39A9">
        <w:t xml:space="preserve">, change non-linearly with remaining on-orbit duration, </w:t>
      </w:r>
      <m:oMath>
        <m:sSub>
          <m:sSubPr>
            <m:ctrlPr>
              <w:rPr>
                <w:rFonts w:ascii="Cambria Math" w:hAnsi="Cambria Math"/>
                <w:i/>
              </w:rPr>
            </m:ctrlPr>
          </m:sSubPr>
          <m:e>
            <m:r>
              <w:rPr>
                <w:rFonts w:ascii="Cambria Math" w:hAnsi="Cambria Math"/>
              </w:rPr>
              <m:t>T</m:t>
            </m:r>
          </m:e>
          <m:sub>
            <m:r>
              <w:rPr>
                <w:rFonts w:ascii="Cambria Math" w:hAnsi="Cambria Math"/>
              </w:rPr>
              <m:t>mod</m:t>
            </m:r>
          </m:sub>
        </m:sSub>
      </m:oMath>
      <w:r w:rsidR="000250E2">
        <w:t>; it also</w:t>
      </w:r>
      <w:r w:rsidR="00B23CBE">
        <w:t xml:space="preserve"> confirms that the largest differences between regular and conservative estimates occur for the shortest durations.</w:t>
      </w:r>
    </w:p>
    <w:p w14:paraId="5484CBE5" w14:textId="256882FF" w:rsidR="00C2799E" w:rsidRDefault="00C2799E" w:rsidP="00C2799E">
      <w:r>
        <w:t>Notably, all of the gray symbols</w:t>
      </w:r>
      <w:r w:rsidRPr="000811A5">
        <w:t xml:space="preserve"> </w:t>
      </w:r>
      <w:r>
        <w:t xml:space="preserve">in Figure 4 lie along the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rem</m:t>
                </m:r>
              </m:sup>
            </m:sSubSup>
            <m:r>
              <w:rPr>
                <w:rFonts w:ascii="Cambria Math" w:hAnsi="Cambria Math"/>
              </w:rPr>
              <m:t>]</m:t>
            </m:r>
          </m:e>
        </m:func>
        <m:r>
          <w:rPr>
            <w:rFonts w:ascii="Cambria Math" w:hAnsi="Cambria Math"/>
          </w:rPr>
          <m:t>=-3</m:t>
        </m:r>
      </m:oMath>
      <w:r>
        <w:t xml:space="preserve"> contours on the plots except for one: the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 xml:space="preserve">=2 </m:t>
        </m:r>
        <m:r>
          <m:rPr>
            <m:sty m:val="p"/>
          </m:rPr>
          <w:rPr>
            <w:rFonts w:ascii="Cambria Math" w:hAnsi="Cambria Math"/>
          </w:rPr>
          <m:t>year</m:t>
        </m:r>
      </m:oMath>
      <w:r>
        <w:t xml:space="preserve"> solution from the regular estimation mode, which falls below the </w:t>
      </w:r>
      <m:oMath>
        <m:sSub>
          <m:sSubPr>
            <m:ctrlPr>
              <w:rPr>
                <w:rFonts w:ascii="Cambria Math" w:hAnsi="Cambria Math"/>
                <w:i/>
              </w:rPr>
            </m:ctrlPr>
          </m:sSubPr>
          <m:e>
            <m:r>
              <w:rPr>
                <w:rFonts w:ascii="Cambria Math" w:hAnsi="Cambria Math"/>
              </w:rPr>
              <m:t>T</m:t>
            </m:r>
          </m:e>
          <m:sub>
            <m:r>
              <w:rPr>
                <w:rFonts w:ascii="Cambria Math" w:hAnsi="Cambria Math"/>
              </w:rPr>
              <m:t>mod</m:t>
            </m:r>
          </m:sub>
        </m:sSub>
        <m:r>
          <w:rPr>
            <w:rFonts w:ascii="Cambria Math" w:hAnsi="Cambria Math"/>
          </w:rPr>
          <m:t xml:space="preserve">≤2.3 </m:t>
        </m:r>
        <m:r>
          <m:rPr>
            <m:sty m:val="p"/>
          </m:rPr>
          <w:rPr>
            <w:rFonts w:ascii="Cambria Math" w:hAnsi="Cambria Math"/>
          </w:rPr>
          <m:t>year</m:t>
        </m:r>
      </m:oMath>
      <w:r>
        <w:t xml:space="preserve"> short-duration limit apparent in Figure 3, as discussed previously.  For such short-duration limiting cases, the regular estimation mode of the model sets the red remediation level to the cumulative goal value, i.e., </w:t>
      </w:r>
      <m:oMath>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oMath>
      <w:r>
        <w:t xml:space="preserve">.  The conservative mode of the model, however, does not encounter such cases by design, so its solutions all lie exactly on the contour corresponding to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oMath>
      <w:r>
        <w:t>, as shown in the right panel of Figure 4.</w:t>
      </w:r>
    </w:p>
    <w:p w14:paraId="3576447C" w14:textId="77777777" w:rsidR="00C2799E" w:rsidRDefault="00C2799E">
      <w:pPr>
        <w:ind w:left="86" w:hanging="86"/>
      </w:pPr>
      <w:r>
        <w:br w:type="page"/>
      </w:r>
    </w:p>
    <w:p w14:paraId="09F80299" w14:textId="3B7F6A34" w:rsidR="008A45E3" w:rsidRPr="008C59BC" w:rsidRDefault="008A45E3" w:rsidP="008A45E3">
      <w:pPr>
        <w:pStyle w:val="Caption"/>
        <w:jc w:val="center"/>
      </w:pPr>
      <w:r w:rsidRPr="008C59BC">
        <w:lastRenderedPageBreak/>
        <w:t xml:space="preserve">Table 1. </w:t>
      </w:r>
      <w:r>
        <w:t xml:space="preserve">RMM </w:t>
      </w:r>
      <w:r w:rsidR="00F76755">
        <w:t xml:space="preserve">median </w:t>
      </w:r>
      <w:r w:rsidRPr="008C59BC">
        <w:t xml:space="preserve">thresholds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RMM</m:t>
            </m:r>
          </m:sub>
        </m:sSub>
      </m:oMath>
      <w:r w:rsidRPr="008C59BC">
        <w:t xml:space="preserve"> and </w:t>
      </w:r>
      <w:r w:rsidR="00F76755">
        <w:t>aver</w:t>
      </w:r>
      <w:r w:rsidR="00B62453">
        <w:t>a</w:t>
      </w:r>
      <w:r w:rsidR="00F76755">
        <w:t xml:space="preserve">ge </w:t>
      </w:r>
      <w:r w:rsidRPr="008C59BC">
        <w:t xml:space="preserve">rates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N</m:t>
                </m:r>
              </m:e>
            </m:acc>
          </m:e>
          <m:sub>
            <m:r>
              <m:rPr>
                <m:sty m:val="bi"/>
              </m:rPr>
              <w:rPr>
                <w:rFonts w:ascii="Cambria Math" w:hAnsi="Cambria Math"/>
              </w:rPr>
              <m:t>RMM</m:t>
            </m:r>
          </m:sub>
        </m:sSub>
      </m:oMath>
      <w:r w:rsidRPr="008C59BC">
        <w:t xml:space="preserve"> </w:t>
      </w:r>
      <w:r>
        <w:t>estimated using the “standard” mission parameters (see text)</w:t>
      </w:r>
      <w:r w:rsidRPr="008C59BC">
        <w:t xml:space="preserve"> </w:t>
      </w:r>
      <w:r>
        <w:t>with a</w:t>
      </w:r>
      <w:r w:rsidRPr="008C59BC">
        <w:t xml:space="preserve"> cumulative risk</w:t>
      </w:r>
      <w:r>
        <w:t xml:space="preserve"> goal</w:t>
      </w:r>
      <w:r w:rsidRPr="008C59BC">
        <w:t xml:space="preserve"> </w:t>
      </w:r>
      <w:r>
        <w:t>of</w:t>
      </w:r>
      <w:r w:rsidRPr="00087B15">
        <w:t xml:space="preserve"> </w:t>
      </w:r>
      <m:oMath>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cum</m:t>
            </m:r>
          </m:sub>
          <m:sup>
            <m:r>
              <m:rPr>
                <m:sty m:val="bi"/>
              </m:rPr>
              <w:rPr>
                <w:rFonts w:ascii="Cambria Math" w:hAnsi="Cambria Math"/>
              </w:rPr>
              <m:t>goal</m:t>
            </m:r>
          </m:sup>
        </m:sSubSup>
        <m:r>
          <m:rPr>
            <m:sty m:val="bi"/>
          </m:rPr>
          <w:rPr>
            <w:rFonts w:ascii="Cambria Math" w:hAnsi="Cambria Math"/>
          </w:rPr>
          <m:t>=</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w:r w:rsidRPr="008C59BC">
        <w:t>.</w:t>
      </w:r>
    </w:p>
    <w:tbl>
      <w:tblPr>
        <w:tblStyle w:val="TableGrid"/>
        <w:tblW w:w="0" w:type="auto"/>
        <w:tblLook w:val="04A0" w:firstRow="1" w:lastRow="0" w:firstColumn="1" w:lastColumn="0" w:noHBand="0" w:noVBand="1"/>
      </w:tblPr>
      <w:tblGrid>
        <w:gridCol w:w="1286"/>
        <w:gridCol w:w="1438"/>
        <w:gridCol w:w="1510"/>
        <w:gridCol w:w="1443"/>
        <w:gridCol w:w="1510"/>
        <w:gridCol w:w="1443"/>
      </w:tblGrid>
      <w:tr w:rsidR="008A45E3" w14:paraId="1D2D84EB" w14:textId="77777777" w:rsidTr="001B39A9">
        <w:tc>
          <w:tcPr>
            <w:tcW w:w="1286" w:type="dxa"/>
            <w:vMerge w:val="restart"/>
            <w:tcBorders>
              <w:top w:val="nil"/>
              <w:left w:val="nil"/>
            </w:tcBorders>
          </w:tcPr>
          <w:p w14:paraId="0A8866E6" w14:textId="77777777" w:rsidR="008A45E3" w:rsidRPr="00BC2D94" w:rsidRDefault="008A45E3" w:rsidP="00F04E91">
            <w:pPr>
              <w:jc w:val="center"/>
            </w:pPr>
          </w:p>
        </w:tc>
        <w:tc>
          <w:tcPr>
            <w:tcW w:w="1438" w:type="dxa"/>
            <w:vMerge w:val="restart"/>
            <w:shd w:val="clear" w:color="auto" w:fill="F2F2F2" w:themeFill="background1" w:themeFillShade="F2"/>
          </w:tcPr>
          <w:p w14:paraId="498C6D21" w14:textId="77777777" w:rsidR="001B39A9" w:rsidRDefault="001B39A9" w:rsidP="001B39A9">
            <w:pPr>
              <w:jc w:val="center"/>
            </w:pPr>
            <w:r>
              <w:t xml:space="preserve">Remaining </w:t>
            </w:r>
          </w:p>
          <w:p w14:paraId="242F658F" w14:textId="4957D4D3" w:rsidR="001B39A9" w:rsidRDefault="008A45E3" w:rsidP="001B39A9">
            <w:pPr>
              <w:jc w:val="center"/>
            </w:pPr>
            <w:r>
              <w:t>On-orbit</w:t>
            </w:r>
          </w:p>
          <w:p w14:paraId="31848A12" w14:textId="6C7373D3" w:rsidR="001B39A9" w:rsidRDefault="008A45E3" w:rsidP="001B39A9">
            <w:pPr>
              <w:jc w:val="center"/>
            </w:pPr>
            <w:r>
              <w:t>Duration</w:t>
            </w:r>
          </w:p>
          <w:p w14:paraId="5C713AEE" w14:textId="3B29112C" w:rsidR="008A45E3" w:rsidRPr="00BC2D94" w:rsidRDefault="0083235C" w:rsidP="001B39A9">
            <w:pPr>
              <w:jc w:val="center"/>
            </w:pPr>
            <m:oMath>
              <m:sSub>
                <m:sSubPr>
                  <m:ctrlPr>
                    <w:rPr>
                      <w:rFonts w:ascii="Cambria Math" w:hAnsi="Cambria Math"/>
                      <w:i/>
                    </w:rPr>
                  </m:ctrlPr>
                </m:sSubPr>
                <m:e>
                  <m:r>
                    <w:rPr>
                      <w:rFonts w:ascii="Cambria Math" w:hAnsi="Cambria Math"/>
                    </w:rPr>
                    <m:t>T</m:t>
                  </m:r>
                </m:e>
                <m:sub>
                  <m:r>
                    <w:rPr>
                      <w:rFonts w:ascii="Cambria Math" w:hAnsi="Cambria Math"/>
                    </w:rPr>
                    <m:t>mod</m:t>
                  </m:r>
                </m:sub>
              </m:sSub>
            </m:oMath>
            <w:r w:rsidR="008A45E3" w:rsidRPr="00BC2D94">
              <w:t xml:space="preserve"> (yr)</w:t>
            </w:r>
          </w:p>
        </w:tc>
        <w:tc>
          <w:tcPr>
            <w:tcW w:w="2953" w:type="dxa"/>
            <w:gridSpan w:val="2"/>
            <w:shd w:val="clear" w:color="auto" w:fill="D9E2F3" w:themeFill="accent5" w:themeFillTint="33"/>
            <w:vAlign w:val="center"/>
          </w:tcPr>
          <w:p w14:paraId="7EEE9B3E" w14:textId="77777777" w:rsidR="008A45E3" w:rsidRDefault="008A45E3" w:rsidP="001B39A9">
            <w:pPr>
              <w:jc w:val="center"/>
            </w:pPr>
            <w:r>
              <w:t>Regular Mode</w:t>
            </w:r>
          </w:p>
          <w:p w14:paraId="22C6911C" w14:textId="3C0879A4" w:rsidR="008A45E3" w:rsidRPr="00BC2D94" w:rsidRDefault="008A45E3" w:rsidP="001B39A9">
            <w:pPr>
              <w:jc w:val="center"/>
            </w:pPr>
            <w:r>
              <w:t>Estimates</w:t>
            </w:r>
          </w:p>
        </w:tc>
        <w:tc>
          <w:tcPr>
            <w:tcW w:w="2953" w:type="dxa"/>
            <w:gridSpan w:val="2"/>
            <w:shd w:val="clear" w:color="auto" w:fill="D9E2F3" w:themeFill="accent5" w:themeFillTint="33"/>
            <w:vAlign w:val="center"/>
          </w:tcPr>
          <w:p w14:paraId="36B9B51E" w14:textId="77777777" w:rsidR="008A45E3" w:rsidRDefault="008A45E3" w:rsidP="001B39A9">
            <w:pPr>
              <w:jc w:val="center"/>
            </w:pPr>
            <w:r>
              <w:t>Conservative Mode</w:t>
            </w:r>
          </w:p>
          <w:p w14:paraId="0D66007D" w14:textId="2C2F4E43" w:rsidR="008A45E3" w:rsidRPr="00BC2D94" w:rsidRDefault="008A45E3" w:rsidP="001B39A9">
            <w:pPr>
              <w:jc w:val="center"/>
            </w:pPr>
            <w:r>
              <w:t>Estimates</w:t>
            </w:r>
          </w:p>
        </w:tc>
      </w:tr>
      <w:tr w:rsidR="008A45E3" w14:paraId="4B06A1A9" w14:textId="77777777" w:rsidTr="001B39A9">
        <w:tc>
          <w:tcPr>
            <w:tcW w:w="1286" w:type="dxa"/>
            <w:vMerge/>
            <w:tcBorders>
              <w:left w:val="nil"/>
            </w:tcBorders>
          </w:tcPr>
          <w:p w14:paraId="7650E61D" w14:textId="77777777" w:rsidR="008A45E3" w:rsidRPr="00BC2D94" w:rsidRDefault="008A45E3" w:rsidP="00F04E91">
            <w:pPr>
              <w:jc w:val="center"/>
              <w:rPr>
                <w:rFonts w:ascii="Arial" w:hAnsi="Arial"/>
              </w:rPr>
            </w:pPr>
          </w:p>
        </w:tc>
        <w:tc>
          <w:tcPr>
            <w:tcW w:w="1438" w:type="dxa"/>
            <w:vMerge/>
            <w:shd w:val="clear" w:color="auto" w:fill="F2F2F2" w:themeFill="background1" w:themeFillShade="F2"/>
          </w:tcPr>
          <w:p w14:paraId="1898CFF6" w14:textId="77777777" w:rsidR="008A45E3" w:rsidRPr="00BC2D94" w:rsidRDefault="008A45E3" w:rsidP="00F04E91">
            <w:pPr>
              <w:jc w:val="center"/>
            </w:pPr>
          </w:p>
        </w:tc>
        <w:tc>
          <w:tcPr>
            <w:tcW w:w="1510" w:type="dxa"/>
            <w:shd w:val="clear" w:color="auto" w:fill="D9E2F3" w:themeFill="accent5" w:themeFillTint="33"/>
            <w:vAlign w:val="center"/>
          </w:tcPr>
          <w:p w14:paraId="396ED9B9" w14:textId="77777777" w:rsidR="008A45E3" w:rsidRPr="00BC2D94" w:rsidRDefault="0083235C" w:rsidP="001B39A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1443" w:type="dxa"/>
            <w:shd w:val="clear" w:color="auto" w:fill="D9E2F3" w:themeFill="accent5" w:themeFillTint="33"/>
            <w:vAlign w:val="center"/>
          </w:tcPr>
          <w:p w14:paraId="6CA36160" w14:textId="77777777" w:rsidR="008A45E3" w:rsidRPr="00BC2D94" w:rsidRDefault="0083235C" w:rsidP="001B39A9">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8A45E3">
              <w:t xml:space="preserve"> (yr</w:t>
            </w:r>
            <w:r w:rsidR="008A45E3" w:rsidRPr="004E4A9E">
              <w:rPr>
                <w:vertAlign w:val="superscript"/>
              </w:rPr>
              <w:t>-1</w:t>
            </w:r>
            <w:r w:rsidR="008A45E3">
              <w:t>)</w:t>
            </w:r>
          </w:p>
        </w:tc>
        <w:tc>
          <w:tcPr>
            <w:tcW w:w="1510" w:type="dxa"/>
            <w:shd w:val="clear" w:color="auto" w:fill="D9E2F3" w:themeFill="accent5" w:themeFillTint="33"/>
            <w:vAlign w:val="center"/>
          </w:tcPr>
          <w:p w14:paraId="52DB918A" w14:textId="77777777" w:rsidR="008A45E3" w:rsidRPr="00BC2D94" w:rsidRDefault="0083235C" w:rsidP="001B39A9">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1443" w:type="dxa"/>
            <w:shd w:val="clear" w:color="auto" w:fill="D9E2F3" w:themeFill="accent5" w:themeFillTint="33"/>
            <w:vAlign w:val="center"/>
          </w:tcPr>
          <w:p w14:paraId="4C6B4A1A" w14:textId="77777777" w:rsidR="008A45E3" w:rsidRPr="00BC2D94" w:rsidRDefault="0083235C" w:rsidP="001B39A9">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8A45E3">
              <w:t xml:space="preserve"> (yr</w:t>
            </w:r>
            <w:r w:rsidR="008A45E3" w:rsidRPr="004E4A9E">
              <w:rPr>
                <w:vertAlign w:val="superscript"/>
              </w:rPr>
              <w:t>-1</w:t>
            </w:r>
            <w:r w:rsidR="008A45E3">
              <w:t>)</w:t>
            </w:r>
          </w:p>
        </w:tc>
      </w:tr>
      <w:tr w:rsidR="008A45E3" w14:paraId="194C6BB3" w14:textId="77777777" w:rsidTr="00370954">
        <w:tc>
          <w:tcPr>
            <w:tcW w:w="1286" w:type="dxa"/>
            <w:vMerge w:val="restart"/>
            <w:shd w:val="clear" w:color="auto" w:fill="E2EFD9" w:themeFill="accent6" w:themeFillTint="33"/>
            <w:vAlign w:val="center"/>
          </w:tcPr>
          <w:p w14:paraId="58749E8B" w14:textId="77777777" w:rsidR="008A45E3" w:rsidRDefault="008A45E3" w:rsidP="00370954">
            <w:pPr>
              <w:jc w:val="center"/>
            </w:pPr>
            <w:r>
              <w:t>Reduction</w:t>
            </w:r>
          </w:p>
          <w:p w14:paraId="0CF325A6" w14:textId="77777777" w:rsidR="008A45E3" w:rsidRDefault="008A45E3" w:rsidP="00370954">
            <w:pPr>
              <w:jc w:val="center"/>
            </w:pPr>
            <w:r>
              <w:t>factor</w:t>
            </w:r>
          </w:p>
          <w:p w14:paraId="66F7FB0A" w14:textId="3FA8C706" w:rsidR="008A45E3" w:rsidRDefault="0083235C" w:rsidP="00370954">
            <w:pPr>
              <w:jc w:val="center"/>
            </w:pPr>
            <m:oMathPara>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=0.03</m:t>
                </m:r>
              </m:oMath>
            </m:oMathPara>
          </w:p>
        </w:tc>
        <w:tc>
          <w:tcPr>
            <w:tcW w:w="1438" w:type="dxa"/>
            <w:shd w:val="clear" w:color="auto" w:fill="F2F2F2" w:themeFill="background1" w:themeFillShade="F2"/>
          </w:tcPr>
          <w:p w14:paraId="52668F24" w14:textId="77777777" w:rsidR="008A45E3" w:rsidRPr="00BC2D94" w:rsidRDefault="008A45E3" w:rsidP="00F04E91">
            <w:pPr>
              <w:jc w:val="center"/>
            </w:pPr>
            <w:r>
              <w:t>2</w:t>
            </w:r>
          </w:p>
        </w:tc>
        <w:tc>
          <w:tcPr>
            <w:tcW w:w="1510" w:type="dxa"/>
          </w:tcPr>
          <w:p w14:paraId="438E301E" w14:textId="77777777" w:rsidR="008A45E3" w:rsidRPr="00BC2D94" w:rsidRDefault="008A45E3" w:rsidP="00F04E91">
            <w:pPr>
              <w:jc w:val="center"/>
            </w:pPr>
            <w:r>
              <w:t>1.00</w:t>
            </w:r>
            <w:r>
              <w:sym w:font="Symbol" w:char="F0B4"/>
            </w:r>
            <w:r>
              <w:t>10</w:t>
            </w:r>
            <w:r w:rsidRPr="00A4653B">
              <w:rPr>
                <w:vertAlign w:val="superscript"/>
              </w:rPr>
              <w:t>-</w:t>
            </w:r>
            <w:r>
              <w:rPr>
                <w:vertAlign w:val="superscript"/>
              </w:rPr>
              <w:t>3</w:t>
            </w:r>
          </w:p>
        </w:tc>
        <w:tc>
          <w:tcPr>
            <w:tcW w:w="1443" w:type="dxa"/>
          </w:tcPr>
          <w:p w14:paraId="40D8D926" w14:textId="1DF17AFD" w:rsidR="008A45E3" w:rsidRPr="00BC2D94" w:rsidRDefault="005E63A7" w:rsidP="00F04E91">
            <w:pPr>
              <w:jc w:val="center"/>
            </w:pPr>
            <w:r>
              <w:t>0.21</w:t>
            </w:r>
          </w:p>
        </w:tc>
        <w:tc>
          <w:tcPr>
            <w:tcW w:w="1510" w:type="dxa"/>
          </w:tcPr>
          <w:p w14:paraId="5A0F5002" w14:textId="62E8E0B4" w:rsidR="008A45E3" w:rsidRPr="00BC2D94" w:rsidRDefault="008A45E3" w:rsidP="00F04E91">
            <w:pPr>
              <w:jc w:val="center"/>
            </w:pPr>
            <w:r>
              <w:t>4.</w:t>
            </w:r>
            <w:r w:rsidR="0045659C">
              <w:t>09</w:t>
            </w:r>
            <w:r>
              <w:sym w:font="Symbol" w:char="F0B4"/>
            </w:r>
            <w:r>
              <w:t>10</w:t>
            </w:r>
            <w:r w:rsidRPr="00A4653B">
              <w:rPr>
                <w:vertAlign w:val="superscript"/>
              </w:rPr>
              <w:t>-</w:t>
            </w:r>
            <w:r>
              <w:rPr>
                <w:vertAlign w:val="superscript"/>
              </w:rPr>
              <w:t>4</w:t>
            </w:r>
          </w:p>
        </w:tc>
        <w:tc>
          <w:tcPr>
            <w:tcW w:w="1443" w:type="dxa"/>
          </w:tcPr>
          <w:p w14:paraId="187D4854" w14:textId="1F032C20" w:rsidR="008A45E3" w:rsidRPr="00BC2D94" w:rsidRDefault="008A45E3" w:rsidP="00F04E91">
            <w:pPr>
              <w:jc w:val="center"/>
            </w:pPr>
            <w:r>
              <w:t>0.</w:t>
            </w:r>
            <w:r w:rsidR="00BC7522">
              <w:t>31</w:t>
            </w:r>
          </w:p>
        </w:tc>
      </w:tr>
      <w:tr w:rsidR="008A45E3" w14:paraId="1043EB72" w14:textId="77777777" w:rsidTr="00F04E91">
        <w:tc>
          <w:tcPr>
            <w:tcW w:w="1286" w:type="dxa"/>
            <w:vMerge/>
            <w:shd w:val="clear" w:color="auto" w:fill="E2EFD9" w:themeFill="accent6" w:themeFillTint="33"/>
          </w:tcPr>
          <w:p w14:paraId="23CC79D0" w14:textId="77777777" w:rsidR="008A45E3" w:rsidRDefault="008A45E3" w:rsidP="00F04E91">
            <w:pPr>
              <w:jc w:val="center"/>
            </w:pPr>
          </w:p>
        </w:tc>
        <w:tc>
          <w:tcPr>
            <w:tcW w:w="1438" w:type="dxa"/>
            <w:shd w:val="clear" w:color="auto" w:fill="F2F2F2" w:themeFill="background1" w:themeFillShade="F2"/>
          </w:tcPr>
          <w:p w14:paraId="7669D47C" w14:textId="77777777" w:rsidR="008A45E3" w:rsidRPr="00BC2D94" w:rsidRDefault="008A45E3" w:rsidP="00F04E91">
            <w:pPr>
              <w:jc w:val="center"/>
            </w:pPr>
            <w:r>
              <w:t>5</w:t>
            </w:r>
          </w:p>
        </w:tc>
        <w:tc>
          <w:tcPr>
            <w:tcW w:w="1510" w:type="dxa"/>
          </w:tcPr>
          <w:p w14:paraId="55099487" w14:textId="77777777" w:rsidR="008A45E3" w:rsidRPr="00BC2D94" w:rsidRDefault="008A45E3" w:rsidP="00F04E91">
            <w:pPr>
              <w:jc w:val="center"/>
            </w:pPr>
            <w:r>
              <w:t>1.05</w:t>
            </w:r>
            <w:r>
              <w:sym w:font="Symbol" w:char="F0B4"/>
            </w:r>
            <w:r>
              <w:t>10</w:t>
            </w:r>
            <w:r w:rsidRPr="00A4653B">
              <w:rPr>
                <w:vertAlign w:val="superscript"/>
              </w:rPr>
              <w:t>-</w:t>
            </w:r>
            <w:r>
              <w:rPr>
                <w:vertAlign w:val="superscript"/>
              </w:rPr>
              <w:t>4</w:t>
            </w:r>
          </w:p>
        </w:tc>
        <w:tc>
          <w:tcPr>
            <w:tcW w:w="1443" w:type="dxa"/>
          </w:tcPr>
          <w:p w14:paraId="6B93E611" w14:textId="68A006DB" w:rsidR="008A45E3" w:rsidRPr="00BC2D94" w:rsidRDefault="005D6DDA" w:rsidP="00F04E91">
            <w:pPr>
              <w:jc w:val="center"/>
            </w:pPr>
            <w:r>
              <w:t>0.87</w:t>
            </w:r>
          </w:p>
        </w:tc>
        <w:tc>
          <w:tcPr>
            <w:tcW w:w="1510" w:type="dxa"/>
          </w:tcPr>
          <w:p w14:paraId="23EE1104" w14:textId="77777777" w:rsidR="008A45E3" w:rsidRPr="00BC2D94" w:rsidRDefault="008A45E3" w:rsidP="00F04E91">
            <w:pPr>
              <w:jc w:val="center"/>
            </w:pPr>
            <w:r>
              <w:t>8.53</w:t>
            </w:r>
            <w:r>
              <w:sym w:font="Symbol" w:char="F0B4"/>
            </w:r>
            <w:r>
              <w:t>10</w:t>
            </w:r>
            <w:r w:rsidRPr="00A4653B">
              <w:rPr>
                <w:vertAlign w:val="superscript"/>
              </w:rPr>
              <w:t>-</w:t>
            </w:r>
            <w:r>
              <w:rPr>
                <w:vertAlign w:val="superscript"/>
              </w:rPr>
              <w:t>5</w:t>
            </w:r>
          </w:p>
        </w:tc>
        <w:tc>
          <w:tcPr>
            <w:tcW w:w="1443" w:type="dxa"/>
          </w:tcPr>
          <w:p w14:paraId="7F0F7D39" w14:textId="48F58D58" w:rsidR="008A45E3" w:rsidRPr="00BC2D94" w:rsidRDefault="005D6DDA" w:rsidP="00F04E91">
            <w:pPr>
              <w:jc w:val="center"/>
            </w:pPr>
            <w:r>
              <w:t>1.05</w:t>
            </w:r>
          </w:p>
        </w:tc>
      </w:tr>
      <w:tr w:rsidR="00ED2D5B" w14:paraId="770D9633" w14:textId="77777777" w:rsidTr="00F04E91">
        <w:tc>
          <w:tcPr>
            <w:tcW w:w="1286" w:type="dxa"/>
            <w:vMerge/>
            <w:shd w:val="clear" w:color="auto" w:fill="E2EFD9" w:themeFill="accent6" w:themeFillTint="33"/>
          </w:tcPr>
          <w:p w14:paraId="05188A99" w14:textId="77777777" w:rsidR="00ED2D5B" w:rsidRDefault="00ED2D5B" w:rsidP="00ED2D5B">
            <w:pPr>
              <w:jc w:val="center"/>
            </w:pPr>
          </w:p>
        </w:tc>
        <w:tc>
          <w:tcPr>
            <w:tcW w:w="1438" w:type="dxa"/>
            <w:shd w:val="clear" w:color="auto" w:fill="F2F2F2" w:themeFill="background1" w:themeFillShade="F2"/>
          </w:tcPr>
          <w:p w14:paraId="1989CED3" w14:textId="6C8BDBB6" w:rsidR="00ED2D5B" w:rsidRDefault="00ED2D5B" w:rsidP="00ED2D5B">
            <w:pPr>
              <w:jc w:val="center"/>
            </w:pPr>
            <w:r>
              <w:t>10</w:t>
            </w:r>
          </w:p>
        </w:tc>
        <w:tc>
          <w:tcPr>
            <w:tcW w:w="1510" w:type="dxa"/>
          </w:tcPr>
          <w:p w14:paraId="56D033D1" w14:textId="2F31C363" w:rsidR="00ED2D5B" w:rsidRDefault="00ED2D5B" w:rsidP="00ED2D5B">
            <w:pPr>
              <w:jc w:val="center"/>
            </w:pPr>
            <w:r>
              <w:t>1.89</w:t>
            </w:r>
            <w:r>
              <w:sym w:font="Symbol" w:char="F0B4"/>
            </w:r>
            <w:r>
              <w:t>10</w:t>
            </w:r>
            <w:r w:rsidRPr="00A4653B">
              <w:rPr>
                <w:vertAlign w:val="superscript"/>
              </w:rPr>
              <w:t>-</w:t>
            </w:r>
            <w:r>
              <w:rPr>
                <w:vertAlign w:val="superscript"/>
              </w:rPr>
              <w:t>5</w:t>
            </w:r>
          </w:p>
        </w:tc>
        <w:tc>
          <w:tcPr>
            <w:tcW w:w="1443" w:type="dxa"/>
          </w:tcPr>
          <w:p w14:paraId="0C60B77D" w14:textId="16EF0950" w:rsidR="00ED2D5B" w:rsidRDefault="00ED2D5B" w:rsidP="00ED2D5B">
            <w:pPr>
              <w:jc w:val="center"/>
            </w:pPr>
            <w:r>
              <w:t>3.33</w:t>
            </w:r>
          </w:p>
        </w:tc>
        <w:tc>
          <w:tcPr>
            <w:tcW w:w="1510" w:type="dxa"/>
          </w:tcPr>
          <w:p w14:paraId="756BF2B9" w14:textId="5848DDFD" w:rsidR="00ED2D5B" w:rsidRDefault="00ED2D5B" w:rsidP="00ED2D5B">
            <w:pPr>
              <w:jc w:val="center"/>
            </w:pPr>
            <w:r>
              <w:t>1.82</w:t>
            </w:r>
            <w:r>
              <w:sym w:font="Symbol" w:char="F0B4"/>
            </w:r>
            <w:r>
              <w:t>10</w:t>
            </w:r>
            <w:r w:rsidRPr="00A4653B">
              <w:rPr>
                <w:vertAlign w:val="superscript"/>
              </w:rPr>
              <w:t>-</w:t>
            </w:r>
            <w:r>
              <w:rPr>
                <w:vertAlign w:val="superscript"/>
              </w:rPr>
              <w:t>5</w:t>
            </w:r>
          </w:p>
        </w:tc>
        <w:tc>
          <w:tcPr>
            <w:tcW w:w="1443" w:type="dxa"/>
          </w:tcPr>
          <w:p w14:paraId="494BABE0" w14:textId="12021558" w:rsidR="00ED2D5B" w:rsidRDefault="00ED2D5B" w:rsidP="00ED2D5B">
            <w:pPr>
              <w:jc w:val="center"/>
            </w:pPr>
            <w:r>
              <w:t>3.43</w:t>
            </w:r>
          </w:p>
        </w:tc>
      </w:tr>
      <w:tr w:rsidR="008A45E3" w14:paraId="41864285" w14:textId="77777777" w:rsidTr="00F04E91">
        <w:tc>
          <w:tcPr>
            <w:tcW w:w="1286" w:type="dxa"/>
            <w:vMerge/>
            <w:shd w:val="clear" w:color="auto" w:fill="E2EFD9" w:themeFill="accent6" w:themeFillTint="33"/>
          </w:tcPr>
          <w:p w14:paraId="18AC3215" w14:textId="77777777" w:rsidR="008A45E3" w:rsidRDefault="008A45E3" w:rsidP="00F04E91">
            <w:pPr>
              <w:jc w:val="center"/>
            </w:pPr>
          </w:p>
        </w:tc>
        <w:tc>
          <w:tcPr>
            <w:tcW w:w="1438" w:type="dxa"/>
            <w:shd w:val="clear" w:color="auto" w:fill="F2F2F2" w:themeFill="background1" w:themeFillShade="F2"/>
          </w:tcPr>
          <w:p w14:paraId="210A15EA" w14:textId="77777777" w:rsidR="008A45E3" w:rsidRPr="00BC2D94" w:rsidRDefault="008A45E3" w:rsidP="00F04E91">
            <w:pPr>
              <w:jc w:val="center"/>
            </w:pPr>
            <w:r>
              <w:t>15</w:t>
            </w:r>
          </w:p>
        </w:tc>
        <w:tc>
          <w:tcPr>
            <w:tcW w:w="1510" w:type="dxa"/>
          </w:tcPr>
          <w:p w14:paraId="1AF77406" w14:textId="00AE98DE" w:rsidR="008A45E3" w:rsidRPr="00BC2D94" w:rsidRDefault="008A45E3" w:rsidP="00F04E91">
            <w:pPr>
              <w:jc w:val="center"/>
            </w:pPr>
            <w:r>
              <w:t>1.1</w:t>
            </w:r>
            <w:r w:rsidR="004A545B">
              <w:t>1</w:t>
            </w:r>
            <w:r>
              <w:sym w:font="Symbol" w:char="F0B4"/>
            </w:r>
            <w:r>
              <w:t>10</w:t>
            </w:r>
            <w:r w:rsidRPr="00A4653B">
              <w:rPr>
                <w:vertAlign w:val="superscript"/>
              </w:rPr>
              <w:t>-</w:t>
            </w:r>
            <w:r>
              <w:rPr>
                <w:vertAlign w:val="superscript"/>
              </w:rPr>
              <w:t>5</w:t>
            </w:r>
          </w:p>
        </w:tc>
        <w:tc>
          <w:tcPr>
            <w:tcW w:w="1443" w:type="dxa"/>
          </w:tcPr>
          <w:p w14:paraId="222ABEA2" w14:textId="4B0372D1" w:rsidR="008A45E3" w:rsidRPr="00BC2D94" w:rsidRDefault="008A45E3" w:rsidP="00F04E91">
            <w:pPr>
              <w:jc w:val="center"/>
            </w:pPr>
            <w:r>
              <w:t>5.</w:t>
            </w:r>
            <w:r w:rsidR="004A545B">
              <w:t>69</w:t>
            </w:r>
          </w:p>
        </w:tc>
        <w:tc>
          <w:tcPr>
            <w:tcW w:w="1510" w:type="dxa"/>
          </w:tcPr>
          <w:p w14:paraId="5CE00605" w14:textId="77777777" w:rsidR="008A45E3" w:rsidRPr="00BC2D94" w:rsidRDefault="008A45E3" w:rsidP="00F04E91">
            <w:pPr>
              <w:jc w:val="center"/>
            </w:pPr>
            <w:r>
              <w:t>1.10</w:t>
            </w:r>
            <w:r>
              <w:sym w:font="Symbol" w:char="F0B4"/>
            </w:r>
            <w:r>
              <w:t>10</w:t>
            </w:r>
            <w:r w:rsidRPr="00A4653B">
              <w:rPr>
                <w:vertAlign w:val="superscript"/>
              </w:rPr>
              <w:t>-</w:t>
            </w:r>
            <w:r>
              <w:rPr>
                <w:vertAlign w:val="superscript"/>
              </w:rPr>
              <w:t>5</w:t>
            </w:r>
          </w:p>
        </w:tc>
        <w:tc>
          <w:tcPr>
            <w:tcW w:w="1443" w:type="dxa"/>
          </w:tcPr>
          <w:p w14:paraId="1953DE5D" w14:textId="77777777" w:rsidR="008A45E3" w:rsidRPr="00BC2D94" w:rsidRDefault="008A45E3" w:rsidP="00F04E91">
            <w:pPr>
              <w:jc w:val="center"/>
            </w:pPr>
            <w:r>
              <w:t>5.70</w:t>
            </w:r>
          </w:p>
        </w:tc>
      </w:tr>
      <w:tr w:rsidR="008A45E3" w14:paraId="3E51697F" w14:textId="77777777" w:rsidTr="00370954">
        <w:tc>
          <w:tcPr>
            <w:tcW w:w="1286" w:type="dxa"/>
            <w:vMerge w:val="restart"/>
            <w:shd w:val="clear" w:color="auto" w:fill="E2EFD9" w:themeFill="accent6" w:themeFillTint="33"/>
            <w:vAlign w:val="center"/>
          </w:tcPr>
          <w:p w14:paraId="56B2ACA6" w14:textId="77777777" w:rsidR="008A45E3" w:rsidRDefault="008A45E3" w:rsidP="00370954">
            <w:pPr>
              <w:jc w:val="center"/>
            </w:pPr>
            <w:r>
              <w:t>Reduction</w:t>
            </w:r>
          </w:p>
          <w:p w14:paraId="1F964F52" w14:textId="77777777" w:rsidR="008A45E3" w:rsidRDefault="008A45E3" w:rsidP="00370954">
            <w:pPr>
              <w:jc w:val="center"/>
            </w:pPr>
            <w:r>
              <w:t>factor</w:t>
            </w:r>
          </w:p>
          <w:p w14:paraId="646DCFA8" w14:textId="418A7766" w:rsidR="008A45E3" w:rsidRDefault="0083235C" w:rsidP="00370954">
            <w:pPr>
              <w:jc w:val="center"/>
            </w:pPr>
            <m:oMathPara>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m:t>
                </m:r>
              </m:oMath>
            </m:oMathPara>
          </w:p>
        </w:tc>
        <w:tc>
          <w:tcPr>
            <w:tcW w:w="1438" w:type="dxa"/>
            <w:shd w:val="clear" w:color="auto" w:fill="F2F2F2" w:themeFill="background1" w:themeFillShade="F2"/>
          </w:tcPr>
          <w:p w14:paraId="63C45C30" w14:textId="77777777" w:rsidR="008A45E3" w:rsidRDefault="008A45E3" w:rsidP="00F04E91">
            <w:pPr>
              <w:jc w:val="center"/>
            </w:pPr>
            <w:r>
              <w:t>2</w:t>
            </w:r>
          </w:p>
        </w:tc>
        <w:tc>
          <w:tcPr>
            <w:tcW w:w="1510" w:type="dxa"/>
          </w:tcPr>
          <w:p w14:paraId="7F117673" w14:textId="77777777" w:rsidR="008A45E3" w:rsidRDefault="008A45E3" w:rsidP="00F04E91">
            <w:pPr>
              <w:jc w:val="center"/>
            </w:pPr>
            <w:r>
              <w:t>1.00</w:t>
            </w:r>
            <w:r>
              <w:sym w:font="Symbol" w:char="F0B4"/>
            </w:r>
            <w:r>
              <w:t>10</w:t>
            </w:r>
            <w:r w:rsidRPr="00A4653B">
              <w:rPr>
                <w:vertAlign w:val="superscript"/>
              </w:rPr>
              <w:t>-</w:t>
            </w:r>
            <w:r>
              <w:rPr>
                <w:vertAlign w:val="superscript"/>
              </w:rPr>
              <w:t>3</w:t>
            </w:r>
          </w:p>
        </w:tc>
        <w:tc>
          <w:tcPr>
            <w:tcW w:w="1443" w:type="dxa"/>
          </w:tcPr>
          <w:p w14:paraId="5BFA11E3" w14:textId="0D07A0EA" w:rsidR="008A45E3" w:rsidRDefault="008A45E3" w:rsidP="00F04E91">
            <w:pPr>
              <w:jc w:val="center"/>
            </w:pPr>
            <w:r>
              <w:t>0.</w:t>
            </w:r>
            <w:r w:rsidR="005E63A7">
              <w:t>21</w:t>
            </w:r>
          </w:p>
        </w:tc>
        <w:tc>
          <w:tcPr>
            <w:tcW w:w="1510" w:type="dxa"/>
          </w:tcPr>
          <w:p w14:paraId="238D11E6" w14:textId="77777777" w:rsidR="008A45E3" w:rsidRDefault="008A45E3" w:rsidP="00F04E91">
            <w:pPr>
              <w:jc w:val="center"/>
            </w:pPr>
            <w:r>
              <w:t>4.12</w:t>
            </w:r>
            <w:r>
              <w:sym w:font="Symbol" w:char="F0B4"/>
            </w:r>
            <w:r>
              <w:t>10</w:t>
            </w:r>
            <w:r w:rsidRPr="00A4653B">
              <w:rPr>
                <w:vertAlign w:val="superscript"/>
              </w:rPr>
              <w:t>-</w:t>
            </w:r>
            <w:r>
              <w:rPr>
                <w:vertAlign w:val="superscript"/>
              </w:rPr>
              <w:t>4</w:t>
            </w:r>
          </w:p>
        </w:tc>
        <w:tc>
          <w:tcPr>
            <w:tcW w:w="1443" w:type="dxa"/>
          </w:tcPr>
          <w:p w14:paraId="75F475A0" w14:textId="17F8E166" w:rsidR="008A45E3" w:rsidRDefault="008A45E3" w:rsidP="00F04E91">
            <w:pPr>
              <w:jc w:val="center"/>
            </w:pPr>
            <w:r>
              <w:t>0.</w:t>
            </w:r>
            <w:r w:rsidR="005E63A7">
              <w:t>31</w:t>
            </w:r>
          </w:p>
        </w:tc>
      </w:tr>
      <w:tr w:rsidR="008A45E3" w14:paraId="6C3033C0" w14:textId="77777777" w:rsidTr="00F04E91">
        <w:tc>
          <w:tcPr>
            <w:tcW w:w="1286" w:type="dxa"/>
            <w:vMerge/>
            <w:shd w:val="clear" w:color="auto" w:fill="E2EFD9" w:themeFill="accent6" w:themeFillTint="33"/>
          </w:tcPr>
          <w:p w14:paraId="5448F60B" w14:textId="77777777" w:rsidR="008A45E3" w:rsidRDefault="008A45E3" w:rsidP="00F04E91">
            <w:pPr>
              <w:jc w:val="center"/>
            </w:pPr>
          </w:p>
        </w:tc>
        <w:tc>
          <w:tcPr>
            <w:tcW w:w="1438" w:type="dxa"/>
            <w:shd w:val="clear" w:color="auto" w:fill="F2F2F2" w:themeFill="background1" w:themeFillShade="F2"/>
          </w:tcPr>
          <w:p w14:paraId="0E13D3B9" w14:textId="77777777" w:rsidR="008A45E3" w:rsidRDefault="008A45E3" w:rsidP="00F04E91">
            <w:pPr>
              <w:jc w:val="center"/>
            </w:pPr>
            <w:r>
              <w:t>5</w:t>
            </w:r>
          </w:p>
        </w:tc>
        <w:tc>
          <w:tcPr>
            <w:tcW w:w="1510" w:type="dxa"/>
          </w:tcPr>
          <w:p w14:paraId="29AE1DE0" w14:textId="77777777" w:rsidR="008A45E3" w:rsidRDefault="008A45E3" w:rsidP="00F04E91">
            <w:pPr>
              <w:jc w:val="center"/>
            </w:pPr>
            <w:r>
              <w:t>1.08</w:t>
            </w:r>
            <w:r>
              <w:sym w:font="Symbol" w:char="F0B4"/>
            </w:r>
            <w:r>
              <w:t>10</w:t>
            </w:r>
            <w:r w:rsidRPr="00A4653B">
              <w:rPr>
                <w:vertAlign w:val="superscript"/>
              </w:rPr>
              <w:t>-</w:t>
            </w:r>
            <w:r>
              <w:rPr>
                <w:vertAlign w:val="superscript"/>
              </w:rPr>
              <w:t>4</w:t>
            </w:r>
          </w:p>
        </w:tc>
        <w:tc>
          <w:tcPr>
            <w:tcW w:w="1443" w:type="dxa"/>
          </w:tcPr>
          <w:p w14:paraId="17BCE0A9" w14:textId="07BA4A8D" w:rsidR="008A45E3" w:rsidRDefault="008A45E3" w:rsidP="00F04E91">
            <w:pPr>
              <w:jc w:val="center"/>
            </w:pPr>
            <w:r>
              <w:t>0.</w:t>
            </w:r>
            <w:r w:rsidR="005D6DDA">
              <w:t>85</w:t>
            </w:r>
          </w:p>
        </w:tc>
        <w:tc>
          <w:tcPr>
            <w:tcW w:w="1510" w:type="dxa"/>
          </w:tcPr>
          <w:p w14:paraId="44037568" w14:textId="48F40A10" w:rsidR="008A45E3" w:rsidRDefault="008A45E3" w:rsidP="00F04E91">
            <w:pPr>
              <w:jc w:val="center"/>
            </w:pPr>
            <w:r>
              <w:t>8.</w:t>
            </w:r>
            <w:r w:rsidR="00E65A49">
              <w:t>76</w:t>
            </w:r>
            <w:r>
              <w:sym w:font="Symbol" w:char="F0B4"/>
            </w:r>
            <w:r>
              <w:t>10</w:t>
            </w:r>
            <w:r w:rsidRPr="00A4653B">
              <w:rPr>
                <w:vertAlign w:val="superscript"/>
              </w:rPr>
              <w:t>-</w:t>
            </w:r>
            <w:r>
              <w:rPr>
                <w:vertAlign w:val="superscript"/>
              </w:rPr>
              <w:t>5</w:t>
            </w:r>
          </w:p>
        </w:tc>
        <w:tc>
          <w:tcPr>
            <w:tcW w:w="1443" w:type="dxa"/>
          </w:tcPr>
          <w:p w14:paraId="53BBF198" w14:textId="152EC443" w:rsidR="008A45E3" w:rsidRDefault="005D6DDA" w:rsidP="00F04E91">
            <w:pPr>
              <w:jc w:val="center"/>
            </w:pPr>
            <w:r>
              <w:t>1.02</w:t>
            </w:r>
          </w:p>
        </w:tc>
      </w:tr>
      <w:tr w:rsidR="00370954" w14:paraId="270BA076" w14:textId="77777777" w:rsidTr="00F04E91">
        <w:tc>
          <w:tcPr>
            <w:tcW w:w="1286" w:type="dxa"/>
            <w:vMerge/>
            <w:shd w:val="clear" w:color="auto" w:fill="E2EFD9" w:themeFill="accent6" w:themeFillTint="33"/>
          </w:tcPr>
          <w:p w14:paraId="42B42542" w14:textId="77777777" w:rsidR="00370954" w:rsidRDefault="00370954" w:rsidP="00370954">
            <w:pPr>
              <w:jc w:val="center"/>
            </w:pPr>
          </w:p>
        </w:tc>
        <w:tc>
          <w:tcPr>
            <w:tcW w:w="1438" w:type="dxa"/>
            <w:shd w:val="clear" w:color="auto" w:fill="F2F2F2" w:themeFill="background1" w:themeFillShade="F2"/>
          </w:tcPr>
          <w:p w14:paraId="14061D49" w14:textId="1A56DD70" w:rsidR="00370954" w:rsidRDefault="00370954" w:rsidP="00370954">
            <w:pPr>
              <w:jc w:val="center"/>
            </w:pPr>
            <w:r>
              <w:t>10</w:t>
            </w:r>
          </w:p>
        </w:tc>
        <w:tc>
          <w:tcPr>
            <w:tcW w:w="1510" w:type="dxa"/>
          </w:tcPr>
          <w:p w14:paraId="499E37DC" w14:textId="308579C8" w:rsidR="00370954" w:rsidRDefault="00370954" w:rsidP="00370954">
            <w:pPr>
              <w:jc w:val="center"/>
            </w:pPr>
            <w:r>
              <w:t>1.95</w:t>
            </w:r>
            <w:r>
              <w:sym w:font="Symbol" w:char="F0B4"/>
            </w:r>
            <w:r>
              <w:t>10</w:t>
            </w:r>
            <w:r w:rsidRPr="00A4653B">
              <w:rPr>
                <w:vertAlign w:val="superscript"/>
              </w:rPr>
              <w:t>-</w:t>
            </w:r>
            <w:r>
              <w:rPr>
                <w:vertAlign w:val="superscript"/>
              </w:rPr>
              <w:t>5</w:t>
            </w:r>
          </w:p>
        </w:tc>
        <w:tc>
          <w:tcPr>
            <w:tcW w:w="1443" w:type="dxa"/>
          </w:tcPr>
          <w:p w14:paraId="55D1D18E" w14:textId="3A49B50B" w:rsidR="00370954" w:rsidRDefault="00370954" w:rsidP="00370954">
            <w:pPr>
              <w:jc w:val="center"/>
            </w:pPr>
            <w:r>
              <w:t>3.22</w:t>
            </w:r>
          </w:p>
        </w:tc>
        <w:tc>
          <w:tcPr>
            <w:tcW w:w="1510" w:type="dxa"/>
          </w:tcPr>
          <w:p w14:paraId="6D611E3B" w14:textId="57AD9680" w:rsidR="00370954" w:rsidRDefault="00370954" w:rsidP="00370954">
            <w:pPr>
              <w:jc w:val="center"/>
            </w:pPr>
            <w:r>
              <w:t>1.</w:t>
            </w:r>
            <w:r w:rsidR="000A2587">
              <w:t>89</w:t>
            </w:r>
            <w:r>
              <w:sym w:font="Symbol" w:char="F0B4"/>
            </w:r>
            <w:r>
              <w:t>10</w:t>
            </w:r>
            <w:r w:rsidRPr="00A4653B">
              <w:rPr>
                <w:vertAlign w:val="superscript"/>
              </w:rPr>
              <w:t>-</w:t>
            </w:r>
            <w:r>
              <w:rPr>
                <w:vertAlign w:val="superscript"/>
              </w:rPr>
              <w:t>5</w:t>
            </w:r>
          </w:p>
        </w:tc>
        <w:tc>
          <w:tcPr>
            <w:tcW w:w="1443" w:type="dxa"/>
          </w:tcPr>
          <w:p w14:paraId="41D1C1FB" w14:textId="383C9EA3" w:rsidR="00370954" w:rsidRDefault="00370954" w:rsidP="00370954">
            <w:pPr>
              <w:jc w:val="center"/>
            </w:pPr>
            <w:r>
              <w:t>3.</w:t>
            </w:r>
            <w:r w:rsidR="000A2587">
              <w:t>33</w:t>
            </w:r>
          </w:p>
        </w:tc>
      </w:tr>
      <w:tr w:rsidR="008A45E3" w14:paraId="600E719A" w14:textId="77777777" w:rsidTr="00F04E91">
        <w:tc>
          <w:tcPr>
            <w:tcW w:w="1286" w:type="dxa"/>
            <w:vMerge/>
            <w:shd w:val="clear" w:color="auto" w:fill="E2EFD9" w:themeFill="accent6" w:themeFillTint="33"/>
          </w:tcPr>
          <w:p w14:paraId="103E3D4C" w14:textId="77777777" w:rsidR="008A45E3" w:rsidRDefault="008A45E3" w:rsidP="00F04E91">
            <w:pPr>
              <w:jc w:val="center"/>
            </w:pPr>
          </w:p>
        </w:tc>
        <w:tc>
          <w:tcPr>
            <w:tcW w:w="1438" w:type="dxa"/>
            <w:shd w:val="clear" w:color="auto" w:fill="F2F2F2" w:themeFill="background1" w:themeFillShade="F2"/>
          </w:tcPr>
          <w:p w14:paraId="3EC2397E" w14:textId="77777777" w:rsidR="008A45E3" w:rsidRDefault="008A45E3" w:rsidP="00F04E91">
            <w:pPr>
              <w:jc w:val="center"/>
            </w:pPr>
            <w:r>
              <w:t>15</w:t>
            </w:r>
          </w:p>
        </w:tc>
        <w:tc>
          <w:tcPr>
            <w:tcW w:w="1510" w:type="dxa"/>
          </w:tcPr>
          <w:p w14:paraId="3C24690C" w14:textId="77777777" w:rsidR="008A45E3" w:rsidRDefault="008A45E3" w:rsidP="00F04E91">
            <w:pPr>
              <w:jc w:val="center"/>
            </w:pPr>
            <w:r>
              <w:t>1.15</w:t>
            </w:r>
            <w:r>
              <w:sym w:font="Symbol" w:char="F0B4"/>
            </w:r>
            <w:r>
              <w:t>10</w:t>
            </w:r>
            <w:r w:rsidRPr="00A4653B">
              <w:rPr>
                <w:vertAlign w:val="superscript"/>
              </w:rPr>
              <w:t>-</w:t>
            </w:r>
            <w:r>
              <w:rPr>
                <w:vertAlign w:val="superscript"/>
              </w:rPr>
              <w:t>5</w:t>
            </w:r>
          </w:p>
        </w:tc>
        <w:tc>
          <w:tcPr>
            <w:tcW w:w="1443" w:type="dxa"/>
          </w:tcPr>
          <w:p w14:paraId="5BDEB5C4" w14:textId="0DDECE62" w:rsidR="008A45E3" w:rsidRDefault="008A45E3" w:rsidP="00F04E91">
            <w:pPr>
              <w:jc w:val="center"/>
            </w:pPr>
            <w:r>
              <w:t>5.</w:t>
            </w:r>
            <w:r w:rsidR="005E63A7">
              <w:t>52</w:t>
            </w:r>
          </w:p>
        </w:tc>
        <w:tc>
          <w:tcPr>
            <w:tcW w:w="1510" w:type="dxa"/>
          </w:tcPr>
          <w:p w14:paraId="09F01A31" w14:textId="29DD8282" w:rsidR="008A45E3" w:rsidRDefault="008A45E3" w:rsidP="00F04E91">
            <w:pPr>
              <w:jc w:val="center"/>
            </w:pPr>
            <w:r>
              <w:t>1.1</w:t>
            </w:r>
            <w:r w:rsidR="00E75612">
              <w:t>3</w:t>
            </w:r>
            <w:r>
              <w:sym w:font="Symbol" w:char="F0B4"/>
            </w:r>
            <w:r>
              <w:t>10</w:t>
            </w:r>
            <w:r w:rsidRPr="00A4653B">
              <w:rPr>
                <w:vertAlign w:val="superscript"/>
              </w:rPr>
              <w:t>-</w:t>
            </w:r>
            <w:r>
              <w:rPr>
                <w:vertAlign w:val="superscript"/>
              </w:rPr>
              <w:t>5</w:t>
            </w:r>
          </w:p>
        </w:tc>
        <w:tc>
          <w:tcPr>
            <w:tcW w:w="1443" w:type="dxa"/>
          </w:tcPr>
          <w:p w14:paraId="5B297230" w14:textId="4744CA11" w:rsidR="008A45E3" w:rsidRDefault="008A45E3" w:rsidP="00F04E91">
            <w:pPr>
              <w:jc w:val="center"/>
            </w:pPr>
            <w:r>
              <w:t>5.</w:t>
            </w:r>
            <w:r w:rsidR="00E75612">
              <w:t>59</w:t>
            </w:r>
          </w:p>
        </w:tc>
      </w:tr>
    </w:tbl>
    <w:p w14:paraId="7A30ED5F" w14:textId="49F44831" w:rsidR="008D2E4F" w:rsidRPr="008D2E4F" w:rsidRDefault="004809B3" w:rsidP="008D2E4F">
      <w:pPr>
        <w:pStyle w:val="Sub-Section"/>
      </w:pPr>
      <w:r>
        <w:t xml:space="preserve">Variation of Remediation Thresholds and Rates </w:t>
      </w:r>
      <w:r w:rsidR="00722E18">
        <w:t>with the</w:t>
      </w:r>
      <w:r w:rsidR="008D2E4F" w:rsidRPr="008D2E4F">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r w:rsidR="00722E18">
        <w:t xml:space="preserve"> </w:t>
      </w:r>
      <w:r w:rsidR="008D2E4F" w:rsidRPr="008D2E4F">
        <w:t>Reduction Factor</w:t>
      </w:r>
    </w:p>
    <w:p w14:paraId="277A8580" w14:textId="0BB74EC6" w:rsidR="009823F5" w:rsidRDefault="005539A2" w:rsidP="00530724">
      <w:r>
        <w:t xml:space="preserve">Table </w:t>
      </w:r>
      <w:r w:rsidR="00933910">
        <w:t>2</w:t>
      </w:r>
      <w:r>
        <w:t xml:space="preserve"> </w:t>
      </w:r>
      <w:r w:rsidR="00A4653B">
        <w:t xml:space="preserve">shows the effect of </w:t>
      </w:r>
      <w:r w:rsidR="00A766D1">
        <w:t>changing</w:t>
      </w:r>
      <w:r w:rsidR="00A4653B">
        <w:t xml:space="preserve"> the reduction factor</w:t>
      </w:r>
      <w:r w:rsidR="00722E18">
        <w:t xml:space="preserve"> for translational maneuvers</w:t>
      </w:r>
      <w:r w:rsidR="00D1008E">
        <w:t xml:space="preserve"> from the </w:t>
      </w:r>
      <w:r w:rsidR="000E398D">
        <w:t xml:space="preserve">standard </w:t>
      </w:r>
      <w:r w:rsidR="00D1008E">
        <w:t>value of</w:t>
      </w:r>
      <w:r w:rsidR="00A4653B">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=0.03</m:t>
        </m:r>
      </m:oMath>
      <w:r w:rsidR="00A4653B">
        <w:t xml:space="preserve"> </w:t>
      </w:r>
      <w:r w:rsidR="009368CD">
        <w:t>for the</w:t>
      </w:r>
      <w:r w:rsidR="00F7438A">
        <w:t xml:space="preserve"> 5-year </w:t>
      </w:r>
      <w:r w:rsidR="007523C7">
        <w:t xml:space="preserve">mission duration </w:t>
      </w:r>
      <w:r w:rsidR="00F7438A">
        <w:t>model</w:t>
      </w:r>
      <w:r w:rsidR="00A363A0">
        <w:t>s</w:t>
      </w:r>
      <w:r w:rsidR="009368CD">
        <w:t xml:space="preserve"> </w:t>
      </w:r>
      <w:r w:rsidR="00D1008E">
        <w:t xml:space="preserve">plotted as the gray circles </w:t>
      </w:r>
      <w:r w:rsidR="009368CD">
        <w:t xml:space="preserve">in Figure 4.  </w:t>
      </w:r>
      <w:r w:rsidR="00D1008E">
        <w:t>De</w:t>
      </w:r>
      <w:r w:rsidR="008C59BC">
        <w:t>creasing</w:t>
      </w:r>
      <w:r w:rsidR="003B4DFC">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3B4DFC">
        <w:t xml:space="preserve"> </w:t>
      </w:r>
      <w:r w:rsidR="00674D9B">
        <w:t xml:space="preserve">from this value </w:t>
      </w:r>
      <w:r w:rsidR="008C59BC">
        <w:t>has the</w:t>
      </w:r>
      <w:r w:rsidR="00A363A0">
        <w:t xml:space="preserve"> </w:t>
      </w:r>
      <w:r w:rsidR="008C59BC">
        <w:t xml:space="preserve">effect of </w:t>
      </w:r>
      <w:r w:rsidR="00A363A0">
        <w:t xml:space="preserve">slightly decreasing the rate that RMMs must be performed in order to attain the same </w:t>
      </w:r>
      <w:r w:rsidR="00CA2A43">
        <w:t>level</w:t>
      </w:r>
      <w:r w:rsidR="00A4126C">
        <w:t xml:space="preserve"> of cumulative risk</w:t>
      </w:r>
      <w:r w:rsidR="00A363A0">
        <w:t xml:space="preserve">.  However, it also </w:t>
      </w:r>
      <w:r w:rsidR="008C59BC">
        <w:t>mak</w:t>
      </w:r>
      <w:r w:rsidR="00A363A0">
        <w:t>es</w:t>
      </w:r>
      <w:r w:rsidR="008C59BC">
        <w:t xml:space="preserve"> </w:t>
      </w:r>
      <w:r w:rsidR="007A580E">
        <w:t>blue</w:t>
      </w:r>
      <w:r w:rsidR="00F7438A">
        <w:t xml:space="preserve"> threshold levels</w:t>
      </w:r>
      <w:r w:rsidR="008C59BC">
        <w:t xml:space="preserve"> </w:t>
      </w:r>
      <w:r w:rsidR="00D1008E">
        <w:t>more difficult</w:t>
      </w:r>
      <w:r w:rsidR="008C59BC">
        <w:t xml:space="preserve"> to achieve</w:t>
      </w:r>
      <w:r w:rsidR="004A7241">
        <w:t xml:space="preserve"> by</w:t>
      </w:r>
      <w:r w:rsidR="00580BC7">
        <w:t xml:space="preserve"> potentially</w:t>
      </w:r>
      <w:r w:rsidR="003B4DFC">
        <w:t xml:space="preserve"> </w:t>
      </w:r>
      <w:r w:rsidR="00D1008E">
        <w:t>requiring</w:t>
      </w:r>
      <w:r w:rsidR="00F7438A">
        <w:t xml:space="preserve"> prohibitively early or large maneuvers.</w:t>
      </w:r>
      <w:r w:rsidR="00580BC7">
        <w:t xml:space="preserve"> </w:t>
      </w:r>
      <w:r w:rsidR="00A363A0">
        <w:t xml:space="preserve"> Increasing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A363A0">
        <w:t xml:space="preserve"> has the opposite effect.  Table 2</w:t>
      </w:r>
      <w:r w:rsidR="00BE6428">
        <w:t xml:space="preserve"> demonstrates that, for this example case,</w:t>
      </w:r>
      <w:r w:rsidR="00A363A0">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A363A0">
        <w:t xml:space="preserve"> values in the range 0.03 to 0.1 </w:t>
      </w:r>
      <w:r w:rsidR="00BE6428">
        <w:t>can be used to achieve</w:t>
      </w:r>
      <w:r w:rsidR="00A363A0">
        <w:t xml:space="preserve"> the same level</w:t>
      </w:r>
      <w:r w:rsidR="00BE6428">
        <w:t>s</w:t>
      </w:r>
      <w:r w:rsidR="00A363A0">
        <w:t xml:space="preserve"> of risk remediation </w:t>
      </w:r>
      <w:r w:rsidR="00BE6428">
        <w:t>as</w:t>
      </w:r>
      <w:r w:rsidR="00A363A0">
        <w:t xml:space="preserve"> the most stringent value of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m:t>
        </m:r>
      </m:oMath>
      <w:r w:rsidR="00A363A0">
        <w:t xml:space="preserve">, </w:t>
      </w:r>
      <w:r w:rsidR="00CA2A43">
        <w:t>but</w:t>
      </w:r>
      <w:r w:rsidR="00A363A0">
        <w:t xml:space="preserve"> only increas</w:t>
      </w:r>
      <w:r w:rsidR="004A7241">
        <w:t xml:space="preserve">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A363A0">
        <w:t xml:space="preserve"> </w:t>
      </w:r>
      <w:r w:rsidR="009A719E">
        <w:t>averages</w:t>
      </w:r>
      <w:r w:rsidR="004A7241">
        <w:t xml:space="preserve"> </w:t>
      </w:r>
      <w:r w:rsidR="00BE6428">
        <w:t xml:space="preserve">by </w:t>
      </w:r>
      <w:r w:rsidR="001007DC">
        <w:t xml:space="preserve">less than </w:t>
      </w:r>
      <w:r w:rsidR="00D26982">
        <w:t>3</w:t>
      </w:r>
      <w:r w:rsidR="00BE6428">
        <w:t>% to 1</w:t>
      </w:r>
      <w:r w:rsidR="00D26982">
        <w:t>0</w:t>
      </w:r>
      <w:r w:rsidR="00BE6428">
        <w:t>%, respectively.  Similar c</w:t>
      </w:r>
      <w:r w:rsidR="00983AD9">
        <w:t xml:space="preserve">omparisons </w:t>
      </w:r>
      <w:r w:rsidR="00A363A0">
        <w:t xml:space="preserve">for other CARA </w:t>
      </w:r>
      <w:r w:rsidR="0011567A">
        <w:t xml:space="preserve">primaries </w:t>
      </w:r>
      <w:r w:rsidR="00BE6428">
        <w:t xml:space="preserve">also </w:t>
      </w:r>
      <w:r w:rsidR="0011567A">
        <w:t xml:space="preserve">indicate that </w:t>
      </w:r>
      <w:r w:rsidR="00BE6428">
        <w:t xml:space="preserve">using a blue threshold </w:t>
      </w:r>
      <w:r w:rsidR="001007DC">
        <w:t>reduction factor</w:t>
      </w:r>
      <w:r w:rsidR="000E6070">
        <w:t xml:space="preserve"> of</w:t>
      </w:r>
      <w:r w:rsidR="00BE6428">
        <w:t xml:space="preserve">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=0.03</m:t>
        </m:r>
      </m:oMath>
      <w:r w:rsidR="00A766D1">
        <w:t xml:space="preserve"> </w:t>
      </w:r>
      <w:r w:rsidR="00EF3D21">
        <w:t xml:space="preserve">provides effective risk remediation without increasing </w:t>
      </w:r>
      <w:r w:rsidR="00966C92">
        <w:t>average</w:t>
      </w:r>
      <w:r w:rsidR="00EF3D21">
        <w:t xml:space="preserve"> maneuver rates </w:t>
      </w:r>
      <w:r w:rsidR="00F47D14">
        <w:t xml:space="preserve">by </w:t>
      </w:r>
      <w:r w:rsidR="00EF3D21">
        <w:t xml:space="preserve">more than </w:t>
      </w:r>
      <w:r w:rsidR="000E6070">
        <w:t>~</w:t>
      </w:r>
      <w:r w:rsidR="00EF3D21">
        <w:t>5%</w:t>
      </w:r>
      <w:r w:rsidR="00700D74">
        <w:t>.</w:t>
      </w:r>
    </w:p>
    <w:p w14:paraId="1DFB7FB2" w14:textId="46A31719" w:rsidR="00530724" w:rsidRPr="008C59BC" w:rsidRDefault="009823F5" w:rsidP="00B96A52">
      <w:pPr>
        <w:pStyle w:val="Caption"/>
        <w:jc w:val="center"/>
      </w:pPr>
      <w:r w:rsidRPr="008C59BC">
        <w:t xml:space="preserve">Table </w:t>
      </w:r>
      <w:r w:rsidR="00933910">
        <w:t>2</w:t>
      </w:r>
      <w:r w:rsidRPr="008C59BC">
        <w:t xml:space="preserve">. </w:t>
      </w:r>
      <w:r w:rsidR="00B96A52">
        <w:t xml:space="preserve">RMM </w:t>
      </w:r>
      <w:r w:rsidR="00F76755">
        <w:t xml:space="preserve">median </w:t>
      </w:r>
      <w:r w:rsidR="00B96A52">
        <w:t>t</w:t>
      </w:r>
      <w:r w:rsidRPr="008C59BC">
        <w:t xml:space="preserve">hresholds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RMM</m:t>
            </m:r>
          </m:sub>
        </m:sSub>
      </m:oMath>
      <w:r w:rsidRPr="008C59BC">
        <w:t xml:space="preserve"> and </w:t>
      </w:r>
      <w:r w:rsidR="00F76755">
        <w:t xml:space="preserve">average </w:t>
      </w:r>
      <w:r w:rsidRPr="008C59BC">
        <w:t xml:space="preserve">rates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N</m:t>
                </m:r>
              </m:e>
            </m:acc>
          </m:e>
          <m:sub>
            <m:r>
              <m:rPr>
                <m:sty m:val="bi"/>
              </m:rPr>
              <w:rPr>
                <w:rFonts w:ascii="Cambria Math" w:hAnsi="Cambria Math"/>
              </w:rPr>
              <m:t>RMM</m:t>
            </m:r>
          </m:sub>
        </m:sSub>
      </m:oMath>
      <w:r w:rsidRPr="008C59BC">
        <w:t xml:space="preserve"> </w:t>
      </w:r>
      <w:r w:rsidR="008C59BC">
        <w:t>as a function of</w:t>
      </w:r>
      <w:r w:rsidR="00B96A52">
        <w:t xml:space="preserve"> reduction factor</w:t>
      </w:r>
      <w:r w:rsidR="008C59BC" w:rsidRPr="008C59BC">
        <w:t xml:space="preserve"> </w:t>
      </w:r>
      <m:oMath>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t</m:t>
            </m:r>
          </m:sub>
        </m:sSub>
      </m:oMath>
      <w:r w:rsidR="008C59BC" w:rsidRPr="000A7FEC">
        <w:t xml:space="preserve"> </w:t>
      </w:r>
      <w:r w:rsidRPr="000A7FEC">
        <w:t>f</w:t>
      </w:r>
      <w:r w:rsidRPr="008C59BC">
        <w:t xml:space="preserve">or a </w:t>
      </w:r>
      <w:r w:rsidR="007D3CF6">
        <w:t>mission</w:t>
      </w:r>
      <w:r w:rsidRPr="008C59BC">
        <w:t xml:space="preserve"> required to remediate to a 5-year </w:t>
      </w:r>
      <w:r w:rsidR="008C59BC" w:rsidRPr="008C59BC">
        <w:t xml:space="preserve">cumulative risk </w:t>
      </w:r>
      <w:r w:rsidR="00B96A52">
        <w:t>of</w:t>
      </w:r>
      <w:r w:rsidR="00B96A52" w:rsidRPr="00087B15">
        <w:t xml:space="preserve"> </w:t>
      </w:r>
      <m:oMath>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cum</m:t>
            </m:r>
          </m:sub>
          <m:sup>
            <m:r>
              <m:rPr>
                <m:sty m:val="bi"/>
              </m:rPr>
              <w:rPr>
                <w:rFonts w:ascii="Cambria Math" w:hAnsi="Cambria Math"/>
              </w:rPr>
              <m:t>goal</m:t>
            </m:r>
          </m:sup>
        </m:sSubSup>
        <m:r>
          <m:rPr>
            <m:sty m:val="bi"/>
          </m:rPr>
          <w:rPr>
            <w:rFonts w:ascii="Cambria Math" w:hAnsi="Cambria Math"/>
          </w:rPr>
          <m:t>=</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w:r w:rsidR="00B96A52" w:rsidRPr="008C59BC">
        <w:t>.</w:t>
      </w:r>
    </w:p>
    <w:tbl>
      <w:tblPr>
        <w:tblStyle w:val="TableGrid"/>
        <w:tblW w:w="0" w:type="auto"/>
        <w:jc w:val="center"/>
        <w:tblLook w:val="04A0" w:firstRow="1" w:lastRow="0" w:firstColumn="1" w:lastColumn="0" w:noHBand="0" w:noVBand="1"/>
      </w:tblPr>
      <w:tblGrid>
        <w:gridCol w:w="1377"/>
        <w:gridCol w:w="1261"/>
        <w:gridCol w:w="1059"/>
        <w:gridCol w:w="1059"/>
        <w:gridCol w:w="1059"/>
        <w:gridCol w:w="1059"/>
        <w:gridCol w:w="1059"/>
      </w:tblGrid>
      <w:tr w:rsidR="00B96A52" w14:paraId="35D55A97" w14:textId="77777777" w:rsidTr="008A45E3">
        <w:trPr>
          <w:jc w:val="center"/>
        </w:trPr>
        <w:tc>
          <w:tcPr>
            <w:tcW w:w="0" w:type="auto"/>
            <w:gridSpan w:val="2"/>
            <w:tcBorders>
              <w:top w:val="nil"/>
              <w:left w:val="nil"/>
            </w:tcBorders>
            <w:shd w:val="clear" w:color="auto" w:fill="FFFFFF" w:themeFill="background1"/>
          </w:tcPr>
          <w:p w14:paraId="0F88E4F7" w14:textId="1ADB9EEB" w:rsidR="00B96A52" w:rsidRDefault="00B96A52" w:rsidP="009823F5">
            <w:pPr>
              <w:jc w:val="center"/>
            </w:pPr>
          </w:p>
        </w:tc>
        <w:tc>
          <w:tcPr>
            <w:tcW w:w="0" w:type="auto"/>
            <w:shd w:val="clear" w:color="auto" w:fill="D9E2F3" w:themeFill="accent5" w:themeFillTint="33"/>
            <w:vAlign w:val="center"/>
          </w:tcPr>
          <w:p w14:paraId="11C49E04" w14:textId="77EAE3E6" w:rsidR="00B96A52" w:rsidRPr="000A7FEC" w:rsidRDefault="0083235C" w:rsidP="00072E31">
            <w:pPr>
              <w:jc w:val="center"/>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B96A52" w:rsidRPr="000A7FEC">
              <w:t>=0.30</w:t>
            </w:r>
          </w:p>
        </w:tc>
        <w:tc>
          <w:tcPr>
            <w:tcW w:w="0" w:type="auto"/>
            <w:shd w:val="clear" w:color="auto" w:fill="D9E2F3" w:themeFill="accent5" w:themeFillTint="33"/>
            <w:vAlign w:val="center"/>
          </w:tcPr>
          <w:p w14:paraId="3EEEC177" w14:textId="5A071374" w:rsidR="00B96A52" w:rsidRDefault="0083235C" w:rsidP="00072E31">
            <w:pPr>
              <w:jc w:val="center"/>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B96A52">
              <w:t>=0.10</w:t>
            </w:r>
          </w:p>
        </w:tc>
        <w:tc>
          <w:tcPr>
            <w:tcW w:w="0" w:type="auto"/>
            <w:shd w:val="clear" w:color="auto" w:fill="D9E2F3" w:themeFill="accent5" w:themeFillTint="33"/>
            <w:vAlign w:val="center"/>
          </w:tcPr>
          <w:p w14:paraId="6880CD0B" w14:textId="0B5EBC80" w:rsidR="00B96A52" w:rsidRDefault="0083235C" w:rsidP="00072E31">
            <w:pPr>
              <w:jc w:val="center"/>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B96A52">
              <w:t>=0.03</w:t>
            </w:r>
          </w:p>
        </w:tc>
        <w:tc>
          <w:tcPr>
            <w:tcW w:w="0" w:type="auto"/>
            <w:shd w:val="clear" w:color="auto" w:fill="D9E2F3" w:themeFill="accent5" w:themeFillTint="33"/>
            <w:vAlign w:val="center"/>
          </w:tcPr>
          <w:p w14:paraId="3046FE88" w14:textId="542C780D" w:rsidR="00B96A52" w:rsidRDefault="0083235C" w:rsidP="00072E31">
            <w:pPr>
              <w:jc w:val="center"/>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B96A52">
              <w:t>=0.01</w:t>
            </w:r>
          </w:p>
        </w:tc>
        <w:tc>
          <w:tcPr>
            <w:tcW w:w="0" w:type="auto"/>
            <w:shd w:val="clear" w:color="auto" w:fill="D9E2F3" w:themeFill="accent5" w:themeFillTint="33"/>
            <w:vAlign w:val="center"/>
          </w:tcPr>
          <w:p w14:paraId="2E9F7196" w14:textId="1624504A" w:rsidR="00B96A52" w:rsidRDefault="0083235C" w:rsidP="00072E31">
            <w:pPr>
              <w:jc w:val="center"/>
            </w:pP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B96A52">
              <w:t>=0.00</w:t>
            </w:r>
          </w:p>
        </w:tc>
      </w:tr>
      <w:tr w:rsidR="00507111" w14:paraId="0177994E" w14:textId="77777777" w:rsidTr="009823F5">
        <w:trPr>
          <w:jc w:val="center"/>
        </w:trPr>
        <w:tc>
          <w:tcPr>
            <w:tcW w:w="0" w:type="auto"/>
            <w:vMerge w:val="restart"/>
            <w:shd w:val="clear" w:color="auto" w:fill="E2EFD9" w:themeFill="accent6" w:themeFillTint="33"/>
            <w:vAlign w:val="center"/>
          </w:tcPr>
          <w:p w14:paraId="359718CC" w14:textId="77777777" w:rsidR="00507111" w:rsidRDefault="00507111" w:rsidP="00507111">
            <w:pPr>
              <w:jc w:val="center"/>
            </w:pPr>
            <w:r>
              <w:t>Regular</w:t>
            </w:r>
          </w:p>
          <w:p w14:paraId="5F3A1777" w14:textId="11D7E999" w:rsidR="00B96A52" w:rsidRPr="00507111" w:rsidRDefault="00B96A52" w:rsidP="00507111">
            <w:pPr>
              <w:jc w:val="center"/>
            </w:pPr>
            <w:r>
              <w:t>Mode</w:t>
            </w:r>
          </w:p>
        </w:tc>
        <w:tc>
          <w:tcPr>
            <w:tcW w:w="0" w:type="auto"/>
            <w:shd w:val="clear" w:color="auto" w:fill="F2F2F2" w:themeFill="background1" w:themeFillShade="F2"/>
            <w:vAlign w:val="center"/>
          </w:tcPr>
          <w:p w14:paraId="55011730" w14:textId="298E9D6D" w:rsidR="00507111" w:rsidRDefault="0083235C" w:rsidP="00072E3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25E37F74" w14:textId="77777777" w:rsidR="00507111" w:rsidRDefault="00507111" w:rsidP="00072E31">
            <w:pPr>
              <w:jc w:val="center"/>
            </w:pPr>
            <w:r>
              <w:t>7.77</w:t>
            </w:r>
            <w:r>
              <w:sym w:font="Symbol" w:char="F0B4"/>
            </w:r>
            <w:r>
              <w:t>10</w:t>
            </w:r>
            <w:r w:rsidRPr="00A4653B">
              <w:rPr>
                <w:vertAlign w:val="superscript"/>
              </w:rPr>
              <w:t>-5</w:t>
            </w:r>
          </w:p>
        </w:tc>
        <w:tc>
          <w:tcPr>
            <w:tcW w:w="0" w:type="auto"/>
            <w:vAlign w:val="center"/>
          </w:tcPr>
          <w:p w14:paraId="239D5803" w14:textId="77777777" w:rsidR="00507111" w:rsidRDefault="00507111" w:rsidP="00072E31">
            <w:pPr>
              <w:jc w:val="center"/>
            </w:pPr>
            <w:r>
              <w:t>9.76</w:t>
            </w:r>
            <w:r>
              <w:sym w:font="Symbol" w:char="F0B4"/>
            </w:r>
            <w:r>
              <w:t>10</w:t>
            </w:r>
            <w:r w:rsidRPr="00A4653B">
              <w:rPr>
                <w:vertAlign w:val="superscript"/>
              </w:rPr>
              <w:t>-5</w:t>
            </w:r>
          </w:p>
        </w:tc>
        <w:tc>
          <w:tcPr>
            <w:tcW w:w="0" w:type="auto"/>
            <w:vAlign w:val="center"/>
          </w:tcPr>
          <w:p w14:paraId="664640E1" w14:textId="77777777" w:rsidR="00507111" w:rsidRDefault="00507111" w:rsidP="00072E31">
            <w:pPr>
              <w:jc w:val="center"/>
            </w:pPr>
            <w:r>
              <w:t>1.05</w:t>
            </w:r>
            <w:r>
              <w:sym w:font="Symbol" w:char="F0B4"/>
            </w:r>
            <w:r>
              <w:t>10</w:t>
            </w:r>
            <w:r w:rsidRPr="00A4653B">
              <w:rPr>
                <w:vertAlign w:val="superscript"/>
              </w:rPr>
              <w:t>-</w:t>
            </w:r>
            <w:r>
              <w:rPr>
                <w:vertAlign w:val="superscript"/>
              </w:rPr>
              <w:t>4</w:t>
            </w:r>
          </w:p>
        </w:tc>
        <w:tc>
          <w:tcPr>
            <w:tcW w:w="0" w:type="auto"/>
            <w:vAlign w:val="center"/>
          </w:tcPr>
          <w:p w14:paraId="3033F71E" w14:textId="77777777" w:rsidR="00507111" w:rsidRDefault="00507111" w:rsidP="00072E31">
            <w:pPr>
              <w:jc w:val="center"/>
            </w:pPr>
            <w:r>
              <w:t>1.07</w:t>
            </w:r>
            <w:r>
              <w:sym w:font="Symbol" w:char="F0B4"/>
            </w:r>
            <w:r>
              <w:t>10</w:t>
            </w:r>
            <w:r w:rsidRPr="00A4653B">
              <w:rPr>
                <w:vertAlign w:val="superscript"/>
              </w:rPr>
              <w:t>-</w:t>
            </w:r>
            <w:r>
              <w:rPr>
                <w:vertAlign w:val="superscript"/>
              </w:rPr>
              <w:t>4</w:t>
            </w:r>
          </w:p>
        </w:tc>
        <w:tc>
          <w:tcPr>
            <w:tcW w:w="0" w:type="auto"/>
            <w:vAlign w:val="center"/>
          </w:tcPr>
          <w:p w14:paraId="549C0BA5" w14:textId="77777777" w:rsidR="00507111" w:rsidRDefault="00507111" w:rsidP="00072E31">
            <w:pPr>
              <w:jc w:val="center"/>
            </w:pPr>
            <w:r>
              <w:t>1.08</w:t>
            </w:r>
            <w:r>
              <w:sym w:font="Symbol" w:char="F0B4"/>
            </w:r>
            <w:r>
              <w:t>10</w:t>
            </w:r>
            <w:r w:rsidRPr="00A4653B">
              <w:rPr>
                <w:vertAlign w:val="superscript"/>
              </w:rPr>
              <w:t>-</w:t>
            </w:r>
            <w:r>
              <w:rPr>
                <w:vertAlign w:val="superscript"/>
              </w:rPr>
              <w:t>4</w:t>
            </w:r>
          </w:p>
        </w:tc>
      </w:tr>
      <w:tr w:rsidR="00507111" w14:paraId="437F6B94" w14:textId="77777777" w:rsidTr="009823F5">
        <w:trPr>
          <w:trHeight w:val="215"/>
          <w:jc w:val="center"/>
        </w:trPr>
        <w:tc>
          <w:tcPr>
            <w:tcW w:w="0" w:type="auto"/>
            <w:vMerge/>
            <w:shd w:val="clear" w:color="auto" w:fill="E2EFD9" w:themeFill="accent6" w:themeFillTint="33"/>
          </w:tcPr>
          <w:p w14:paraId="58BF8CEB" w14:textId="77777777" w:rsidR="00507111" w:rsidRDefault="00507111" w:rsidP="00072E31">
            <w:pPr>
              <w:jc w:val="center"/>
              <w:rPr>
                <w:rFonts w:ascii="Arial" w:hAnsi="Arial"/>
              </w:rPr>
            </w:pPr>
          </w:p>
        </w:tc>
        <w:tc>
          <w:tcPr>
            <w:tcW w:w="0" w:type="auto"/>
            <w:shd w:val="clear" w:color="auto" w:fill="F2F2F2" w:themeFill="background1" w:themeFillShade="F2"/>
            <w:vAlign w:val="center"/>
          </w:tcPr>
          <w:p w14:paraId="6440E913" w14:textId="62EEAFB5" w:rsidR="00507111" w:rsidRDefault="0083235C" w:rsidP="00072E31">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507111">
              <w:t xml:space="preserve"> (yr</w:t>
            </w:r>
            <w:r w:rsidR="00507111" w:rsidRPr="004E4A9E">
              <w:rPr>
                <w:vertAlign w:val="superscript"/>
              </w:rPr>
              <w:t>-1</w:t>
            </w:r>
            <w:r w:rsidR="00507111">
              <w:t>)</w:t>
            </w:r>
          </w:p>
        </w:tc>
        <w:tc>
          <w:tcPr>
            <w:tcW w:w="0" w:type="auto"/>
            <w:vAlign w:val="center"/>
          </w:tcPr>
          <w:p w14:paraId="293A7065" w14:textId="0BF232E8" w:rsidR="00507111" w:rsidRDefault="00507111" w:rsidP="00072E31">
            <w:pPr>
              <w:jc w:val="center"/>
            </w:pPr>
            <w:r>
              <w:t>1.</w:t>
            </w:r>
            <w:r w:rsidR="00150E23">
              <w:t>14</w:t>
            </w:r>
          </w:p>
        </w:tc>
        <w:tc>
          <w:tcPr>
            <w:tcW w:w="0" w:type="auto"/>
            <w:vAlign w:val="center"/>
          </w:tcPr>
          <w:p w14:paraId="41F6A69C" w14:textId="3820ED12" w:rsidR="00507111" w:rsidRDefault="00507111" w:rsidP="00072E31">
            <w:pPr>
              <w:jc w:val="center"/>
            </w:pPr>
            <w:r>
              <w:t>0.</w:t>
            </w:r>
            <w:r w:rsidR="00150E23">
              <w:t>93</w:t>
            </w:r>
          </w:p>
        </w:tc>
        <w:tc>
          <w:tcPr>
            <w:tcW w:w="0" w:type="auto"/>
            <w:vAlign w:val="center"/>
          </w:tcPr>
          <w:p w14:paraId="2E62994C" w14:textId="5A614913" w:rsidR="00507111" w:rsidRDefault="00507111" w:rsidP="00072E31">
            <w:pPr>
              <w:jc w:val="center"/>
            </w:pPr>
            <w:r>
              <w:t>0.</w:t>
            </w:r>
            <w:r w:rsidR="00D26982">
              <w:t>87</w:t>
            </w:r>
          </w:p>
        </w:tc>
        <w:tc>
          <w:tcPr>
            <w:tcW w:w="0" w:type="auto"/>
            <w:vAlign w:val="center"/>
          </w:tcPr>
          <w:p w14:paraId="179FBE4C" w14:textId="388CF271" w:rsidR="00507111" w:rsidRDefault="00507111" w:rsidP="00072E31">
            <w:pPr>
              <w:jc w:val="center"/>
            </w:pPr>
            <w:r>
              <w:t>0.</w:t>
            </w:r>
            <w:r w:rsidR="00150E23">
              <w:t>86</w:t>
            </w:r>
          </w:p>
        </w:tc>
        <w:tc>
          <w:tcPr>
            <w:tcW w:w="0" w:type="auto"/>
            <w:vAlign w:val="center"/>
          </w:tcPr>
          <w:p w14:paraId="66541A3C" w14:textId="5CD4E000" w:rsidR="00507111" w:rsidRDefault="00507111" w:rsidP="00072E31">
            <w:pPr>
              <w:jc w:val="center"/>
            </w:pPr>
            <w:r>
              <w:t>0.</w:t>
            </w:r>
            <w:r w:rsidR="00150E23">
              <w:t>85</w:t>
            </w:r>
          </w:p>
        </w:tc>
      </w:tr>
      <w:tr w:rsidR="00507111" w14:paraId="4D332729" w14:textId="77777777" w:rsidTr="009823F5">
        <w:trPr>
          <w:trHeight w:val="215"/>
          <w:jc w:val="center"/>
        </w:trPr>
        <w:tc>
          <w:tcPr>
            <w:tcW w:w="0" w:type="auto"/>
            <w:vMerge w:val="restart"/>
            <w:shd w:val="clear" w:color="auto" w:fill="E2EFD9" w:themeFill="accent6" w:themeFillTint="33"/>
            <w:vAlign w:val="center"/>
          </w:tcPr>
          <w:p w14:paraId="0465889D" w14:textId="77777777" w:rsidR="00507111" w:rsidRDefault="00507111" w:rsidP="00507111">
            <w:pPr>
              <w:jc w:val="center"/>
            </w:pPr>
            <w:r>
              <w:t>Conservative</w:t>
            </w:r>
          </w:p>
          <w:p w14:paraId="4EC99171" w14:textId="01B8245E" w:rsidR="00B96A52" w:rsidRPr="00507111" w:rsidRDefault="00B96A52" w:rsidP="00507111">
            <w:pPr>
              <w:jc w:val="center"/>
            </w:pPr>
            <w:r>
              <w:t>Mode</w:t>
            </w:r>
          </w:p>
        </w:tc>
        <w:tc>
          <w:tcPr>
            <w:tcW w:w="0" w:type="auto"/>
            <w:shd w:val="clear" w:color="auto" w:fill="F2F2F2" w:themeFill="background1" w:themeFillShade="F2"/>
            <w:vAlign w:val="center"/>
          </w:tcPr>
          <w:p w14:paraId="25DD834E" w14:textId="42029020" w:rsidR="00507111" w:rsidRDefault="0083235C" w:rsidP="00507111">
            <w:pPr>
              <w:jc w:val="cente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3E03065A" w14:textId="15DDAFA8" w:rsidR="00507111" w:rsidRDefault="00507111" w:rsidP="00507111">
            <w:pPr>
              <w:jc w:val="center"/>
            </w:pPr>
            <w:r>
              <w:t>6.69</w:t>
            </w:r>
            <w:r>
              <w:sym w:font="Symbol" w:char="F0B4"/>
            </w:r>
            <w:r>
              <w:t>10</w:t>
            </w:r>
            <w:r w:rsidRPr="00A4653B">
              <w:rPr>
                <w:vertAlign w:val="superscript"/>
              </w:rPr>
              <w:t>-5</w:t>
            </w:r>
          </w:p>
        </w:tc>
        <w:tc>
          <w:tcPr>
            <w:tcW w:w="0" w:type="auto"/>
            <w:vAlign w:val="center"/>
          </w:tcPr>
          <w:p w14:paraId="15177B52" w14:textId="2288AAEA" w:rsidR="00507111" w:rsidRDefault="00507111" w:rsidP="00507111">
            <w:pPr>
              <w:jc w:val="center"/>
            </w:pPr>
            <w:r>
              <w:t>7.95</w:t>
            </w:r>
            <w:r>
              <w:sym w:font="Symbol" w:char="F0B4"/>
            </w:r>
            <w:r>
              <w:t>10</w:t>
            </w:r>
            <w:r w:rsidRPr="00A4653B">
              <w:rPr>
                <w:vertAlign w:val="superscript"/>
              </w:rPr>
              <w:t>-5</w:t>
            </w:r>
          </w:p>
        </w:tc>
        <w:tc>
          <w:tcPr>
            <w:tcW w:w="0" w:type="auto"/>
            <w:vAlign w:val="center"/>
          </w:tcPr>
          <w:p w14:paraId="40E2BD59" w14:textId="14C91D40" w:rsidR="00507111" w:rsidRDefault="00507111" w:rsidP="00507111">
            <w:pPr>
              <w:jc w:val="center"/>
            </w:pPr>
            <w:r>
              <w:t>8.53</w:t>
            </w:r>
            <w:r>
              <w:sym w:font="Symbol" w:char="F0B4"/>
            </w:r>
            <w:r>
              <w:t>10</w:t>
            </w:r>
            <w:r w:rsidRPr="00A4653B">
              <w:rPr>
                <w:vertAlign w:val="superscript"/>
              </w:rPr>
              <w:t>-</w:t>
            </w:r>
            <w:r>
              <w:rPr>
                <w:vertAlign w:val="superscript"/>
              </w:rPr>
              <w:t>5</w:t>
            </w:r>
          </w:p>
        </w:tc>
        <w:tc>
          <w:tcPr>
            <w:tcW w:w="0" w:type="auto"/>
            <w:vAlign w:val="center"/>
          </w:tcPr>
          <w:p w14:paraId="5586E0E3" w14:textId="74B8B267" w:rsidR="00507111" w:rsidRDefault="00507111" w:rsidP="00507111">
            <w:pPr>
              <w:jc w:val="center"/>
            </w:pPr>
            <w:r>
              <w:t>8.68</w:t>
            </w:r>
            <w:r>
              <w:sym w:font="Symbol" w:char="F0B4"/>
            </w:r>
            <w:r>
              <w:t>10</w:t>
            </w:r>
            <w:r w:rsidRPr="00A4653B">
              <w:rPr>
                <w:vertAlign w:val="superscript"/>
              </w:rPr>
              <w:t>-</w:t>
            </w:r>
            <w:r>
              <w:rPr>
                <w:vertAlign w:val="superscript"/>
              </w:rPr>
              <w:t>5</w:t>
            </w:r>
          </w:p>
        </w:tc>
        <w:tc>
          <w:tcPr>
            <w:tcW w:w="0" w:type="auto"/>
            <w:vAlign w:val="center"/>
          </w:tcPr>
          <w:p w14:paraId="326E5156" w14:textId="64DEECB7" w:rsidR="00507111" w:rsidRDefault="00507111" w:rsidP="00507111">
            <w:pPr>
              <w:jc w:val="center"/>
            </w:pPr>
            <w:r>
              <w:t>8.76</w:t>
            </w:r>
            <w:r>
              <w:sym w:font="Symbol" w:char="F0B4"/>
            </w:r>
            <w:r>
              <w:t>10</w:t>
            </w:r>
            <w:r w:rsidRPr="00A4653B">
              <w:rPr>
                <w:vertAlign w:val="superscript"/>
              </w:rPr>
              <w:t>-</w:t>
            </w:r>
            <w:r>
              <w:rPr>
                <w:vertAlign w:val="superscript"/>
              </w:rPr>
              <w:t>5</w:t>
            </w:r>
          </w:p>
        </w:tc>
      </w:tr>
      <w:tr w:rsidR="00507111" w14:paraId="310DF1E5" w14:textId="77777777" w:rsidTr="009823F5">
        <w:trPr>
          <w:trHeight w:val="215"/>
          <w:jc w:val="center"/>
        </w:trPr>
        <w:tc>
          <w:tcPr>
            <w:tcW w:w="0" w:type="auto"/>
            <w:vMerge/>
            <w:shd w:val="clear" w:color="auto" w:fill="E2EFD9" w:themeFill="accent6" w:themeFillTint="33"/>
          </w:tcPr>
          <w:p w14:paraId="0B265B69" w14:textId="77777777" w:rsidR="00507111" w:rsidRDefault="00507111" w:rsidP="00507111">
            <w:pPr>
              <w:jc w:val="center"/>
              <w:rPr>
                <w:rFonts w:ascii="Arial" w:hAnsi="Arial"/>
              </w:rPr>
            </w:pPr>
          </w:p>
        </w:tc>
        <w:tc>
          <w:tcPr>
            <w:tcW w:w="0" w:type="auto"/>
            <w:shd w:val="clear" w:color="auto" w:fill="F2F2F2" w:themeFill="background1" w:themeFillShade="F2"/>
            <w:vAlign w:val="center"/>
          </w:tcPr>
          <w:p w14:paraId="598D82AA" w14:textId="612A677F" w:rsidR="00507111" w:rsidRDefault="0083235C" w:rsidP="00507111">
            <w:pPr>
              <w:jc w:val="center"/>
              <w:rPr>
                <w:rFonts w:ascii="Arial" w:hAnsi="Arial"/>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507111">
              <w:t xml:space="preserve"> (yr</w:t>
            </w:r>
            <w:r w:rsidR="00507111" w:rsidRPr="004E4A9E">
              <w:rPr>
                <w:vertAlign w:val="superscript"/>
              </w:rPr>
              <w:t>-1</w:t>
            </w:r>
            <w:r w:rsidR="00507111">
              <w:t>)</w:t>
            </w:r>
          </w:p>
        </w:tc>
        <w:tc>
          <w:tcPr>
            <w:tcW w:w="0" w:type="auto"/>
            <w:vAlign w:val="center"/>
          </w:tcPr>
          <w:p w14:paraId="24DAA474" w14:textId="7702A51E" w:rsidR="00507111" w:rsidRDefault="00507111" w:rsidP="00507111">
            <w:pPr>
              <w:jc w:val="center"/>
            </w:pPr>
            <w:r>
              <w:t>1.3</w:t>
            </w:r>
            <w:r w:rsidR="00150E23">
              <w:t>3</w:t>
            </w:r>
          </w:p>
        </w:tc>
        <w:tc>
          <w:tcPr>
            <w:tcW w:w="0" w:type="auto"/>
            <w:vAlign w:val="center"/>
          </w:tcPr>
          <w:p w14:paraId="72E3B0CF" w14:textId="5ED0EFF9" w:rsidR="00507111" w:rsidRDefault="00507111" w:rsidP="00507111">
            <w:pPr>
              <w:jc w:val="center"/>
            </w:pPr>
            <w:r>
              <w:t>1.</w:t>
            </w:r>
            <w:r w:rsidR="00150E23">
              <w:t>11</w:t>
            </w:r>
          </w:p>
        </w:tc>
        <w:tc>
          <w:tcPr>
            <w:tcW w:w="0" w:type="auto"/>
            <w:vAlign w:val="center"/>
          </w:tcPr>
          <w:p w14:paraId="2402D7A8" w14:textId="14826443" w:rsidR="00507111" w:rsidRDefault="00150E23" w:rsidP="00507111">
            <w:pPr>
              <w:jc w:val="center"/>
            </w:pPr>
            <w:r>
              <w:t>1.05</w:t>
            </w:r>
          </w:p>
        </w:tc>
        <w:tc>
          <w:tcPr>
            <w:tcW w:w="0" w:type="auto"/>
            <w:vAlign w:val="center"/>
          </w:tcPr>
          <w:p w14:paraId="1C181596" w14:textId="6EBA24FE" w:rsidR="00507111" w:rsidRDefault="00150E23" w:rsidP="00507111">
            <w:pPr>
              <w:jc w:val="center"/>
            </w:pPr>
            <w:r>
              <w:t>1.03</w:t>
            </w:r>
          </w:p>
        </w:tc>
        <w:tc>
          <w:tcPr>
            <w:tcW w:w="0" w:type="auto"/>
            <w:vAlign w:val="center"/>
          </w:tcPr>
          <w:p w14:paraId="6300CEE4" w14:textId="3D29DF00" w:rsidR="00507111" w:rsidRDefault="00150E23" w:rsidP="00507111">
            <w:pPr>
              <w:jc w:val="center"/>
            </w:pPr>
            <w:r>
              <w:t>1.02</w:t>
            </w:r>
          </w:p>
        </w:tc>
      </w:tr>
    </w:tbl>
    <w:p w14:paraId="439EBA43" w14:textId="4089B545" w:rsidR="00B120E5" w:rsidRDefault="00B120E5" w:rsidP="00B120E5">
      <w:pPr>
        <w:pStyle w:val="Sub-Section"/>
      </w:pPr>
      <w:r>
        <w:t>Variations of Remediation Thresholds and Rates with Hard-Body Radius Values</w:t>
      </w:r>
    </w:p>
    <w:p w14:paraId="4C747FDC" w14:textId="0947EE41" w:rsidR="00B501AD" w:rsidRDefault="004848A2" w:rsidP="00C2799E">
      <w:pPr>
        <w:rPr>
          <w:b/>
        </w:rPr>
      </w:pPr>
      <w:r>
        <w:t xml:space="preserve">Table </w:t>
      </w:r>
      <w:r w:rsidR="00F437F0">
        <w:t>3</w:t>
      </w:r>
      <w:r>
        <w:t xml:space="preserve"> shows the effect of changing the </w:t>
      </w:r>
      <w:r w:rsidR="00F437F0">
        <w:t>hard-body radius</w:t>
      </w:r>
      <w:r>
        <w:t xml:space="preserve"> from the standard value of </w:t>
      </w:r>
      <m:oMath>
        <m:r>
          <w:rPr>
            <w:rFonts w:ascii="Cambria Math" w:hAnsi="Cambria Math"/>
          </w:rPr>
          <m:t xml:space="preserve">H=10 </m:t>
        </m:r>
        <m:r>
          <m:rPr>
            <m:sty m:val="p"/>
          </m:rPr>
          <w:rPr>
            <w:rFonts w:ascii="Cambria Math" w:hAnsi="Cambria Math"/>
          </w:rPr>
          <m:t>m</m:t>
        </m:r>
      </m:oMath>
      <w:r>
        <w:t xml:space="preserve"> for </w:t>
      </w:r>
      <w:r w:rsidR="004C0A6F">
        <w:t xml:space="preserve">a </w:t>
      </w:r>
      <w:r>
        <w:t xml:space="preserve">5-year </w:t>
      </w:r>
      <w:r w:rsidR="004C0A6F">
        <w:t xml:space="preserve">on-orbit </w:t>
      </w:r>
      <w:r w:rsidR="007523C7">
        <w:t>duration</w:t>
      </w:r>
      <w:r>
        <w:t>.</w:t>
      </w:r>
      <w:r w:rsidR="00F437F0">
        <w:t xml:space="preserve">  </w:t>
      </w:r>
      <w:r w:rsidR="00025DE8">
        <w:t xml:space="preserve">Not </w:t>
      </w:r>
      <w:r w:rsidR="00F437F0">
        <w:t>surprisingly, the model indicates that satellites with larger hard-</w:t>
      </w:r>
      <w:r w:rsidR="00F437F0">
        <w:lastRenderedPageBreak/>
        <w:t xml:space="preserve">body radii need to perform significantly more remediation to achieve the same level of cumulative collision risk </w:t>
      </w:r>
      <w:r w:rsidR="008820AE">
        <w:t>compared to</w:t>
      </w:r>
      <w:r w:rsidR="00F437F0">
        <w:t xml:space="preserve"> those with smaller radii.  For instance, Table 3 </w:t>
      </w:r>
      <w:r w:rsidR="004C0A6F">
        <w:t>shows</w:t>
      </w:r>
      <w:r w:rsidR="00F437F0">
        <w:t xml:space="preserve"> that enlarging </w:t>
      </w:r>
      <m:oMath>
        <m:r>
          <w:rPr>
            <w:rFonts w:ascii="Cambria Math" w:hAnsi="Cambria Math"/>
          </w:rPr>
          <m:t>H</m:t>
        </m:r>
      </m:oMath>
      <w:r w:rsidR="00F437F0">
        <w:t xml:space="preserve"> from 10 m to 20 m increases expected remediation rates by a factor of </w:t>
      </w:r>
      <w:r w:rsidR="00C95F02">
        <w:t>~7 or more</w:t>
      </w:r>
      <w:r w:rsidR="00D07CB1">
        <w:t xml:space="preserve"> </w:t>
      </w:r>
      <w:r w:rsidR="00D07CB1">
        <w:sym w:font="Symbol" w:char="F0BE"/>
      </w:r>
      <w:r w:rsidR="00D07CB1">
        <w:t xml:space="preserve"> indicating that</w:t>
      </w:r>
      <w:r w:rsidR="005865C9">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5865C9">
        <w:t xml:space="preserve"> </w:t>
      </w:r>
      <w:r w:rsidR="00E375B8">
        <w:t xml:space="preserve">growth </w:t>
      </w:r>
      <w:r w:rsidR="00D07CB1">
        <w:t xml:space="preserve">can </w:t>
      </w:r>
      <w:r w:rsidR="00E375B8">
        <w:t>exceed</w:t>
      </w:r>
      <w:r w:rsidR="00D07CB1">
        <w:t xml:space="preserve"> </w:t>
      </w:r>
      <w:r w:rsidR="00E375B8">
        <w:t xml:space="preserve">even </w:t>
      </w:r>
      <w:r w:rsidR="00AA545F">
        <w:t xml:space="preserve">the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00AA545F">
        <w:t xml:space="preserve"> </w:t>
      </w:r>
      <w:r w:rsidR="00F90750">
        <w:t xml:space="preserve">trend </w:t>
      </w:r>
      <w:r w:rsidR="00AA545F">
        <w:t xml:space="preserve">that applies to </w:t>
      </w:r>
      <w:r w:rsidR="00116B7B">
        <w:t xml:space="preserve">most </w:t>
      </w:r>
      <w:r w:rsidR="00AA545F">
        <w:t>collision probabilities</w:t>
      </w:r>
      <w:r w:rsidR="00E375B8">
        <w:t>.  This</w:t>
      </w:r>
      <w:r w:rsidR="00D038F1">
        <w:t xml:space="preserve"> </w:t>
      </w:r>
      <w:r w:rsidR="00F437F0">
        <w:t>implies that</w:t>
      </w:r>
      <w:r w:rsidR="00E375B8">
        <w:t xml:space="preserve"> simply</w:t>
      </w:r>
      <w:r w:rsidR="00F437F0">
        <w:t xml:space="preserve"> flying smaller satellites provide</w:t>
      </w:r>
      <w:r w:rsidR="00025DE8">
        <w:t>s</w:t>
      </w:r>
      <w:r w:rsidR="00F437F0">
        <w:t xml:space="preserve"> </w:t>
      </w:r>
      <w:r w:rsidR="006048D4">
        <w:t>a</w:t>
      </w:r>
      <w:r w:rsidR="00025DE8">
        <w:t>n extremely</w:t>
      </w:r>
      <w:r w:rsidR="006048D4">
        <w:t xml:space="preserve"> effective </w:t>
      </w:r>
      <w:r w:rsidR="00F437F0">
        <w:t>me</w:t>
      </w:r>
      <w:r w:rsidR="006048D4">
        <w:t>ans</w:t>
      </w:r>
      <w:r w:rsidR="00F437F0">
        <w:t xml:space="preserve"> of reducing </w:t>
      </w:r>
      <w:r w:rsidR="003826E5">
        <w:t xml:space="preserve">both remediation </w:t>
      </w:r>
      <w:r w:rsidR="00883623">
        <w:t>activities</w:t>
      </w:r>
      <w:r w:rsidR="003826E5">
        <w:t xml:space="preserve"> and </w:t>
      </w:r>
      <w:r w:rsidR="00F437F0">
        <w:t>on-orbit collision risks.</w:t>
      </w:r>
      <w:r w:rsidR="00745E7E">
        <w:t xml:space="preserve">  </w:t>
      </w:r>
      <w:r w:rsidR="00043E73">
        <w:t>I</w:t>
      </w:r>
      <w:r w:rsidR="00745E7E">
        <w:t xml:space="preserve">t </w:t>
      </w:r>
      <w:r w:rsidR="00043E73">
        <w:t xml:space="preserve">also </w:t>
      </w:r>
      <w:r w:rsidR="00745E7E">
        <w:t xml:space="preserve">emphasizes </w:t>
      </w:r>
      <w:r w:rsidR="00043E73">
        <w:t>that</w:t>
      </w:r>
      <w:r w:rsidR="00745E7E">
        <w:t xml:space="preserve"> missions </w:t>
      </w:r>
      <w:r w:rsidR="00043E73">
        <w:t>should</w:t>
      </w:r>
      <w:r w:rsidR="00745E7E">
        <w:t xml:space="preserve"> use realistic and accurate hard-body radii to assess risks; artificially inflated </w:t>
      </w:r>
      <m:oMath>
        <m:r>
          <w:rPr>
            <w:rFonts w:ascii="Cambria Math" w:hAnsi="Cambria Math"/>
          </w:rPr>
          <m:t>H</m:t>
        </m:r>
      </m:oMath>
      <w:r w:rsidR="00745E7E">
        <w:t xml:space="preserve"> values can </w:t>
      </w:r>
      <w:r w:rsidR="00043E73">
        <w:t>unnecessarily</w:t>
      </w:r>
      <w:r w:rsidR="00745E7E">
        <w:t xml:space="preserve"> increase </w:t>
      </w:r>
      <w:r w:rsidR="00F90750">
        <w:t xml:space="preserve">both </w:t>
      </w:r>
      <w:r w:rsidR="00043E73">
        <w:t xml:space="preserve">risk assessment workloads and </w:t>
      </w:r>
      <w:r w:rsidR="00745E7E">
        <w:t xml:space="preserve">remediation </w:t>
      </w:r>
      <w:r w:rsidR="00043E73">
        <w:t>activities</w:t>
      </w:r>
      <w:r w:rsidR="00745E7E">
        <w:t>.</w:t>
      </w:r>
    </w:p>
    <w:p w14:paraId="4B9CCEB2" w14:textId="1B0C931D" w:rsidR="004301DE" w:rsidRPr="008C59BC" w:rsidRDefault="004301DE" w:rsidP="004301DE">
      <w:pPr>
        <w:pStyle w:val="Caption"/>
        <w:jc w:val="center"/>
      </w:pPr>
      <w:r w:rsidRPr="008C59BC">
        <w:t xml:space="preserve">Table </w:t>
      </w:r>
      <w:r>
        <w:t>3</w:t>
      </w:r>
      <w:r w:rsidRPr="008C59BC">
        <w:t xml:space="preserve">. </w:t>
      </w:r>
      <w:r>
        <w:t xml:space="preserve">RMM </w:t>
      </w:r>
      <w:r w:rsidR="000D39B9">
        <w:t xml:space="preserve">median </w:t>
      </w:r>
      <w:r>
        <w:t>t</w:t>
      </w:r>
      <w:r w:rsidRPr="008C59BC">
        <w:t xml:space="preserve">hresholds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RMM</m:t>
            </m:r>
          </m:sub>
        </m:sSub>
      </m:oMath>
      <w:r w:rsidRPr="008C59BC">
        <w:t xml:space="preserve"> and </w:t>
      </w:r>
      <w:r w:rsidR="00190F01">
        <w:t xml:space="preserve">average </w:t>
      </w:r>
      <w:r w:rsidRPr="008C59BC">
        <w:t xml:space="preserve">rates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N</m:t>
                </m:r>
              </m:e>
            </m:acc>
          </m:e>
          <m:sub>
            <m:r>
              <m:rPr>
                <m:sty m:val="bi"/>
              </m:rPr>
              <w:rPr>
                <w:rFonts w:ascii="Cambria Math" w:hAnsi="Cambria Math"/>
              </w:rPr>
              <m:t>RMM</m:t>
            </m:r>
          </m:sub>
        </m:sSub>
      </m:oMath>
      <w:r w:rsidRPr="008C59BC">
        <w:t xml:space="preserve"> </w:t>
      </w:r>
      <w:r>
        <w:t xml:space="preserve">as a function of </w:t>
      </w:r>
      <w:r w:rsidR="00190F01">
        <w:t>HBR</w:t>
      </w:r>
      <w:r w:rsidRPr="008C59BC">
        <w:t xml:space="preserve"> for a </w:t>
      </w:r>
      <w:r w:rsidR="00190F01">
        <w:t>mission</w:t>
      </w:r>
      <w:r w:rsidRPr="008C59BC">
        <w:t xml:space="preserve"> required to remediate to a 5-year cumulative risk </w:t>
      </w:r>
      <w:r>
        <w:t>of</w:t>
      </w:r>
      <w:r w:rsidRPr="00087B15">
        <w:t xml:space="preserve"> </w:t>
      </w:r>
      <m:oMath>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cum</m:t>
            </m:r>
          </m:sub>
          <m:sup>
            <m:r>
              <m:rPr>
                <m:sty m:val="bi"/>
              </m:rPr>
              <w:rPr>
                <w:rFonts w:ascii="Cambria Math" w:hAnsi="Cambria Math"/>
              </w:rPr>
              <m:t>goal</m:t>
            </m:r>
          </m:sup>
        </m:sSubSup>
        <m:r>
          <m:rPr>
            <m:sty m:val="bi"/>
          </m:rPr>
          <w:rPr>
            <w:rFonts w:ascii="Cambria Math" w:hAnsi="Cambria Math"/>
          </w:rPr>
          <m:t>=</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w:r w:rsidRPr="008C59BC">
        <w:t>.</w:t>
      </w:r>
    </w:p>
    <w:tbl>
      <w:tblPr>
        <w:tblStyle w:val="TableGrid"/>
        <w:tblW w:w="0" w:type="auto"/>
        <w:jc w:val="center"/>
        <w:tblLook w:val="04A0" w:firstRow="1" w:lastRow="0" w:firstColumn="1" w:lastColumn="0" w:noHBand="0" w:noVBand="1"/>
      </w:tblPr>
      <w:tblGrid>
        <w:gridCol w:w="1377"/>
        <w:gridCol w:w="1261"/>
        <w:gridCol w:w="1059"/>
        <w:gridCol w:w="1059"/>
        <w:gridCol w:w="1059"/>
        <w:gridCol w:w="1059"/>
      </w:tblGrid>
      <w:tr w:rsidR="007D3CF6" w14:paraId="091E4661" w14:textId="77777777" w:rsidTr="008A45E3">
        <w:trPr>
          <w:jc w:val="center"/>
        </w:trPr>
        <w:tc>
          <w:tcPr>
            <w:tcW w:w="0" w:type="auto"/>
            <w:gridSpan w:val="2"/>
            <w:tcBorders>
              <w:top w:val="nil"/>
              <w:left w:val="nil"/>
            </w:tcBorders>
            <w:shd w:val="clear" w:color="auto" w:fill="FFFFFF" w:themeFill="background1"/>
          </w:tcPr>
          <w:p w14:paraId="59B26EB6" w14:textId="77777777" w:rsidR="007D3CF6" w:rsidRDefault="007D3CF6" w:rsidP="0029786D">
            <w:pPr>
              <w:jc w:val="center"/>
            </w:pPr>
          </w:p>
        </w:tc>
        <w:tc>
          <w:tcPr>
            <w:tcW w:w="0" w:type="auto"/>
            <w:shd w:val="clear" w:color="auto" w:fill="D9E2F3" w:themeFill="accent5" w:themeFillTint="33"/>
            <w:vAlign w:val="center"/>
          </w:tcPr>
          <w:p w14:paraId="2D4E131C" w14:textId="7DD78EC8" w:rsidR="007D3CF6" w:rsidRDefault="007D3CF6" w:rsidP="0029786D">
            <w:pPr>
              <w:jc w:val="center"/>
            </w:pPr>
            <m:oMath>
              <m:r>
                <w:rPr>
                  <w:rFonts w:ascii="Cambria Math" w:hAnsi="Cambria Math"/>
                </w:rPr>
                <m:t>H</m:t>
              </m:r>
            </m:oMath>
            <w:r>
              <w:t>=2.5m</w:t>
            </w:r>
          </w:p>
        </w:tc>
        <w:tc>
          <w:tcPr>
            <w:tcW w:w="0" w:type="auto"/>
            <w:shd w:val="clear" w:color="auto" w:fill="D9E2F3" w:themeFill="accent5" w:themeFillTint="33"/>
            <w:vAlign w:val="center"/>
          </w:tcPr>
          <w:p w14:paraId="273FEE98" w14:textId="40203F4D" w:rsidR="007D3CF6" w:rsidRDefault="007D3CF6" w:rsidP="0029786D">
            <w:pPr>
              <w:jc w:val="center"/>
            </w:pPr>
            <m:oMath>
              <m:r>
                <w:rPr>
                  <w:rFonts w:ascii="Cambria Math" w:hAnsi="Cambria Math"/>
                </w:rPr>
                <m:t>H</m:t>
              </m:r>
            </m:oMath>
            <w:r>
              <w:t>=5m</w:t>
            </w:r>
          </w:p>
        </w:tc>
        <w:tc>
          <w:tcPr>
            <w:tcW w:w="0" w:type="auto"/>
            <w:shd w:val="clear" w:color="auto" w:fill="D9E2F3" w:themeFill="accent5" w:themeFillTint="33"/>
            <w:vAlign w:val="center"/>
          </w:tcPr>
          <w:p w14:paraId="5AB0F364" w14:textId="295EFAE3" w:rsidR="007D3CF6" w:rsidRDefault="007D3CF6" w:rsidP="0029786D">
            <w:pPr>
              <w:jc w:val="center"/>
            </w:pPr>
            <m:oMath>
              <m:r>
                <w:rPr>
                  <w:rFonts w:ascii="Cambria Math" w:hAnsi="Cambria Math"/>
                </w:rPr>
                <m:t>H</m:t>
              </m:r>
            </m:oMath>
            <w:r>
              <w:t>=10m</w:t>
            </w:r>
          </w:p>
        </w:tc>
        <w:tc>
          <w:tcPr>
            <w:tcW w:w="0" w:type="auto"/>
            <w:shd w:val="clear" w:color="auto" w:fill="D9E2F3" w:themeFill="accent5" w:themeFillTint="33"/>
            <w:vAlign w:val="center"/>
          </w:tcPr>
          <w:p w14:paraId="517629AE" w14:textId="6C181BD9" w:rsidR="007D3CF6" w:rsidRDefault="007D3CF6" w:rsidP="0029786D">
            <w:pPr>
              <w:jc w:val="center"/>
            </w:pPr>
            <m:oMath>
              <m:r>
                <w:rPr>
                  <w:rFonts w:ascii="Cambria Math" w:hAnsi="Cambria Math"/>
                </w:rPr>
                <m:t>H</m:t>
              </m:r>
            </m:oMath>
            <w:r>
              <w:t>=20m</w:t>
            </w:r>
          </w:p>
        </w:tc>
      </w:tr>
      <w:tr w:rsidR="007D3CF6" w14:paraId="02E12B56" w14:textId="77777777" w:rsidTr="0029786D">
        <w:trPr>
          <w:jc w:val="center"/>
        </w:trPr>
        <w:tc>
          <w:tcPr>
            <w:tcW w:w="0" w:type="auto"/>
            <w:vMerge w:val="restart"/>
            <w:shd w:val="clear" w:color="auto" w:fill="E2EFD9" w:themeFill="accent6" w:themeFillTint="33"/>
            <w:vAlign w:val="center"/>
          </w:tcPr>
          <w:p w14:paraId="697EB74D" w14:textId="77777777" w:rsidR="007D3CF6" w:rsidRDefault="007D3CF6" w:rsidP="0029786D">
            <w:pPr>
              <w:jc w:val="center"/>
            </w:pPr>
            <w:r>
              <w:t>Regular</w:t>
            </w:r>
          </w:p>
          <w:p w14:paraId="3D4AEA6D" w14:textId="77777777" w:rsidR="007D3CF6" w:rsidRPr="00507111" w:rsidRDefault="007D3CF6" w:rsidP="0029786D">
            <w:pPr>
              <w:jc w:val="center"/>
            </w:pPr>
            <w:r>
              <w:t>Mode</w:t>
            </w:r>
          </w:p>
        </w:tc>
        <w:tc>
          <w:tcPr>
            <w:tcW w:w="0" w:type="auto"/>
            <w:shd w:val="clear" w:color="auto" w:fill="F2F2F2" w:themeFill="background1" w:themeFillShade="F2"/>
            <w:vAlign w:val="center"/>
          </w:tcPr>
          <w:p w14:paraId="7E102F2F" w14:textId="77777777" w:rsidR="007D3CF6" w:rsidRDefault="0083235C" w:rsidP="0029786D">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4DEF2B3D" w14:textId="4C0C5F3A" w:rsidR="007D3CF6" w:rsidRDefault="00820586" w:rsidP="0029786D">
            <w:pPr>
              <w:jc w:val="center"/>
            </w:pPr>
            <w:r>
              <w:t>1.00</w:t>
            </w:r>
            <w:r w:rsidR="007D3CF6">
              <w:sym w:font="Symbol" w:char="F0B4"/>
            </w:r>
            <w:r w:rsidR="007D3CF6">
              <w:t>10</w:t>
            </w:r>
            <w:r w:rsidR="007D3CF6" w:rsidRPr="00A4653B">
              <w:rPr>
                <w:vertAlign w:val="superscript"/>
              </w:rPr>
              <w:t>-</w:t>
            </w:r>
            <w:r>
              <w:rPr>
                <w:vertAlign w:val="superscript"/>
              </w:rPr>
              <w:t>3</w:t>
            </w:r>
          </w:p>
        </w:tc>
        <w:tc>
          <w:tcPr>
            <w:tcW w:w="0" w:type="auto"/>
            <w:vAlign w:val="center"/>
          </w:tcPr>
          <w:p w14:paraId="6B5AA517" w14:textId="752DF2FF" w:rsidR="007D3CF6" w:rsidRDefault="00820586" w:rsidP="0029786D">
            <w:pPr>
              <w:jc w:val="center"/>
            </w:pPr>
            <w:r>
              <w:t>1</w:t>
            </w:r>
            <w:r w:rsidR="007D3CF6">
              <w:t>.</w:t>
            </w:r>
            <w:r>
              <w:t>00</w:t>
            </w:r>
            <w:r w:rsidR="007D3CF6">
              <w:sym w:font="Symbol" w:char="F0B4"/>
            </w:r>
            <w:r w:rsidR="007D3CF6">
              <w:t>10</w:t>
            </w:r>
            <w:r w:rsidR="007D3CF6" w:rsidRPr="00A4653B">
              <w:rPr>
                <w:vertAlign w:val="superscript"/>
              </w:rPr>
              <w:t>-</w:t>
            </w:r>
            <w:r>
              <w:rPr>
                <w:vertAlign w:val="superscript"/>
              </w:rPr>
              <w:t>3</w:t>
            </w:r>
          </w:p>
        </w:tc>
        <w:tc>
          <w:tcPr>
            <w:tcW w:w="0" w:type="auto"/>
            <w:vAlign w:val="center"/>
          </w:tcPr>
          <w:p w14:paraId="0F7C4CB5" w14:textId="77777777" w:rsidR="007D3CF6" w:rsidRDefault="007D3CF6" w:rsidP="0029786D">
            <w:pPr>
              <w:jc w:val="center"/>
            </w:pPr>
            <w:r>
              <w:t>1.05</w:t>
            </w:r>
            <w:r>
              <w:sym w:font="Symbol" w:char="F0B4"/>
            </w:r>
            <w:r>
              <w:t>10</w:t>
            </w:r>
            <w:r w:rsidRPr="00A4653B">
              <w:rPr>
                <w:vertAlign w:val="superscript"/>
              </w:rPr>
              <w:t>-</w:t>
            </w:r>
            <w:r>
              <w:rPr>
                <w:vertAlign w:val="superscript"/>
              </w:rPr>
              <w:t>4</w:t>
            </w:r>
          </w:p>
        </w:tc>
        <w:tc>
          <w:tcPr>
            <w:tcW w:w="0" w:type="auto"/>
            <w:vAlign w:val="center"/>
          </w:tcPr>
          <w:p w14:paraId="2E977E37" w14:textId="6D90C4E1" w:rsidR="007D3CF6" w:rsidRDefault="00820586" w:rsidP="0029786D">
            <w:pPr>
              <w:jc w:val="center"/>
            </w:pPr>
            <w:r>
              <w:t>3.00</w:t>
            </w:r>
            <w:r w:rsidR="007D3CF6">
              <w:sym w:font="Symbol" w:char="F0B4"/>
            </w:r>
            <w:r w:rsidR="007D3CF6">
              <w:t>10</w:t>
            </w:r>
            <w:r w:rsidR="007D3CF6" w:rsidRPr="00A4653B">
              <w:rPr>
                <w:vertAlign w:val="superscript"/>
              </w:rPr>
              <w:t>-</w:t>
            </w:r>
            <w:r>
              <w:rPr>
                <w:vertAlign w:val="superscript"/>
              </w:rPr>
              <w:t>5</w:t>
            </w:r>
          </w:p>
        </w:tc>
      </w:tr>
      <w:tr w:rsidR="007D3CF6" w14:paraId="621CB08A" w14:textId="77777777" w:rsidTr="0029786D">
        <w:trPr>
          <w:trHeight w:val="215"/>
          <w:jc w:val="center"/>
        </w:trPr>
        <w:tc>
          <w:tcPr>
            <w:tcW w:w="0" w:type="auto"/>
            <w:vMerge/>
            <w:shd w:val="clear" w:color="auto" w:fill="E2EFD9" w:themeFill="accent6" w:themeFillTint="33"/>
          </w:tcPr>
          <w:p w14:paraId="1348284F" w14:textId="77777777" w:rsidR="007D3CF6" w:rsidRDefault="007D3CF6" w:rsidP="0029786D">
            <w:pPr>
              <w:jc w:val="center"/>
              <w:rPr>
                <w:rFonts w:ascii="Arial" w:hAnsi="Arial"/>
              </w:rPr>
            </w:pPr>
          </w:p>
        </w:tc>
        <w:tc>
          <w:tcPr>
            <w:tcW w:w="0" w:type="auto"/>
            <w:shd w:val="clear" w:color="auto" w:fill="F2F2F2" w:themeFill="background1" w:themeFillShade="F2"/>
            <w:vAlign w:val="center"/>
          </w:tcPr>
          <w:p w14:paraId="523F1CAB" w14:textId="77777777" w:rsidR="007D3CF6" w:rsidRDefault="0083235C" w:rsidP="0029786D">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7D3CF6">
              <w:t xml:space="preserve"> (yr</w:t>
            </w:r>
            <w:r w:rsidR="007D3CF6" w:rsidRPr="004E4A9E">
              <w:rPr>
                <w:vertAlign w:val="superscript"/>
              </w:rPr>
              <w:t>-1</w:t>
            </w:r>
            <w:r w:rsidR="007D3CF6">
              <w:t>)</w:t>
            </w:r>
          </w:p>
        </w:tc>
        <w:tc>
          <w:tcPr>
            <w:tcW w:w="0" w:type="auto"/>
            <w:vAlign w:val="center"/>
          </w:tcPr>
          <w:p w14:paraId="5A3B9EEA" w14:textId="0D3B9B20" w:rsidR="007D3CF6" w:rsidRDefault="001E66FB" w:rsidP="0029786D">
            <w:pPr>
              <w:jc w:val="center"/>
            </w:pPr>
            <w:r>
              <w:t>&lt;</w:t>
            </w:r>
            <w:r w:rsidR="00A03CB1">
              <w:t xml:space="preserve"> </w:t>
            </w:r>
            <w:r w:rsidR="00820586">
              <w:t>0.0</w:t>
            </w:r>
            <w:r>
              <w:t>1</w:t>
            </w:r>
          </w:p>
        </w:tc>
        <w:tc>
          <w:tcPr>
            <w:tcW w:w="0" w:type="auto"/>
            <w:vAlign w:val="center"/>
          </w:tcPr>
          <w:p w14:paraId="3C4C6C32" w14:textId="1502BBCA" w:rsidR="007D3CF6" w:rsidRDefault="001E66FB" w:rsidP="0029786D">
            <w:pPr>
              <w:jc w:val="center"/>
            </w:pPr>
            <w:r>
              <w:t>&lt;</w:t>
            </w:r>
            <w:r w:rsidR="00A03CB1">
              <w:t xml:space="preserve"> </w:t>
            </w:r>
            <w:r>
              <w:t>0.01</w:t>
            </w:r>
          </w:p>
        </w:tc>
        <w:tc>
          <w:tcPr>
            <w:tcW w:w="0" w:type="auto"/>
            <w:vAlign w:val="center"/>
          </w:tcPr>
          <w:p w14:paraId="5ADF974C" w14:textId="7DAA5E0C" w:rsidR="007D3CF6" w:rsidRDefault="007D3CF6" w:rsidP="0029786D">
            <w:pPr>
              <w:jc w:val="center"/>
            </w:pPr>
            <w:r>
              <w:t>0.</w:t>
            </w:r>
            <w:r w:rsidR="00451052">
              <w:t>87</w:t>
            </w:r>
          </w:p>
        </w:tc>
        <w:tc>
          <w:tcPr>
            <w:tcW w:w="0" w:type="auto"/>
            <w:vAlign w:val="center"/>
          </w:tcPr>
          <w:p w14:paraId="4EBC3658" w14:textId="5E887E08" w:rsidR="007D3CF6" w:rsidRDefault="00820586" w:rsidP="0029786D">
            <w:pPr>
              <w:jc w:val="center"/>
            </w:pPr>
            <w:r>
              <w:t>7.48</w:t>
            </w:r>
          </w:p>
        </w:tc>
      </w:tr>
      <w:tr w:rsidR="007D3CF6" w14:paraId="79095601" w14:textId="77777777" w:rsidTr="0029786D">
        <w:trPr>
          <w:trHeight w:val="215"/>
          <w:jc w:val="center"/>
        </w:trPr>
        <w:tc>
          <w:tcPr>
            <w:tcW w:w="0" w:type="auto"/>
            <w:vMerge w:val="restart"/>
            <w:shd w:val="clear" w:color="auto" w:fill="E2EFD9" w:themeFill="accent6" w:themeFillTint="33"/>
            <w:vAlign w:val="center"/>
          </w:tcPr>
          <w:p w14:paraId="01AD8EC1" w14:textId="77777777" w:rsidR="007D3CF6" w:rsidRDefault="007D3CF6" w:rsidP="0029786D">
            <w:pPr>
              <w:jc w:val="center"/>
            </w:pPr>
            <w:r>
              <w:t>Conservative</w:t>
            </w:r>
          </w:p>
          <w:p w14:paraId="7A4A35D0" w14:textId="77777777" w:rsidR="007D3CF6" w:rsidRPr="00507111" w:rsidRDefault="007D3CF6" w:rsidP="0029786D">
            <w:pPr>
              <w:jc w:val="center"/>
            </w:pPr>
            <w:r>
              <w:t>Mode</w:t>
            </w:r>
          </w:p>
        </w:tc>
        <w:tc>
          <w:tcPr>
            <w:tcW w:w="0" w:type="auto"/>
            <w:shd w:val="clear" w:color="auto" w:fill="F2F2F2" w:themeFill="background1" w:themeFillShade="F2"/>
            <w:vAlign w:val="center"/>
          </w:tcPr>
          <w:p w14:paraId="0BFF5325" w14:textId="77777777" w:rsidR="007D3CF6" w:rsidRDefault="0083235C" w:rsidP="0029786D">
            <w:pPr>
              <w:jc w:val="cente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5D25701B" w14:textId="038D7939" w:rsidR="007D3CF6" w:rsidRDefault="000B1208" w:rsidP="0029786D">
            <w:pPr>
              <w:jc w:val="center"/>
            </w:pPr>
            <w:r>
              <w:t>7</w:t>
            </w:r>
            <w:r w:rsidR="007D3CF6">
              <w:t>.</w:t>
            </w:r>
            <w:r>
              <w:t>96</w:t>
            </w:r>
            <w:r w:rsidR="007D3CF6">
              <w:sym w:font="Symbol" w:char="F0B4"/>
            </w:r>
            <w:r w:rsidR="007D3CF6">
              <w:t>10</w:t>
            </w:r>
            <w:r w:rsidR="007D3CF6" w:rsidRPr="00A4653B">
              <w:rPr>
                <w:vertAlign w:val="superscript"/>
              </w:rPr>
              <w:t>-</w:t>
            </w:r>
            <w:r>
              <w:rPr>
                <w:vertAlign w:val="superscript"/>
              </w:rPr>
              <w:t>4</w:t>
            </w:r>
          </w:p>
        </w:tc>
        <w:tc>
          <w:tcPr>
            <w:tcW w:w="0" w:type="auto"/>
            <w:vAlign w:val="center"/>
          </w:tcPr>
          <w:p w14:paraId="004AA875" w14:textId="4376BC02" w:rsidR="007D3CF6" w:rsidRDefault="007D3CF6" w:rsidP="0029786D">
            <w:pPr>
              <w:jc w:val="center"/>
            </w:pPr>
            <w:r>
              <w:t>4.64</w:t>
            </w:r>
            <w:r>
              <w:sym w:font="Symbol" w:char="F0B4"/>
            </w:r>
            <w:r>
              <w:t>10</w:t>
            </w:r>
            <w:r w:rsidRPr="00A4653B">
              <w:rPr>
                <w:vertAlign w:val="superscript"/>
              </w:rPr>
              <w:t>-</w:t>
            </w:r>
            <w:r>
              <w:rPr>
                <w:vertAlign w:val="superscript"/>
              </w:rPr>
              <w:t>4</w:t>
            </w:r>
          </w:p>
        </w:tc>
        <w:tc>
          <w:tcPr>
            <w:tcW w:w="0" w:type="auto"/>
            <w:vAlign w:val="center"/>
          </w:tcPr>
          <w:p w14:paraId="4B2D5284" w14:textId="77777777" w:rsidR="007D3CF6" w:rsidRDefault="007D3CF6" w:rsidP="0029786D">
            <w:pPr>
              <w:jc w:val="center"/>
            </w:pPr>
            <w:r>
              <w:t>8.53</w:t>
            </w:r>
            <w:r>
              <w:sym w:font="Symbol" w:char="F0B4"/>
            </w:r>
            <w:r>
              <w:t>10</w:t>
            </w:r>
            <w:r w:rsidRPr="00A4653B">
              <w:rPr>
                <w:vertAlign w:val="superscript"/>
              </w:rPr>
              <w:t>-</w:t>
            </w:r>
            <w:r>
              <w:rPr>
                <w:vertAlign w:val="superscript"/>
              </w:rPr>
              <w:t>5</w:t>
            </w:r>
          </w:p>
        </w:tc>
        <w:tc>
          <w:tcPr>
            <w:tcW w:w="0" w:type="auto"/>
            <w:vAlign w:val="center"/>
          </w:tcPr>
          <w:p w14:paraId="24C36CC5" w14:textId="2386AFE2" w:rsidR="007D3CF6" w:rsidRDefault="000B1208" w:rsidP="0029786D">
            <w:pPr>
              <w:jc w:val="center"/>
            </w:pPr>
            <w:r>
              <w:t>2</w:t>
            </w:r>
            <w:r w:rsidR="007D3CF6">
              <w:t>.</w:t>
            </w:r>
            <w:r>
              <w:t>89</w:t>
            </w:r>
            <w:r w:rsidR="007D3CF6">
              <w:sym w:font="Symbol" w:char="F0B4"/>
            </w:r>
            <w:r w:rsidR="007D3CF6">
              <w:t>10</w:t>
            </w:r>
            <w:r w:rsidR="007D3CF6" w:rsidRPr="00A4653B">
              <w:rPr>
                <w:vertAlign w:val="superscript"/>
              </w:rPr>
              <w:t>-</w:t>
            </w:r>
            <w:r w:rsidR="007D3CF6">
              <w:rPr>
                <w:vertAlign w:val="superscript"/>
              </w:rPr>
              <w:t>5</w:t>
            </w:r>
          </w:p>
        </w:tc>
      </w:tr>
      <w:tr w:rsidR="007D3CF6" w14:paraId="505446BB" w14:textId="77777777" w:rsidTr="0029786D">
        <w:trPr>
          <w:trHeight w:val="215"/>
          <w:jc w:val="center"/>
        </w:trPr>
        <w:tc>
          <w:tcPr>
            <w:tcW w:w="0" w:type="auto"/>
            <w:vMerge/>
            <w:shd w:val="clear" w:color="auto" w:fill="E2EFD9" w:themeFill="accent6" w:themeFillTint="33"/>
          </w:tcPr>
          <w:p w14:paraId="76356C5B" w14:textId="77777777" w:rsidR="007D3CF6" w:rsidRDefault="007D3CF6" w:rsidP="0029786D">
            <w:pPr>
              <w:jc w:val="center"/>
              <w:rPr>
                <w:rFonts w:ascii="Arial" w:hAnsi="Arial"/>
              </w:rPr>
            </w:pPr>
          </w:p>
        </w:tc>
        <w:tc>
          <w:tcPr>
            <w:tcW w:w="0" w:type="auto"/>
            <w:shd w:val="clear" w:color="auto" w:fill="F2F2F2" w:themeFill="background1" w:themeFillShade="F2"/>
            <w:vAlign w:val="center"/>
          </w:tcPr>
          <w:p w14:paraId="7A8AD2F8" w14:textId="77777777" w:rsidR="007D3CF6" w:rsidRDefault="0083235C" w:rsidP="0029786D">
            <w:pPr>
              <w:jc w:val="center"/>
              <w:rPr>
                <w:rFonts w:ascii="Arial" w:hAnsi="Arial"/>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7D3CF6">
              <w:t xml:space="preserve"> (yr</w:t>
            </w:r>
            <w:r w:rsidR="007D3CF6" w:rsidRPr="004E4A9E">
              <w:rPr>
                <w:vertAlign w:val="superscript"/>
              </w:rPr>
              <w:t>-1</w:t>
            </w:r>
            <w:r w:rsidR="007D3CF6">
              <w:t>)</w:t>
            </w:r>
          </w:p>
        </w:tc>
        <w:tc>
          <w:tcPr>
            <w:tcW w:w="0" w:type="auto"/>
            <w:vAlign w:val="center"/>
          </w:tcPr>
          <w:p w14:paraId="3ACC744C" w14:textId="42BAD824" w:rsidR="007D3CF6" w:rsidRDefault="001E66FB" w:rsidP="0029786D">
            <w:pPr>
              <w:jc w:val="center"/>
            </w:pPr>
            <w:r>
              <w:t>&lt;</w:t>
            </w:r>
            <w:r w:rsidR="00A03CB1">
              <w:t xml:space="preserve"> </w:t>
            </w:r>
            <w:r>
              <w:t>0.01</w:t>
            </w:r>
          </w:p>
        </w:tc>
        <w:tc>
          <w:tcPr>
            <w:tcW w:w="0" w:type="auto"/>
            <w:vAlign w:val="center"/>
          </w:tcPr>
          <w:p w14:paraId="5096595B" w14:textId="73FE7683" w:rsidR="007D3CF6" w:rsidRDefault="00DA5B93" w:rsidP="0029786D">
            <w:pPr>
              <w:jc w:val="center"/>
            </w:pPr>
            <w:r>
              <w:t>0.10</w:t>
            </w:r>
          </w:p>
        </w:tc>
        <w:tc>
          <w:tcPr>
            <w:tcW w:w="0" w:type="auto"/>
            <w:vAlign w:val="center"/>
          </w:tcPr>
          <w:p w14:paraId="32EED86B" w14:textId="49E8BF6B" w:rsidR="007D3CF6" w:rsidRDefault="00451052" w:rsidP="0029786D">
            <w:pPr>
              <w:jc w:val="center"/>
            </w:pPr>
            <w:r>
              <w:t>1.05</w:t>
            </w:r>
          </w:p>
        </w:tc>
        <w:tc>
          <w:tcPr>
            <w:tcW w:w="0" w:type="auto"/>
            <w:vAlign w:val="center"/>
          </w:tcPr>
          <w:p w14:paraId="0FF14AFA" w14:textId="6BD86415" w:rsidR="007D3CF6" w:rsidRDefault="000B1208" w:rsidP="0029786D">
            <w:pPr>
              <w:jc w:val="center"/>
            </w:pPr>
            <w:r>
              <w:t>7.67</w:t>
            </w:r>
          </w:p>
        </w:tc>
      </w:tr>
    </w:tbl>
    <w:p w14:paraId="23705BDF" w14:textId="13D87C01" w:rsidR="006C05A3" w:rsidRDefault="006C05A3" w:rsidP="006C05A3">
      <w:pPr>
        <w:pStyle w:val="Sub-Section"/>
      </w:pPr>
      <w:r>
        <w:t>Variations of Remediation Thresholds and Rates with Maneuver Commit Times</w:t>
      </w:r>
    </w:p>
    <w:p w14:paraId="1F793A78" w14:textId="3C49F8BF" w:rsidR="006B2161" w:rsidRDefault="0029786D" w:rsidP="006B2161">
      <w:r>
        <w:t>Table 4 shows the effect of changing remediation maneuver commit time</w:t>
      </w:r>
      <w:r w:rsidR="007523C7">
        <w:t>s</w:t>
      </w:r>
      <w:r>
        <w:t xml:space="preserve"> from the standard value </w:t>
      </w:r>
      <w:r w:rsidR="004C0A6F">
        <w:t xml:space="preserve">used here </w:t>
      </w:r>
      <w:r>
        <w:t xml:space="preserve">of </w:t>
      </w:r>
      <m:oMath>
        <m:sSub>
          <m:sSubPr>
            <m:ctrlPr>
              <w:rPr>
                <w:rFonts w:ascii="Cambria Math" w:hAnsi="Cambria Math"/>
                <w:i/>
              </w:rPr>
            </m:ctrlPr>
          </m:sSubPr>
          <m:e>
            <m:r>
              <w:rPr>
                <w:rFonts w:ascii="Cambria Math" w:hAnsi="Cambria Math"/>
              </w:rPr>
              <m:t>τ</m:t>
            </m:r>
          </m:e>
          <m:sub>
            <m:r>
              <w:rPr>
                <w:rFonts w:ascii="Cambria Math" w:hAnsi="Cambria Math"/>
              </w:rPr>
              <m:t>cmt</m:t>
            </m:r>
          </m:sub>
        </m:sSub>
        <m:r>
          <w:rPr>
            <w:rFonts w:ascii="Cambria Math" w:hAnsi="Cambria Math"/>
          </w:rPr>
          <m:t xml:space="preserve">=1.5 </m:t>
        </m:r>
        <m:r>
          <m:rPr>
            <m:sty m:val="p"/>
          </m:rPr>
          <w:rPr>
            <w:rFonts w:ascii="Cambria Math" w:hAnsi="Cambria Math"/>
          </w:rPr>
          <m:t>day</m:t>
        </m:r>
      </m:oMath>
      <w:r w:rsidR="004C0A6F">
        <w:t>s</w:t>
      </w:r>
      <w:r>
        <w:t xml:space="preserve"> for 5-year </w:t>
      </w:r>
      <w:r w:rsidR="007523C7">
        <w:t>duration</w:t>
      </w:r>
      <w:r w:rsidR="004F4CE5">
        <w:t>s</w:t>
      </w:r>
      <w:r>
        <w:t xml:space="preserve">.  </w:t>
      </w:r>
      <w:r w:rsidR="004C0A6F">
        <w:t xml:space="preserve">The model indicates that </w:t>
      </w:r>
      <w:r>
        <w:t>missions with s</w:t>
      </w:r>
      <w:r w:rsidR="004C0A6F">
        <w:t>horter</w:t>
      </w:r>
      <w:r>
        <w:t xml:space="preserve"> commit times need to perform less remediation to achieve the same level of cumulative </w:t>
      </w:r>
      <w:r w:rsidR="004C0A6F">
        <w:t>risk</w:t>
      </w:r>
      <w:r>
        <w:t xml:space="preserve">.  For instance, Table </w:t>
      </w:r>
      <w:r w:rsidR="00803BFF">
        <w:t>4</w:t>
      </w:r>
      <w:r>
        <w:t xml:space="preserve"> </w:t>
      </w:r>
      <w:r w:rsidR="004C0A6F">
        <w:t>shows</w:t>
      </w:r>
      <w:r>
        <w:t xml:space="preserve"> that </w:t>
      </w:r>
      <w:r w:rsidR="00803BFF">
        <w:t>reducing</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cmt</m:t>
            </m:r>
          </m:sub>
        </m:sSub>
      </m:oMath>
      <w:r>
        <w:t xml:space="preserve"> from </w:t>
      </w:r>
      <w:r w:rsidR="00803BFF">
        <w:t>1.5 day</w:t>
      </w:r>
      <w:r w:rsidR="0040471E">
        <w:t>s</w:t>
      </w:r>
      <w:r>
        <w:t xml:space="preserve"> to </w:t>
      </w:r>
      <w:r w:rsidR="004C0A6F">
        <w:t>0.25 days (i.e., from 36 hours to 6</w:t>
      </w:r>
      <w:r w:rsidR="0040471E">
        <w:t xml:space="preserve"> hours</w:t>
      </w:r>
      <w:r w:rsidR="004C0A6F">
        <w:t>)</w:t>
      </w:r>
      <w:r w:rsidR="0040471E">
        <w:t xml:space="preserve"> </w:t>
      </w:r>
      <w:r w:rsidR="00803BFF">
        <w:t>de</w:t>
      </w:r>
      <w:r>
        <w:t xml:space="preserve">creases expected remediation rates by </w:t>
      </w:r>
      <w:r w:rsidR="004F4CE5">
        <w:t>a factor of ~3.</w:t>
      </w:r>
      <w:r w:rsidR="00494266">
        <w:t>3</w:t>
      </w:r>
      <w:r w:rsidR="00803BFF">
        <w:t xml:space="preserve"> or more</w:t>
      </w:r>
      <w:r>
        <w:t>.</w:t>
      </w:r>
      <w:r w:rsidR="006B2161">
        <w:t xml:space="preserve">  This implies that implementing more responsive mission </w:t>
      </w:r>
      <w:r w:rsidR="004C0A6F">
        <w:t xml:space="preserve">maneuver </w:t>
      </w:r>
      <w:r w:rsidR="006B2161">
        <w:t>systems</w:t>
      </w:r>
      <w:r w:rsidR="004C0A6F">
        <w:t xml:space="preserve"> </w:t>
      </w:r>
      <w:r w:rsidR="003826E5">
        <w:t xml:space="preserve">also </w:t>
      </w:r>
      <w:r w:rsidR="006B2161">
        <w:t>provide</w:t>
      </w:r>
      <w:r w:rsidR="00141F41">
        <w:t>s</w:t>
      </w:r>
      <w:r w:rsidR="006B2161">
        <w:t xml:space="preserve"> an effective means of reducing</w:t>
      </w:r>
      <w:r w:rsidR="004C0A6F">
        <w:t xml:space="preserve"> both</w:t>
      </w:r>
      <w:r w:rsidR="006B2161">
        <w:t xml:space="preserve"> remediation </w:t>
      </w:r>
      <w:r w:rsidR="00883623">
        <w:t>activities</w:t>
      </w:r>
      <w:r w:rsidR="006B2161">
        <w:t xml:space="preserve"> </w:t>
      </w:r>
      <w:r w:rsidR="004C0A6F">
        <w:t>and</w:t>
      </w:r>
      <w:r w:rsidR="006B2161">
        <w:t xml:space="preserve"> on-orbit collision risks.</w:t>
      </w:r>
    </w:p>
    <w:p w14:paraId="24FAFB32" w14:textId="3B7C2DD0" w:rsidR="006D2056" w:rsidRDefault="006D2056" w:rsidP="006B2161">
      <w:r>
        <w:t xml:space="preserve">Variations </w:t>
      </w:r>
      <w:r w:rsidR="00E938B1">
        <w:t>in</w:t>
      </w:r>
      <w:r>
        <w:t xml:space="preserve"> </w:t>
      </w:r>
      <w:r w:rsidR="00396904">
        <w:t>the</w:t>
      </w:r>
      <w:r>
        <w:t xml:space="preserve"> remediation maneuver consider times</w:t>
      </w:r>
      <w:r w:rsidR="00E938B1" w:rsidRPr="00E938B1">
        <w:t xml:space="preserve"> </w:t>
      </w:r>
      <w:r w:rsidR="00E938B1">
        <w:t>can also be investigated</w:t>
      </w:r>
      <w:r>
        <w:t xml:space="preserve">, specifically to </w:t>
      </w:r>
      <w:r w:rsidR="009A57F3">
        <w:t>study</w:t>
      </w:r>
      <w:r>
        <w:t xml:space="preserve"> the implications of using </w:t>
      </w:r>
      <w:r w:rsidR="00396904">
        <w:t xml:space="preserve">somewhat </w:t>
      </w:r>
      <w:r>
        <w:t xml:space="preserve">more realistic values for </w:t>
      </w:r>
      <m:oMath>
        <m:sSub>
          <m:sSubPr>
            <m:ctrlPr>
              <w:rPr>
                <w:rFonts w:ascii="Cambria Math" w:hAnsi="Cambria Math"/>
                <w:i/>
              </w:rPr>
            </m:ctrlPr>
          </m:sSubPr>
          <m:e>
            <m:r>
              <w:rPr>
                <w:rFonts w:ascii="Cambria Math" w:hAnsi="Cambria Math"/>
              </w:rPr>
              <m:t>τ</m:t>
            </m:r>
          </m:e>
          <m:sub>
            <m:r>
              <w:rPr>
                <w:rFonts w:ascii="Cambria Math" w:hAnsi="Cambria Math"/>
              </w:rPr>
              <m:t>cns</m:t>
            </m:r>
          </m:sub>
        </m:sSub>
      </m:oMath>
      <w:r>
        <w:t xml:space="preserve"> of 3 to 5 days, rather than the default value of 7 days used for all example</w:t>
      </w:r>
      <w:r w:rsidR="0038274C">
        <w:t>s</w:t>
      </w:r>
      <w:r>
        <w:t xml:space="preserve"> </w:t>
      </w:r>
      <w:r w:rsidR="0038274C">
        <w:t>discussed</w:t>
      </w:r>
      <w:r>
        <w:t xml:space="preserve"> here.</w:t>
      </w:r>
    </w:p>
    <w:p w14:paraId="760E0838" w14:textId="462B2C25" w:rsidR="00CA5885" w:rsidRPr="008C59BC" w:rsidRDefault="00CA5885" w:rsidP="00CA5885">
      <w:pPr>
        <w:pStyle w:val="Caption"/>
        <w:jc w:val="center"/>
      </w:pPr>
      <w:r w:rsidRPr="008C59BC">
        <w:t xml:space="preserve">Table </w:t>
      </w:r>
      <w:r>
        <w:t>4</w:t>
      </w:r>
      <w:r w:rsidRPr="008C59BC">
        <w:t xml:space="preserve">. </w:t>
      </w:r>
      <w:r>
        <w:t>Median RMM t</w:t>
      </w:r>
      <w:r w:rsidRPr="008C59BC">
        <w:t xml:space="preserve">hresholds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RMM</m:t>
            </m:r>
          </m:sub>
        </m:sSub>
      </m:oMath>
      <w:r w:rsidRPr="008C59BC">
        <w:t xml:space="preserve"> and </w:t>
      </w:r>
      <w:r w:rsidR="00325B89">
        <w:t xml:space="preserve">average </w:t>
      </w:r>
      <w:r w:rsidRPr="008C59BC">
        <w:t xml:space="preserve">rates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N</m:t>
                </m:r>
              </m:e>
            </m:acc>
          </m:e>
          <m:sub>
            <m:r>
              <m:rPr>
                <m:sty m:val="bi"/>
              </m:rPr>
              <w:rPr>
                <w:rFonts w:ascii="Cambria Math" w:hAnsi="Cambria Math"/>
              </w:rPr>
              <m:t>RMM</m:t>
            </m:r>
          </m:sub>
        </m:sSub>
      </m:oMath>
      <w:r w:rsidRPr="008C59BC">
        <w:t xml:space="preserve"> </w:t>
      </w:r>
      <w:r>
        <w:t xml:space="preserve">as a function of </w:t>
      </w:r>
      <w:r w:rsidR="00B601BC">
        <w:t xml:space="preserve">commit time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cmt</m:t>
            </m:r>
          </m:sub>
        </m:sSub>
      </m:oMath>
      <w:r w:rsidRPr="008C59BC">
        <w:t xml:space="preserve"> for a </w:t>
      </w:r>
      <w:r w:rsidR="00325B89">
        <w:t>mission</w:t>
      </w:r>
      <w:r w:rsidRPr="008C59BC">
        <w:t xml:space="preserve"> required to remediate to a 5-year cumulative risk </w:t>
      </w:r>
      <w:r>
        <w:t>of</w:t>
      </w:r>
      <w:r w:rsidRPr="00087B15">
        <w:t xml:space="preserve"> </w:t>
      </w:r>
      <m:oMath>
        <m:sSubSup>
          <m:sSubSupPr>
            <m:ctrlPr>
              <w:rPr>
                <w:rFonts w:ascii="Cambria Math" w:hAnsi="Cambria Math"/>
                <w:i/>
              </w:rPr>
            </m:ctrlPr>
          </m:sSubSupPr>
          <m:e>
            <m:r>
              <m:rPr>
                <m:sty m:val="bi"/>
              </m:rPr>
              <w:rPr>
                <w:rFonts w:ascii="Cambria Math" w:hAnsi="Cambria Math"/>
              </w:rPr>
              <m:t>P</m:t>
            </m:r>
          </m:e>
          <m:sub>
            <m:r>
              <m:rPr>
                <m:sty m:val="bi"/>
              </m:rPr>
              <w:rPr>
                <w:rFonts w:ascii="Cambria Math" w:hAnsi="Cambria Math"/>
              </w:rPr>
              <m:t>cum</m:t>
            </m:r>
          </m:sub>
          <m:sup>
            <m:r>
              <m:rPr>
                <m:sty m:val="bi"/>
              </m:rPr>
              <w:rPr>
                <w:rFonts w:ascii="Cambria Math" w:hAnsi="Cambria Math"/>
              </w:rPr>
              <m:t>goal</m:t>
            </m:r>
          </m:sup>
        </m:sSubSup>
        <m:r>
          <m:rPr>
            <m:sty m:val="bi"/>
          </m:rPr>
          <w:rPr>
            <w:rFonts w:ascii="Cambria Math" w:hAnsi="Cambria Math"/>
          </w:rPr>
          <m:t>=</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w:r w:rsidRPr="008C59BC">
        <w:t>.</w:t>
      </w:r>
    </w:p>
    <w:tbl>
      <w:tblPr>
        <w:tblStyle w:val="TableGrid"/>
        <w:tblW w:w="0" w:type="auto"/>
        <w:jc w:val="center"/>
        <w:tblLook w:val="04A0" w:firstRow="1" w:lastRow="0" w:firstColumn="1" w:lastColumn="0" w:noHBand="0" w:noVBand="1"/>
      </w:tblPr>
      <w:tblGrid>
        <w:gridCol w:w="1377"/>
        <w:gridCol w:w="1261"/>
        <w:gridCol w:w="1513"/>
        <w:gridCol w:w="1403"/>
        <w:gridCol w:w="1403"/>
        <w:gridCol w:w="1403"/>
      </w:tblGrid>
      <w:tr w:rsidR="0040471E" w14:paraId="31B4F468" w14:textId="6FE0C17A" w:rsidTr="008A45E3">
        <w:trPr>
          <w:jc w:val="center"/>
        </w:trPr>
        <w:tc>
          <w:tcPr>
            <w:tcW w:w="0" w:type="auto"/>
            <w:gridSpan w:val="2"/>
            <w:tcBorders>
              <w:top w:val="nil"/>
              <w:left w:val="nil"/>
            </w:tcBorders>
            <w:shd w:val="clear" w:color="auto" w:fill="FFFFFF" w:themeFill="background1"/>
          </w:tcPr>
          <w:p w14:paraId="135E45CE" w14:textId="77777777" w:rsidR="0040471E" w:rsidRDefault="0040471E" w:rsidP="00422E36">
            <w:pPr>
              <w:jc w:val="center"/>
            </w:pPr>
          </w:p>
        </w:tc>
        <w:tc>
          <w:tcPr>
            <w:tcW w:w="0" w:type="auto"/>
            <w:shd w:val="clear" w:color="auto" w:fill="D9E2F3" w:themeFill="accent5" w:themeFillTint="33"/>
          </w:tcPr>
          <w:p w14:paraId="55742E96" w14:textId="080DE570" w:rsidR="0040471E" w:rsidRDefault="0083235C" w:rsidP="00422E36">
            <w:pPr>
              <w:jc w:val="center"/>
              <w:rPr>
                <w:rFonts w:ascii="Arial" w:hAnsi="Arial"/>
              </w:rPr>
            </w:pPr>
            <m:oMath>
              <m:sSub>
                <m:sSubPr>
                  <m:ctrlPr>
                    <w:rPr>
                      <w:rFonts w:ascii="Cambria Math" w:hAnsi="Cambria Math"/>
                      <w:i/>
                    </w:rPr>
                  </m:ctrlPr>
                </m:sSubPr>
                <m:e>
                  <m:r>
                    <w:rPr>
                      <w:rFonts w:ascii="Cambria Math" w:hAnsi="Cambria Math"/>
                    </w:rPr>
                    <m:t>τ</m:t>
                  </m:r>
                </m:e>
                <m:sub>
                  <m:r>
                    <w:rPr>
                      <w:rFonts w:ascii="Cambria Math" w:hAnsi="Cambria Math"/>
                    </w:rPr>
                    <m:t>cmt</m:t>
                  </m:r>
                </m:sub>
              </m:sSub>
            </m:oMath>
            <w:r w:rsidR="0040471E" w:rsidRPr="00B601BC">
              <w:t>=0.</w:t>
            </w:r>
            <w:r w:rsidR="0040471E">
              <w:t>2</w:t>
            </w:r>
            <w:r w:rsidR="0040471E" w:rsidRPr="00B601BC">
              <w:t>5</w:t>
            </w:r>
            <w:r w:rsidR="0040471E">
              <w:t xml:space="preserve"> </w:t>
            </w:r>
            <w:r w:rsidR="0040471E" w:rsidRPr="00B601BC">
              <w:t>d</w:t>
            </w:r>
            <w:r w:rsidR="0040471E">
              <w:t>a</w:t>
            </w:r>
            <w:r w:rsidR="0040471E" w:rsidRPr="00B601BC">
              <w:t>y</w:t>
            </w:r>
          </w:p>
        </w:tc>
        <w:tc>
          <w:tcPr>
            <w:tcW w:w="0" w:type="auto"/>
            <w:shd w:val="clear" w:color="auto" w:fill="D9E2F3" w:themeFill="accent5" w:themeFillTint="33"/>
            <w:vAlign w:val="center"/>
          </w:tcPr>
          <w:p w14:paraId="22A8B43F" w14:textId="1856CFF2" w:rsidR="0040471E" w:rsidRPr="00B601BC" w:rsidRDefault="0083235C" w:rsidP="00422E36">
            <w:pPr>
              <w:jc w:val="center"/>
            </w:pPr>
            <m:oMath>
              <m:sSub>
                <m:sSubPr>
                  <m:ctrlPr>
                    <w:rPr>
                      <w:rFonts w:ascii="Cambria Math" w:hAnsi="Cambria Math"/>
                      <w:i/>
                    </w:rPr>
                  </m:ctrlPr>
                </m:sSubPr>
                <m:e>
                  <m:r>
                    <w:rPr>
                      <w:rFonts w:ascii="Cambria Math" w:hAnsi="Cambria Math"/>
                    </w:rPr>
                    <m:t>τ</m:t>
                  </m:r>
                </m:e>
                <m:sub>
                  <m:r>
                    <w:rPr>
                      <w:rFonts w:ascii="Cambria Math" w:hAnsi="Cambria Math"/>
                    </w:rPr>
                    <m:t>cmt</m:t>
                  </m:r>
                </m:sub>
              </m:sSub>
            </m:oMath>
            <w:r w:rsidR="0040471E" w:rsidRPr="00B601BC">
              <w:t>=0.5</w:t>
            </w:r>
            <w:r w:rsidR="0040471E">
              <w:t xml:space="preserve"> </w:t>
            </w:r>
            <w:r w:rsidR="0040471E" w:rsidRPr="00B601BC">
              <w:t>d</w:t>
            </w:r>
            <w:r w:rsidR="0040471E">
              <w:t>a</w:t>
            </w:r>
            <w:r w:rsidR="0040471E" w:rsidRPr="00B601BC">
              <w:t>y</w:t>
            </w:r>
          </w:p>
        </w:tc>
        <w:tc>
          <w:tcPr>
            <w:tcW w:w="0" w:type="auto"/>
            <w:shd w:val="clear" w:color="auto" w:fill="D9E2F3" w:themeFill="accent5" w:themeFillTint="33"/>
            <w:vAlign w:val="center"/>
          </w:tcPr>
          <w:p w14:paraId="4FA851FA" w14:textId="7334BCCE" w:rsidR="0040471E" w:rsidRDefault="0083235C" w:rsidP="00422E36">
            <w:pPr>
              <w:jc w:val="center"/>
            </w:pPr>
            <m:oMath>
              <m:sSub>
                <m:sSubPr>
                  <m:ctrlPr>
                    <w:rPr>
                      <w:rFonts w:ascii="Cambria Math" w:hAnsi="Cambria Math"/>
                      <w:i/>
                    </w:rPr>
                  </m:ctrlPr>
                </m:sSubPr>
                <m:e>
                  <m:r>
                    <w:rPr>
                      <w:rFonts w:ascii="Cambria Math" w:hAnsi="Cambria Math"/>
                    </w:rPr>
                    <m:t>τ</m:t>
                  </m:r>
                </m:e>
                <m:sub>
                  <m:r>
                    <w:rPr>
                      <w:rFonts w:ascii="Cambria Math" w:hAnsi="Cambria Math"/>
                    </w:rPr>
                    <m:t>cmt</m:t>
                  </m:r>
                </m:sub>
              </m:sSub>
            </m:oMath>
            <w:r w:rsidR="0040471E" w:rsidRPr="00B601BC">
              <w:t>=</w:t>
            </w:r>
            <w:r w:rsidR="0040471E">
              <w:t>1</w:t>
            </w:r>
            <w:r w:rsidR="0040471E" w:rsidRPr="00B601BC">
              <w:t>.</w:t>
            </w:r>
            <w:r w:rsidR="0040471E">
              <w:t xml:space="preserve">0 </w:t>
            </w:r>
            <w:r w:rsidR="0040471E" w:rsidRPr="00B601BC">
              <w:t>d</w:t>
            </w:r>
            <w:r w:rsidR="0040471E">
              <w:t>a</w:t>
            </w:r>
            <w:r w:rsidR="0040471E" w:rsidRPr="00B601BC">
              <w:t>y</w:t>
            </w:r>
          </w:p>
        </w:tc>
        <w:tc>
          <w:tcPr>
            <w:tcW w:w="0" w:type="auto"/>
            <w:shd w:val="clear" w:color="auto" w:fill="D9E2F3" w:themeFill="accent5" w:themeFillTint="33"/>
            <w:vAlign w:val="center"/>
          </w:tcPr>
          <w:p w14:paraId="075DB9FE" w14:textId="3B04C370" w:rsidR="0040471E" w:rsidRDefault="0083235C" w:rsidP="00422E36">
            <w:pPr>
              <w:jc w:val="center"/>
            </w:pPr>
            <m:oMath>
              <m:sSub>
                <m:sSubPr>
                  <m:ctrlPr>
                    <w:rPr>
                      <w:rFonts w:ascii="Cambria Math" w:hAnsi="Cambria Math"/>
                      <w:i/>
                    </w:rPr>
                  </m:ctrlPr>
                </m:sSubPr>
                <m:e>
                  <m:r>
                    <w:rPr>
                      <w:rFonts w:ascii="Cambria Math" w:hAnsi="Cambria Math"/>
                    </w:rPr>
                    <m:t>τ</m:t>
                  </m:r>
                </m:e>
                <m:sub>
                  <m:r>
                    <w:rPr>
                      <w:rFonts w:ascii="Cambria Math" w:hAnsi="Cambria Math"/>
                    </w:rPr>
                    <m:t>cmt</m:t>
                  </m:r>
                </m:sub>
              </m:sSub>
            </m:oMath>
            <w:r w:rsidR="0040471E" w:rsidRPr="00B601BC">
              <w:t>=</w:t>
            </w:r>
            <w:r w:rsidR="0040471E">
              <w:t>1</w:t>
            </w:r>
            <w:r w:rsidR="0040471E" w:rsidRPr="00B601BC">
              <w:t>.</w:t>
            </w:r>
            <w:r w:rsidR="0040471E">
              <w:t xml:space="preserve">5 </w:t>
            </w:r>
            <w:r w:rsidR="0040471E" w:rsidRPr="00B601BC">
              <w:t>d</w:t>
            </w:r>
            <w:r w:rsidR="0040471E">
              <w:t>a</w:t>
            </w:r>
            <w:r w:rsidR="0040471E" w:rsidRPr="00B601BC">
              <w:t>y</w:t>
            </w:r>
          </w:p>
        </w:tc>
      </w:tr>
      <w:tr w:rsidR="0040471E" w14:paraId="0A03DEFF" w14:textId="5E0BC40B" w:rsidTr="0040471E">
        <w:trPr>
          <w:jc w:val="center"/>
        </w:trPr>
        <w:tc>
          <w:tcPr>
            <w:tcW w:w="0" w:type="auto"/>
            <w:vMerge w:val="restart"/>
            <w:shd w:val="clear" w:color="auto" w:fill="E2EFD9" w:themeFill="accent6" w:themeFillTint="33"/>
            <w:vAlign w:val="center"/>
          </w:tcPr>
          <w:p w14:paraId="0610F6ED" w14:textId="77777777" w:rsidR="0040471E" w:rsidRDefault="0040471E" w:rsidP="0040471E">
            <w:pPr>
              <w:jc w:val="center"/>
            </w:pPr>
            <w:r>
              <w:t>Regular</w:t>
            </w:r>
          </w:p>
          <w:p w14:paraId="53DD9DF7" w14:textId="77777777" w:rsidR="0040471E" w:rsidRPr="00507111" w:rsidRDefault="0040471E" w:rsidP="0040471E">
            <w:pPr>
              <w:jc w:val="center"/>
            </w:pPr>
            <w:r>
              <w:t>Mode</w:t>
            </w:r>
          </w:p>
        </w:tc>
        <w:tc>
          <w:tcPr>
            <w:tcW w:w="0" w:type="auto"/>
            <w:shd w:val="clear" w:color="auto" w:fill="F2F2F2" w:themeFill="background1" w:themeFillShade="F2"/>
            <w:vAlign w:val="center"/>
          </w:tcPr>
          <w:p w14:paraId="7801EB96" w14:textId="77777777" w:rsidR="0040471E" w:rsidRDefault="0083235C" w:rsidP="0040471E">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6558D344" w14:textId="1EC07D9E" w:rsidR="0040471E" w:rsidRDefault="0040471E" w:rsidP="0040471E">
            <w:pPr>
              <w:jc w:val="center"/>
            </w:pPr>
            <w:r>
              <w:t>2.28</w:t>
            </w:r>
            <w:r>
              <w:sym w:font="Symbol" w:char="F0B4"/>
            </w:r>
            <w:r>
              <w:t>10</w:t>
            </w:r>
            <w:r w:rsidRPr="00A4653B">
              <w:rPr>
                <w:vertAlign w:val="superscript"/>
              </w:rPr>
              <w:t>-</w:t>
            </w:r>
            <w:r>
              <w:rPr>
                <w:vertAlign w:val="superscript"/>
              </w:rPr>
              <w:t>4</w:t>
            </w:r>
          </w:p>
        </w:tc>
        <w:tc>
          <w:tcPr>
            <w:tcW w:w="0" w:type="auto"/>
            <w:vAlign w:val="center"/>
          </w:tcPr>
          <w:p w14:paraId="7CB7D80B" w14:textId="652C08C1" w:rsidR="0040471E" w:rsidRDefault="0040471E" w:rsidP="0040471E">
            <w:pPr>
              <w:jc w:val="center"/>
            </w:pPr>
            <w:r>
              <w:t>1.30</w:t>
            </w:r>
            <w:r>
              <w:sym w:font="Symbol" w:char="F0B4"/>
            </w:r>
            <w:r>
              <w:t>10</w:t>
            </w:r>
            <w:r w:rsidRPr="00A4653B">
              <w:rPr>
                <w:vertAlign w:val="superscript"/>
              </w:rPr>
              <w:t>-</w:t>
            </w:r>
            <w:r>
              <w:rPr>
                <w:vertAlign w:val="superscript"/>
              </w:rPr>
              <w:t>4</w:t>
            </w:r>
          </w:p>
        </w:tc>
        <w:tc>
          <w:tcPr>
            <w:tcW w:w="0" w:type="auto"/>
            <w:vAlign w:val="center"/>
          </w:tcPr>
          <w:p w14:paraId="69AAA9FB" w14:textId="205DDDA5" w:rsidR="0040471E" w:rsidRDefault="0040471E" w:rsidP="0040471E">
            <w:pPr>
              <w:jc w:val="center"/>
            </w:pPr>
            <w:r>
              <w:t>1.18</w:t>
            </w:r>
            <w:r>
              <w:sym w:font="Symbol" w:char="F0B4"/>
            </w:r>
            <w:r>
              <w:t>10</w:t>
            </w:r>
            <w:r w:rsidRPr="00A4653B">
              <w:rPr>
                <w:vertAlign w:val="superscript"/>
              </w:rPr>
              <w:t>-</w:t>
            </w:r>
            <w:r>
              <w:rPr>
                <w:vertAlign w:val="superscript"/>
              </w:rPr>
              <w:t>4</w:t>
            </w:r>
          </w:p>
        </w:tc>
        <w:tc>
          <w:tcPr>
            <w:tcW w:w="0" w:type="auto"/>
            <w:vAlign w:val="center"/>
          </w:tcPr>
          <w:p w14:paraId="5347F160" w14:textId="63BE6F19" w:rsidR="0040471E" w:rsidRDefault="0040471E" w:rsidP="0040471E">
            <w:pPr>
              <w:jc w:val="center"/>
            </w:pPr>
            <w:r>
              <w:t>1.05</w:t>
            </w:r>
            <w:r>
              <w:sym w:font="Symbol" w:char="F0B4"/>
            </w:r>
            <w:r>
              <w:t>10</w:t>
            </w:r>
            <w:r w:rsidRPr="00A4653B">
              <w:rPr>
                <w:vertAlign w:val="superscript"/>
              </w:rPr>
              <w:t>-</w:t>
            </w:r>
            <w:r>
              <w:rPr>
                <w:vertAlign w:val="superscript"/>
              </w:rPr>
              <w:t>4</w:t>
            </w:r>
          </w:p>
        </w:tc>
      </w:tr>
      <w:tr w:rsidR="0040471E" w14:paraId="35A97278" w14:textId="5DAB5754" w:rsidTr="0040471E">
        <w:trPr>
          <w:trHeight w:val="215"/>
          <w:jc w:val="center"/>
        </w:trPr>
        <w:tc>
          <w:tcPr>
            <w:tcW w:w="0" w:type="auto"/>
            <w:vMerge/>
            <w:shd w:val="clear" w:color="auto" w:fill="E2EFD9" w:themeFill="accent6" w:themeFillTint="33"/>
          </w:tcPr>
          <w:p w14:paraId="518E9E6C" w14:textId="77777777" w:rsidR="0040471E" w:rsidRDefault="0040471E" w:rsidP="0040471E">
            <w:pPr>
              <w:jc w:val="center"/>
              <w:rPr>
                <w:rFonts w:ascii="Arial" w:hAnsi="Arial"/>
              </w:rPr>
            </w:pPr>
          </w:p>
        </w:tc>
        <w:tc>
          <w:tcPr>
            <w:tcW w:w="0" w:type="auto"/>
            <w:shd w:val="clear" w:color="auto" w:fill="F2F2F2" w:themeFill="background1" w:themeFillShade="F2"/>
            <w:vAlign w:val="center"/>
          </w:tcPr>
          <w:p w14:paraId="67608181" w14:textId="77777777" w:rsidR="0040471E" w:rsidRDefault="0083235C" w:rsidP="0040471E">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40471E">
              <w:t xml:space="preserve"> (yr</w:t>
            </w:r>
            <w:r w:rsidR="0040471E" w:rsidRPr="004E4A9E">
              <w:rPr>
                <w:vertAlign w:val="superscript"/>
              </w:rPr>
              <w:t>-1</w:t>
            </w:r>
            <w:r w:rsidR="0040471E">
              <w:t>)</w:t>
            </w:r>
          </w:p>
        </w:tc>
        <w:tc>
          <w:tcPr>
            <w:tcW w:w="0" w:type="auto"/>
            <w:vAlign w:val="center"/>
          </w:tcPr>
          <w:p w14:paraId="72E84300" w14:textId="01153D1F" w:rsidR="0040471E" w:rsidRDefault="0040471E" w:rsidP="0040471E">
            <w:pPr>
              <w:jc w:val="center"/>
            </w:pPr>
            <w:r>
              <w:t>0.</w:t>
            </w:r>
            <w:r w:rsidR="002A4F28">
              <w:t>15</w:t>
            </w:r>
          </w:p>
        </w:tc>
        <w:tc>
          <w:tcPr>
            <w:tcW w:w="0" w:type="auto"/>
            <w:vAlign w:val="center"/>
          </w:tcPr>
          <w:p w14:paraId="7C551DC2" w14:textId="6D0867A0" w:rsidR="0040471E" w:rsidRDefault="0040471E" w:rsidP="0040471E">
            <w:pPr>
              <w:jc w:val="center"/>
            </w:pPr>
            <w:r>
              <w:t>0.</w:t>
            </w:r>
            <w:r w:rsidR="002A4F28">
              <w:t>47</w:t>
            </w:r>
          </w:p>
        </w:tc>
        <w:tc>
          <w:tcPr>
            <w:tcW w:w="0" w:type="auto"/>
            <w:vAlign w:val="center"/>
          </w:tcPr>
          <w:p w14:paraId="4DD450ED" w14:textId="4C140138" w:rsidR="0040471E" w:rsidRDefault="0040471E" w:rsidP="0040471E">
            <w:pPr>
              <w:jc w:val="center"/>
            </w:pPr>
            <w:r>
              <w:t>0.</w:t>
            </w:r>
            <w:r w:rsidR="002A4F28">
              <w:t>56</w:t>
            </w:r>
          </w:p>
        </w:tc>
        <w:tc>
          <w:tcPr>
            <w:tcW w:w="0" w:type="auto"/>
            <w:vAlign w:val="center"/>
          </w:tcPr>
          <w:p w14:paraId="653176DA" w14:textId="4F5E947A" w:rsidR="0040471E" w:rsidRDefault="0040471E" w:rsidP="0040471E">
            <w:pPr>
              <w:jc w:val="center"/>
            </w:pPr>
            <w:r>
              <w:t>0.</w:t>
            </w:r>
            <w:r w:rsidR="000D39B9">
              <w:t>87</w:t>
            </w:r>
          </w:p>
        </w:tc>
      </w:tr>
      <w:tr w:rsidR="0040471E" w14:paraId="3C4FDFA4" w14:textId="30EDAEE0" w:rsidTr="0040471E">
        <w:trPr>
          <w:trHeight w:val="215"/>
          <w:jc w:val="center"/>
        </w:trPr>
        <w:tc>
          <w:tcPr>
            <w:tcW w:w="0" w:type="auto"/>
            <w:vMerge w:val="restart"/>
            <w:shd w:val="clear" w:color="auto" w:fill="E2EFD9" w:themeFill="accent6" w:themeFillTint="33"/>
            <w:vAlign w:val="center"/>
          </w:tcPr>
          <w:p w14:paraId="4099474D" w14:textId="77777777" w:rsidR="0040471E" w:rsidRDefault="0040471E" w:rsidP="0040471E">
            <w:pPr>
              <w:jc w:val="center"/>
            </w:pPr>
            <w:r>
              <w:t>Conservative</w:t>
            </w:r>
          </w:p>
          <w:p w14:paraId="5351296A" w14:textId="77777777" w:rsidR="0040471E" w:rsidRPr="00507111" w:rsidRDefault="0040471E" w:rsidP="0040471E">
            <w:pPr>
              <w:jc w:val="center"/>
            </w:pPr>
            <w:r>
              <w:t>Mode</w:t>
            </w:r>
          </w:p>
        </w:tc>
        <w:tc>
          <w:tcPr>
            <w:tcW w:w="0" w:type="auto"/>
            <w:shd w:val="clear" w:color="auto" w:fill="F2F2F2" w:themeFill="background1" w:themeFillShade="F2"/>
            <w:vAlign w:val="center"/>
          </w:tcPr>
          <w:p w14:paraId="6BAEBC8B" w14:textId="77777777" w:rsidR="0040471E" w:rsidRDefault="0083235C" w:rsidP="0040471E">
            <w:pPr>
              <w:jc w:val="cente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RMM</m:t>
                    </m:r>
                  </m:sub>
                </m:sSub>
              </m:oMath>
            </m:oMathPara>
          </w:p>
        </w:tc>
        <w:tc>
          <w:tcPr>
            <w:tcW w:w="0" w:type="auto"/>
            <w:vAlign w:val="center"/>
          </w:tcPr>
          <w:p w14:paraId="091A74D0" w14:textId="3538E7DD" w:rsidR="0040471E" w:rsidRDefault="0040471E" w:rsidP="0040471E">
            <w:pPr>
              <w:jc w:val="center"/>
            </w:pPr>
            <w:r>
              <w:t>1.16</w:t>
            </w:r>
            <w:r>
              <w:sym w:font="Symbol" w:char="F0B4"/>
            </w:r>
            <w:r>
              <w:t>10</w:t>
            </w:r>
            <w:r w:rsidRPr="00A4653B">
              <w:rPr>
                <w:vertAlign w:val="superscript"/>
              </w:rPr>
              <w:t>-</w:t>
            </w:r>
            <w:r>
              <w:rPr>
                <w:vertAlign w:val="superscript"/>
              </w:rPr>
              <w:t>4</w:t>
            </w:r>
          </w:p>
        </w:tc>
        <w:tc>
          <w:tcPr>
            <w:tcW w:w="0" w:type="auto"/>
            <w:vAlign w:val="center"/>
          </w:tcPr>
          <w:p w14:paraId="2984160F" w14:textId="535F4658" w:rsidR="0040471E" w:rsidRDefault="0040471E" w:rsidP="0040471E">
            <w:pPr>
              <w:jc w:val="center"/>
            </w:pPr>
            <w:r>
              <w:t>1.03</w:t>
            </w:r>
            <w:r>
              <w:sym w:font="Symbol" w:char="F0B4"/>
            </w:r>
            <w:r>
              <w:t>10</w:t>
            </w:r>
            <w:r w:rsidRPr="00A4653B">
              <w:rPr>
                <w:vertAlign w:val="superscript"/>
              </w:rPr>
              <w:t>-</w:t>
            </w:r>
            <w:r>
              <w:rPr>
                <w:vertAlign w:val="superscript"/>
              </w:rPr>
              <w:t>4</w:t>
            </w:r>
          </w:p>
        </w:tc>
        <w:tc>
          <w:tcPr>
            <w:tcW w:w="0" w:type="auto"/>
            <w:vAlign w:val="center"/>
          </w:tcPr>
          <w:p w14:paraId="343783D0" w14:textId="2F488361" w:rsidR="0040471E" w:rsidRDefault="0040471E" w:rsidP="0040471E">
            <w:pPr>
              <w:jc w:val="center"/>
            </w:pPr>
            <w:r>
              <w:t>9.62</w:t>
            </w:r>
            <w:r>
              <w:sym w:font="Symbol" w:char="F0B4"/>
            </w:r>
            <w:r>
              <w:t>10</w:t>
            </w:r>
            <w:r w:rsidRPr="00A4653B">
              <w:rPr>
                <w:vertAlign w:val="superscript"/>
              </w:rPr>
              <w:t>-</w:t>
            </w:r>
            <w:r>
              <w:rPr>
                <w:vertAlign w:val="superscript"/>
              </w:rPr>
              <w:t>5</w:t>
            </w:r>
          </w:p>
        </w:tc>
        <w:tc>
          <w:tcPr>
            <w:tcW w:w="0" w:type="auto"/>
            <w:vAlign w:val="center"/>
          </w:tcPr>
          <w:p w14:paraId="50C8A432" w14:textId="76354842" w:rsidR="0040471E" w:rsidRDefault="0040471E" w:rsidP="0040471E">
            <w:pPr>
              <w:jc w:val="center"/>
            </w:pPr>
            <w:r>
              <w:t>8.53</w:t>
            </w:r>
            <w:r>
              <w:sym w:font="Symbol" w:char="F0B4"/>
            </w:r>
            <w:r>
              <w:t>10</w:t>
            </w:r>
            <w:r w:rsidRPr="00A4653B">
              <w:rPr>
                <w:vertAlign w:val="superscript"/>
              </w:rPr>
              <w:t>-</w:t>
            </w:r>
            <w:r>
              <w:rPr>
                <w:vertAlign w:val="superscript"/>
              </w:rPr>
              <w:t>5</w:t>
            </w:r>
          </w:p>
        </w:tc>
      </w:tr>
      <w:tr w:rsidR="0040471E" w14:paraId="3EB8642D" w14:textId="114CD62B" w:rsidTr="0040471E">
        <w:trPr>
          <w:trHeight w:val="215"/>
          <w:jc w:val="center"/>
        </w:trPr>
        <w:tc>
          <w:tcPr>
            <w:tcW w:w="0" w:type="auto"/>
            <w:vMerge/>
            <w:shd w:val="clear" w:color="auto" w:fill="E2EFD9" w:themeFill="accent6" w:themeFillTint="33"/>
          </w:tcPr>
          <w:p w14:paraId="5F43695F" w14:textId="77777777" w:rsidR="0040471E" w:rsidRDefault="0040471E" w:rsidP="0040471E">
            <w:pPr>
              <w:jc w:val="center"/>
              <w:rPr>
                <w:rFonts w:ascii="Arial" w:hAnsi="Arial"/>
              </w:rPr>
            </w:pPr>
          </w:p>
        </w:tc>
        <w:tc>
          <w:tcPr>
            <w:tcW w:w="0" w:type="auto"/>
            <w:shd w:val="clear" w:color="auto" w:fill="F2F2F2" w:themeFill="background1" w:themeFillShade="F2"/>
            <w:vAlign w:val="center"/>
          </w:tcPr>
          <w:p w14:paraId="382E56B3" w14:textId="77777777" w:rsidR="0040471E" w:rsidRDefault="0083235C" w:rsidP="0040471E">
            <w:pPr>
              <w:jc w:val="center"/>
              <w:rPr>
                <w:rFonts w:ascii="Arial" w:hAnsi="Arial"/>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40471E">
              <w:t xml:space="preserve"> (yr</w:t>
            </w:r>
            <w:r w:rsidR="0040471E" w:rsidRPr="004E4A9E">
              <w:rPr>
                <w:vertAlign w:val="superscript"/>
              </w:rPr>
              <w:t>-1</w:t>
            </w:r>
            <w:r w:rsidR="0040471E">
              <w:t>)</w:t>
            </w:r>
          </w:p>
        </w:tc>
        <w:tc>
          <w:tcPr>
            <w:tcW w:w="0" w:type="auto"/>
            <w:vAlign w:val="center"/>
          </w:tcPr>
          <w:p w14:paraId="3980E5C6" w14:textId="20439A56" w:rsidR="0040471E" w:rsidRDefault="0040471E" w:rsidP="0040471E">
            <w:pPr>
              <w:jc w:val="center"/>
            </w:pPr>
            <w:r>
              <w:t>0.</w:t>
            </w:r>
            <w:r w:rsidR="002A4F28">
              <w:t>32</w:t>
            </w:r>
          </w:p>
        </w:tc>
        <w:tc>
          <w:tcPr>
            <w:tcW w:w="0" w:type="auto"/>
            <w:vAlign w:val="center"/>
          </w:tcPr>
          <w:p w14:paraId="64C0EE29" w14:textId="10F9A807" w:rsidR="0040471E" w:rsidRDefault="0040471E" w:rsidP="0040471E">
            <w:pPr>
              <w:jc w:val="center"/>
            </w:pPr>
            <w:r>
              <w:t>0.</w:t>
            </w:r>
            <w:r w:rsidR="002A4F28">
              <w:t>66</w:t>
            </w:r>
          </w:p>
        </w:tc>
        <w:tc>
          <w:tcPr>
            <w:tcW w:w="0" w:type="auto"/>
            <w:vAlign w:val="center"/>
          </w:tcPr>
          <w:p w14:paraId="646F0E5E" w14:textId="194279E6" w:rsidR="0040471E" w:rsidRDefault="0040471E" w:rsidP="0040471E">
            <w:pPr>
              <w:jc w:val="center"/>
            </w:pPr>
            <w:r>
              <w:t>0.</w:t>
            </w:r>
            <w:r w:rsidR="002A4F28">
              <w:t>74</w:t>
            </w:r>
          </w:p>
        </w:tc>
        <w:tc>
          <w:tcPr>
            <w:tcW w:w="0" w:type="auto"/>
            <w:vAlign w:val="center"/>
          </w:tcPr>
          <w:p w14:paraId="13870ADC" w14:textId="2E351A86" w:rsidR="0040471E" w:rsidRDefault="000D39B9" w:rsidP="0040471E">
            <w:pPr>
              <w:jc w:val="center"/>
            </w:pPr>
            <w:r>
              <w:t>1.05</w:t>
            </w:r>
          </w:p>
        </w:tc>
      </w:tr>
    </w:tbl>
    <w:p w14:paraId="44008344" w14:textId="49BF1208" w:rsidR="00933910" w:rsidRDefault="00933910" w:rsidP="00933910">
      <w:pPr>
        <w:pStyle w:val="Sub-Section"/>
      </w:pPr>
      <w:r>
        <w:t xml:space="preserve">Adjusting Remediation Thresholds During </w:t>
      </w:r>
      <w:r w:rsidR="0040471E">
        <w:t xml:space="preserve">A </w:t>
      </w:r>
      <w:r>
        <w:t>Satellite</w:t>
      </w:r>
      <w:r w:rsidR="0040471E">
        <w:t>’s</w:t>
      </w:r>
      <w:r>
        <w:t xml:space="preserve"> </w:t>
      </w:r>
      <w:r w:rsidR="00983AD9">
        <w:t>Active</w:t>
      </w:r>
      <w:r>
        <w:t xml:space="preserve"> Lifetime</w:t>
      </w:r>
    </w:p>
    <w:p w14:paraId="2CFE29BE" w14:textId="327FBAA5" w:rsidR="00933910" w:rsidRDefault="00933910" w:rsidP="00933910">
      <w:r>
        <w:t xml:space="preserve">Figure 4 </w:t>
      </w:r>
      <w:r w:rsidR="003D3D22">
        <w:t xml:space="preserve">and Table 1 </w:t>
      </w:r>
      <w:r>
        <w:t xml:space="preserve">indicate that </w:t>
      </w:r>
      <m:oMath>
        <m:sSub>
          <m:sSubPr>
            <m:ctrlPr>
              <w:rPr>
                <w:rFonts w:ascii="Cambria Math" w:hAnsi="Cambria Math"/>
                <w:i/>
              </w:rPr>
            </m:ctrlPr>
          </m:sSubPr>
          <m:e>
            <m:r>
              <w:rPr>
                <w:rFonts w:ascii="Cambria Math" w:hAnsi="Cambria Math"/>
              </w:rPr>
              <m:t>P</m:t>
            </m:r>
          </m:e>
          <m:sub>
            <m:r>
              <w:rPr>
                <w:rFonts w:ascii="Cambria Math" w:hAnsi="Cambria Math"/>
              </w:rPr>
              <m:t>RMM</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t xml:space="preserve"> estimates </w:t>
      </w:r>
      <w:r w:rsidR="002D2B1D">
        <w:t>change</w:t>
      </w:r>
      <w:r>
        <w:t xml:space="preserve"> significantly with </w:t>
      </w:r>
      <w:r w:rsidR="002D2B1D">
        <w:t>remaining</w:t>
      </w:r>
      <w:r>
        <w:t xml:space="preserve"> on-orbit duration.  This means that, as a mission progresses throughout its lifetime, it </w:t>
      </w:r>
      <w:r w:rsidR="001B39A9">
        <w:t>c</w:t>
      </w:r>
      <w:r w:rsidR="00E937F8">
        <w:t>ould</w:t>
      </w:r>
      <w:r>
        <w:t xml:space="preserve"> adjust its </w:t>
      </w:r>
      <w:r w:rsidR="003D3D22">
        <w:t xml:space="preserve">red </w:t>
      </w:r>
      <w:r>
        <w:t xml:space="preserve">remediation </w:t>
      </w:r>
      <w:r w:rsidR="003D3D22">
        <w:t>threshold</w:t>
      </w:r>
      <w:r>
        <w:t xml:space="preserve"> on an on-going basis, and still continuously satisfy </w:t>
      </w:r>
      <w:r w:rsidR="003D3D22">
        <w:t>the same</w:t>
      </w:r>
      <w:r>
        <w:t xml:space="preserve"> cumulative risk</w:t>
      </w:r>
      <w:r w:rsidRPr="00A263ED">
        <w:t xml:space="preserve"> </w:t>
      </w:r>
      <w:r>
        <w:t>goal</w:t>
      </w:r>
      <w:r w:rsidR="003D3D22">
        <w:t xml:space="preserve"> for its remaining on-orbit duration</w:t>
      </w:r>
      <w:r>
        <w:t xml:space="preserve">.  </w:t>
      </w:r>
      <w:r w:rsidR="00DD5972">
        <w:t>For instance,</w:t>
      </w:r>
      <w:r>
        <w:t xml:space="preserve"> a newly-launched 5-year</w:t>
      </w:r>
      <w:r w:rsidR="00BE0822">
        <w:t xml:space="preserve"> duration</w:t>
      </w:r>
      <w:r>
        <w:t xml:space="preserve"> </w:t>
      </w:r>
      <w:r w:rsidR="00E92531">
        <w:lastRenderedPageBreak/>
        <w:t xml:space="preserve">mission </w:t>
      </w:r>
      <w:r w:rsidR="00DD74DC">
        <w:t xml:space="preserve">in an HST-like orbit </w:t>
      </w:r>
      <w:r w:rsidR="00B74054">
        <w:t>c</w:t>
      </w:r>
      <w:r w:rsidR="00894E19">
        <w:t>ould</w:t>
      </w:r>
      <w:r w:rsidR="00B74054">
        <w:t xml:space="preserve"> initially</w:t>
      </w:r>
      <w:r>
        <w:t xml:space="preserve"> </w:t>
      </w:r>
      <w:r w:rsidR="00894E19">
        <w:t xml:space="preserve">perform remediation </w:t>
      </w:r>
      <w:r>
        <w:t>using a</w:t>
      </w:r>
      <w:r w:rsidR="00894E19">
        <w:t xml:space="preserve"> </w:t>
      </w:r>
      <w:r w:rsidR="00BE0822">
        <w:t xml:space="preserve">median </w:t>
      </w:r>
      <w:r w:rsidR="00894E19">
        <w:t>conservative-mode</w:t>
      </w:r>
      <w:r>
        <w:t xml:space="preserve"> threshold of </w:t>
      </w:r>
      <m:oMath>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r>
          <m:rPr>
            <m:sty m:val="p"/>
          </m:rPr>
          <w:rPr>
            <w:rFonts w:ascii="Cambria Math" w:hAnsi="Cambria Math"/>
          </w:rPr>
          <m:t>8.53</m:t>
        </m:r>
        <m:r>
          <m:rPr>
            <m:sty m:val="p"/>
          </m:rPr>
          <w:rPr>
            <w:rFonts w:ascii="Cambria Math" w:hAnsi="Cambria Math"/>
          </w:rPr>
          <w:sym w:font="Symbol" w:char="F0B4"/>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and expect a</w:t>
      </w:r>
      <w:r w:rsidR="004C0A6F">
        <w:t>n associated</w:t>
      </w:r>
      <w:r w:rsidR="00BE0822">
        <w:t xml:space="preserve"> average</w:t>
      </w:r>
      <w:r>
        <w:t xml:space="preserve"> </w:t>
      </w:r>
      <w:r w:rsidR="00E92531">
        <w:t xml:space="preserve">maneuver rate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r>
          <w:rPr>
            <w:rFonts w:ascii="Cambria Math" w:hAnsi="Cambria Math"/>
          </w:rPr>
          <m:t>≈1.05</m:t>
        </m:r>
      </m:oMath>
      <w:r w:rsidR="00E92531">
        <w:t xml:space="preserve"> </w:t>
      </w:r>
      <w:r w:rsidR="006B3F5F">
        <w:t xml:space="preserve">per year </w:t>
      </w:r>
      <w:r w:rsidR="00E92531">
        <w:t>(as listed in Table 1</w:t>
      </w:r>
      <w:r w:rsidR="00983AD9">
        <w:t xml:space="preserve"> for </w:t>
      </w: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=0.03</m:t>
        </m:r>
      </m:oMath>
      <w:r w:rsidR="00E92531">
        <w:t xml:space="preserve">).  </w:t>
      </w:r>
      <w:r w:rsidR="00B74054">
        <w:t>A</w:t>
      </w:r>
      <w:r w:rsidR="00894E19">
        <w:t xml:space="preserve">fter </w:t>
      </w:r>
      <w:r w:rsidR="006B2B40">
        <w:t xml:space="preserve">surviving </w:t>
      </w:r>
      <w:r w:rsidR="00894E19">
        <w:t xml:space="preserve">3 years, </w:t>
      </w:r>
      <w:r w:rsidR="00B74054">
        <w:t xml:space="preserve">however, </w:t>
      </w:r>
      <w:r w:rsidR="00894E19">
        <w:t>th</w:t>
      </w:r>
      <w:r w:rsidR="00B74054">
        <w:t>e</w:t>
      </w:r>
      <w:r w:rsidR="00894E19">
        <w:t xml:space="preserve"> same mission </w:t>
      </w:r>
      <w:r w:rsidR="00B74054">
        <w:t xml:space="preserve">would have only two years remaining on-orbit, and </w:t>
      </w:r>
      <w:r w:rsidR="00983AD9">
        <w:t>c</w:t>
      </w:r>
      <w:r w:rsidR="00894E19">
        <w:t xml:space="preserve">ould </w:t>
      </w:r>
      <w:r w:rsidR="00B52401">
        <w:t xml:space="preserve">then </w:t>
      </w:r>
      <w:r w:rsidR="00894E19">
        <w:t>use</w:t>
      </w:r>
      <w:r w:rsidR="00DD5972">
        <w:t xml:space="preserve"> a</w:t>
      </w:r>
      <w:r w:rsidR="004C0A6F">
        <w:t xml:space="preserve"> </w:t>
      </w:r>
      <w:r w:rsidR="00983AD9">
        <w:t>less</w:t>
      </w:r>
      <w:r w:rsidR="00B74054">
        <w:t xml:space="preserve"> demanding</w:t>
      </w:r>
      <w:r w:rsidR="008B6247">
        <w:t xml:space="preserve"> conservative-mode</w:t>
      </w:r>
      <w:r w:rsidR="00DD5972">
        <w:t xml:space="preserve"> </w:t>
      </w:r>
      <w:r w:rsidR="00983AD9">
        <w:t>threshold</w:t>
      </w:r>
      <w:r w:rsidR="00DD5972">
        <w:t xml:space="preserve"> of</w:t>
      </w:r>
      <w:r w:rsidR="00894E19">
        <w:t xml:space="preserve"> </w:t>
      </w:r>
      <m:oMath>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r>
          <m:rPr>
            <m:sty m:val="p"/>
          </m:rPr>
          <w:rPr>
            <w:rFonts w:ascii="Cambria Math" w:hAnsi="Cambria Math"/>
          </w:rPr>
          <m:t>4.09</m:t>
        </m:r>
        <m:r>
          <m:rPr>
            <m:sty m:val="p"/>
          </m:rPr>
          <w:rPr>
            <w:rFonts w:ascii="Cambria Math" w:hAnsi="Cambria Math"/>
          </w:rPr>
          <w:sym w:font="Symbol" w:char="F0B4"/>
        </m:r>
        <m:sSup>
          <m:sSupPr>
            <m:ctrlPr>
              <w:rPr>
                <w:rFonts w:ascii="Cambria Math" w:hAnsi="Cambria Math"/>
              </w:rPr>
            </m:ctrlPr>
          </m:sSupPr>
          <m:e>
            <m:r>
              <w:rPr>
                <w:rFonts w:ascii="Cambria Math" w:hAnsi="Cambria Math"/>
              </w:rPr>
              <m:t>10</m:t>
            </m:r>
          </m:e>
          <m:sup>
            <m:r>
              <w:rPr>
                <w:rFonts w:ascii="Cambria Math" w:hAnsi="Cambria Math"/>
              </w:rPr>
              <m:t>-4</m:t>
            </m:r>
          </m:sup>
        </m:sSup>
      </m:oMath>
      <w:r w:rsidR="005F58A0">
        <w:t xml:space="preserve"> </w:t>
      </w:r>
      <w:r w:rsidR="00BE0822">
        <w:t xml:space="preserve">reducing the average maneuver rate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r>
          <w:rPr>
            <w:rFonts w:ascii="Cambria Math" w:hAnsi="Cambria Math"/>
          </w:rPr>
          <m:t>≈0.31</m:t>
        </m:r>
      </m:oMath>
      <w:r w:rsidR="00BE0822">
        <w:t xml:space="preserve"> per year </w:t>
      </w:r>
      <w:r w:rsidR="005F58A0">
        <w:t xml:space="preserve">(also </w:t>
      </w:r>
      <w:r w:rsidR="00BE0822">
        <w:t xml:space="preserve">as </w:t>
      </w:r>
      <w:r w:rsidR="005F58A0">
        <w:t>listed in Table 1)</w:t>
      </w:r>
      <w:r w:rsidR="00BE0822">
        <w:t>,</w:t>
      </w:r>
      <w:r w:rsidR="00983AD9">
        <w:t xml:space="preserve"> and still satisfy </w:t>
      </w:r>
      <w:r w:rsidR="005F58A0">
        <w:t>its</w:t>
      </w:r>
      <w:r w:rsidR="00983AD9">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983AD9">
        <w:t xml:space="preserve"> </w:t>
      </w:r>
      <w:r w:rsidR="005F58A0">
        <w:t>requirement</w:t>
      </w:r>
      <w:r w:rsidR="00983AD9">
        <w:t>.</w:t>
      </w:r>
    </w:p>
    <w:p w14:paraId="18C96A87" w14:textId="4092E835" w:rsidR="00983AD9" w:rsidRDefault="00940722" w:rsidP="00983AD9">
      <w:pPr>
        <w:pStyle w:val="Sub-Section"/>
      </w:pPr>
      <w:r>
        <w:t xml:space="preserve">Remediation Thresholds </w:t>
      </w:r>
      <w:r w:rsidR="00983AD9">
        <w:t>Excluding Likely Non-Catastrophic Events</w:t>
      </w:r>
    </w:p>
    <w:p w14:paraId="0C09C242" w14:textId="0AD7F52B" w:rsidR="0015419D" w:rsidRDefault="00F2386F" w:rsidP="00D9311E">
      <w:pPr>
        <w:rPr>
          <w:szCs w:val="22"/>
        </w:rPr>
      </w:pPr>
      <w:r>
        <w:t xml:space="preserve">The examples </w:t>
      </w:r>
      <w:r w:rsidR="001F4C93">
        <w:t>presented so far</w:t>
      </w:r>
      <w:r>
        <w:t xml:space="preserve"> </w:t>
      </w:r>
      <w:r w:rsidR="001F4C93">
        <w:t xml:space="preserve">have </w:t>
      </w:r>
      <w:r>
        <w:t>include</w:t>
      </w:r>
      <w:r w:rsidR="001F4C93">
        <w:t>d</w:t>
      </w:r>
      <w:r>
        <w:t xml:space="preserve"> all conjunctions with </w:t>
      </w:r>
      <w:r w:rsidR="00A96C8E">
        <w:t xml:space="preserve">tracked </w:t>
      </w:r>
      <w:r>
        <w:t>secondary objects, regardless of the severity</w:t>
      </w:r>
      <w:r w:rsidR="002E3DEC">
        <w:t xml:space="preserve"> or consequences</w:t>
      </w:r>
      <w:r>
        <w:t xml:space="preserve"> of collision that might </w:t>
      </w:r>
      <w:r w:rsidR="002E3DEC">
        <w:t>result</w:t>
      </w:r>
      <w:r w:rsidR="00E915ED">
        <w:t>.</w:t>
      </w:r>
      <w:r w:rsidR="00D9311E">
        <w:t xml:space="preserve">  </w:t>
      </w:r>
      <w:r w:rsidR="00A96C8E">
        <w:t>M</w:t>
      </w:r>
      <w:r w:rsidR="002E3DEC">
        <w:t>ethods exist</w:t>
      </w:r>
      <w:r w:rsidR="00A96C8E">
        <w:t>, however,</w:t>
      </w:r>
      <w:r w:rsidR="002E3DEC">
        <w:t xml:space="preserve"> to evaluate </w:t>
      </w:r>
      <w:r w:rsidR="00660268">
        <w:t>the likelihood of a “catastrophic” collision, in which both the primary and secondary fragment fully, and thereby add significantly to the orbital debris population</w:t>
      </w:r>
      <w:r w:rsidR="002E3DEC">
        <w:t xml:space="preserve"> (see </w:t>
      </w:r>
      <w:r w:rsidR="00506D23" w:rsidRPr="007E70C4">
        <w:t xml:space="preserve">Lechtenberg </w:t>
      </w:r>
      <w:r w:rsidR="00506D23">
        <w:t xml:space="preserve">and </w:t>
      </w:r>
      <w:r w:rsidR="00506D23" w:rsidRPr="007E70C4">
        <w:t>Hejduk</w:t>
      </w:r>
      <w:r w:rsidR="002E3DEC" w:rsidRPr="00506D23">
        <w:rPr>
          <w:vertAlign w:val="superscript"/>
        </w:rPr>
        <w:fldChar w:fldCharType="begin"/>
      </w:r>
      <w:r w:rsidR="002E3DEC" w:rsidRPr="00506D23">
        <w:rPr>
          <w:vertAlign w:val="superscript"/>
        </w:rPr>
        <w:instrText xml:space="preserve"> REF _Ref6464712 \r \h </w:instrText>
      </w:r>
      <w:r w:rsidR="00506D23">
        <w:rPr>
          <w:vertAlign w:val="superscript"/>
        </w:rPr>
        <w:instrText xml:space="preserve"> \* MERGEFORMAT </w:instrText>
      </w:r>
      <w:r w:rsidR="002E3DEC" w:rsidRPr="00506D23">
        <w:rPr>
          <w:vertAlign w:val="superscript"/>
        </w:rPr>
      </w:r>
      <w:r w:rsidR="002E3DEC" w:rsidRPr="00506D23">
        <w:rPr>
          <w:vertAlign w:val="superscript"/>
        </w:rPr>
        <w:fldChar w:fldCharType="separate"/>
      </w:r>
      <w:r w:rsidR="004F2D83" w:rsidRPr="00506D23">
        <w:rPr>
          <w:vertAlign w:val="superscript"/>
        </w:rPr>
        <w:t>6</w:t>
      </w:r>
      <w:r w:rsidR="002E3DEC" w:rsidRPr="00506D23">
        <w:rPr>
          <w:vertAlign w:val="superscript"/>
        </w:rPr>
        <w:fldChar w:fldCharType="end"/>
      </w:r>
      <w:r w:rsidR="002E3DEC">
        <w:t xml:space="preserve"> and references therein).  </w:t>
      </w:r>
      <w:r w:rsidR="00660268">
        <w:rPr>
          <w:lang w:eastAsia="zh-CN"/>
        </w:rPr>
        <w:t>This</w:t>
      </w:r>
      <w:r w:rsidR="00D9311E">
        <w:rPr>
          <w:lang w:eastAsia="zh-CN"/>
        </w:rPr>
        <w:t xml:space="preserve"> </w:t>
      </w:r>
      <w:r w:rsidR="00516806">
        <w:rPr>
          <w:lang w:eastAsia="zh-CN"/>
        </w:rPr>
        <w:t xml:space="preserve">concept </w:t>
      </w:r>
      <w:r w:rsidR="00D9311E">
        <w:rPr>
          <w:lang w:eastAsia="zh-CN"/>
        </w:rPr>
        <w:t>allow</w:t>
      </w:r>
      <w:r w:rsidR="00660268">
        <w:rPr>
          <w:lang w:eastAsia="zh-CN"/>
        </w:rPr>
        <w:t>s</w:t>
      </w:r>
      <w:r w:rsidR="00D9311E">
        <w:rPr>
          <w:lang w:eastAsia="zh-CN"/>
        </w:rPr>
        <w:t xml:space="preserve"> risk management policies to focus on preserving </w:t>
      </w:r>
      <w:r w:rsidR="00D9311E" w:rsidRPr="00445A2D">
        <w:rPr>
          <w:szCs w:val="22"/>
        </w:rPr>
        <w:t xml:space="preserve">valuable orbital regions </w:t>
      </w:r>
      <w:r w:rsidR="00D9311E">
        <w:rPr>
          <w:szCs w:val="22"/>
        </w:rPr>
        <w:t xml:space="preserve">by preventing the </w:t>
      </w:r>
      <w:r w:rsidR="00D9311E" w:rsidRPr="00445A2D">
        <w:rPr>
          <w:szCs w:val="22"/>
        </w:rPr>
        <w:t>accumulati</w:t>
      </w:r>
      <w:r w:rsidR="00D9311E">
        <w:rPr>
          <w:szCs w:val="22"/>
        </w:rPr>
        <w:t>on</w:t>
      </w:r>
      <w:r w:rsidR="00D9311E" w:rsidRPr="00445A2D">
        <w:rPr>
          <w:szCs w:val="22"/>
        </w:rPr>
        <w:t xml:space="preserve"> </w:t>
      </w:r>
      <w:r w:rsidR="004E69E2">
        <w:rPr>
          <w:szCs w:val="22"/>
        </w:rPr>
        <w:t xml:space="preserve">of </w:t>
      </w:r>
      <w:r w:rsidR="00D9311E" w:rsidRPr="00445A2D">
        <w:rPr>
          <w:szCs w:val="22"/>
        </w:rPr>
        <w:t>debris</w:t>
      </w:r>
      <w:r w:rsidR="00D9311E">
        <w:rPr>
          <w:szCs w:val="22"/>
        </w:rPr>
        <w:t xml:space="preserve"> that threat</w:t>
      </w:r>
      <w:r w:rsidR="004E69E2">
        <w:rPr>
          <w:szCs w:val="22"/>
        </w:rPr>
        <w:t>en other</w:t>
      </w:r>
      <w:r w:rsidR="00D9311E">
        <w:rPr>
          <w:szCs w:val="22"/>
        </w:rPr>
        <w:t xml:space="preserve"> </w:t>
      </w:r>
      <w:r w:rsidR="004E69E2">
        <w:rPr>
          <w:szCs w:val="22"/>
        </w:rPr>
        <w:t>c</w:t>
      </w:r>
      <w:r w:rsidR="00D9311E">
        <w:rPr>
          <w:szCs w:val="22"/>
        </w:rPr>
        <w:t>urrent and future missions</w:t>
      </w:r>
      <w:r w:rsidR="00516806">
        <w:rPr>
          <w:szCs w:val="22"/>
        </w:rPr>
        <w:t>; it also</w:t>
      </w:r>
      <w:r w:rsidR="00D9311E">
        <w:rPr>
          <w:szCs w:val="22"/>
        </w:rPr>
        <w:t xml:space="preserve"> forms the basis of the “environment protection” modes of the semi-empirical model</w:t>
      </w:r>
      <w:r w:rsidR="00660268">
        <w:rPr>
          <w:szCs w:val="22"/>
        </w:rPr>
        <w:t xml:space="preserve"> formulation</w:t>
      </w:r>
      <w:r w:rsidR="00D9311E">
        <w:rPr>
          <w:szCs w:val="22"/>
        </w:rPr>
        <w:t>, as opposed to the “mission protection” mode</w:t>
      </w:r>
      <w:r w:rsidR="004E69E2">
        <w:rPr>
          <w:szCs w:val="22"/>
        </w:rPr>
        <w:t>s</w:t>
      </w:r>
      <w:r w:rsidR="00D9311E">
        <w:rPr>
          <w:szCs w:val="22"/>
        </w:rPr>
        <w:t xml:space="preserve"> discussed previously.</w:t>
      </w:r>
    </w:p>
    <w:p w14:paraId="7C95A962" w14:textId="3562E47B" w:rsidR="00933910" w:rsidRDefault="0015419D" w:rsidP="00530724">
      <w:r>
        <w:rPr>
          <w:szCs w:val="22"/>
        </w:rPr>
        <w:t>Preliminary analysis indicates that</w:t>
      </w:r>
      <w:r w:rsidR="00FA54E2">
        <w:rPr>
          <w:szCs w:val="22"/>
        </w:rPr>
        <w:t xml:space="preserve"> </w:t>
      </w:r>
      <w:r w:rsidR="00660268">
        <w:rPr>
          <w:szCs w:val="22"/>
        </w:rPr>
        <w:t>implementing</w:t>
      </w:r>
      <w:r>
        <w:rPr>
          <w:szCs w:val="22"/>
        </w:rPr>
        <w:t xml:space="preserve"> an environment protection mode that exclud</w:t>
      </w:r>
      <w:r w:rsidR="00FA54E2">
        <w:rPr>
          <w:szCs w:val="22"/>
        </w:rPr>
        <w:t>es</w:t>
      </w:r>
      <w:r>
        <w:rPr>
          <w:szCs w:val="22"/>
        </w:rPr>
        <w:t xml:space="preserve"> collisions estimated to be non-catastrophic at a conservative 99.9% confidence level</w:t>
      </w:r>
      <w:r w:rsidRPr="0015419D">
        <w:rPr>
          <w:vertAlign w:val="superscript"/>
        </w:rPr>
        <w:fldChar w:fldCharType="begin"/>
      </w:r>
      <w:r w:rsidRPr="0015419D">
        <w:rPr>
          <w:vertAlign w:val="superscript"/>
        </w:rPr>
        <w:instrText xml:space="preserve"> REF _Ref6464712 \r \h </w:instrText>
      </w:r>
      <w:r>
        <w:rPr>
          <w:vertAlign w:val="superscript"/>
        </w:rPr>
        <w:instrText xml:space="preserve"> \* MERGEFORMAT </w:instrText>
      </w:r>
      <w:r w:rsidRPr="0015419D">
        <w:rPr>
          <w:vertAlign w:val="superscript"/>
        </w:rPr>
      </w:r>
      <w:r w:rsidRPr="0015419D">
        <w:rPr>
          <w:vertAlign w:val="superscript"/>
        </w:rPr>
        <w:fldChar w:fldCharType="separate"/>
      </w:r>
      <w:r w:rsidR="004F2D83">
        <w:rPr>
          <w:vertAlign w:val="superscript"/>
        </w:rPr>
        <w:t>6</w:t>
      </w:r>
      <w:r w:rsidRPr="0015419D">
        <w:rPr>
          <w:vertAlign w:val="superscript"/>
        </w:rPr>
        <w:fldChar w:fldCharType="end"/>
      </w:r>
      <w:r>
        <w:rPr>
          <w:szCs w:val="22"/>
        </w:rPr>
        <w:t xml:space="preserve"> can</w:t>
      </w:r>
      <w:r w:rsidR="006B3F5F">
        <w:rPr>
          <w:szCs w:val="22"/>
        </w:rPr>
        <w:t xml:space="preserve"> </w:t>
      </w:r>
      <w:r>
        <w:rPr>
          <w:szCs w:val="22"/>
        </w:rPr>
        <w:t xml:space="preserve">significantly change required </w:t>
      </w:r>
      <w:r w:rsidR="00660268">
        <w:rPr>
          <w:szCs w:val="22"/>
        </w:rPr>
        <w:t>remediation</w:t>
      </w:r>
      <w:r>
        <w:rPr>
          <w:szCs w:val="22"/>
        </w:rPr>
        <w:t xml:space="preserve"> thresholds and rates</w:t>
      </w:r>
      <w:r w:rsidR="000B3570">
        <w:rPr>
          <w:szCs w:val="22"/>
        </w:rPr>
        <w:t>, depending on the primary’s mass and orbital environment.  For instance, assuming a 2,000 kg primary</w:t>
      </w:r>
      <w:r w:rsidR="006B3F5F">
        <w:rPr>
          <w:szCs w:val="22"/>
        </w:rPr>
        <w:t>,</w:t>
      </w:r>
      <w:r w:rsidR="000B3570">
        <w:rPr>
          <w:szCs w:val="22"/>
        </w:rPr>
        <w:t xml:space="preserve"> </w:t>
      </w:r>
      <w:r w:rsidR="006B3F5F">
        <w:rPr>
          <w:szCs w:val="22"/>
        </w:rPr>
        <w:t>590</w:t>
      </w:r>
      <w:r w:rsidR="000B3570">
        <w:rPr>
          <w:szCs w:val="22"/>
        </w:rPr>
        <w:t xml:space="preserve"> of the 1,555 conjunctions shown in Figure 1 would be evaluated </w:t>
      </w:r>
      <w:r w:rsidR="007D47CD">
        <w:rPr>
          <w:szCs w:val="22"/>
        </w:rPr>
        <w:t xml:space="preserve">as </w:t>
      </w:r>
      <w:r w:rsidR="006B3F5F">
        <w:rPr>
          <w:szCs w:val="22"/>
        </w:rPr>
        <w:t>likely non-</w:t>
      </w:r>
      <w:r w:rsidR="000B3570">
        <w:rPr>
          <w:szCs w:val="22"/>
        </w:rPr>
        <w:t xml:space="preserve">catastrophic </w:t>
      </w:r>
      <w:r w:rsidR="00AC6D1D">
        <w:rPr>
          <w:szCs w:val="22"/>
        </w:rPr>
        <w:t xml:space="preserve">collision </w:t>
      </w:r>
      <w:r w:rsidR="000B3570">
        <w:rPr>
          <w:szCs w:val="22"/>
        </w:rPr>
        <w:t xml:space="preserve">events.  </w:t>
      </w:r>
      <w:r w:rsidR="002E0AC4">
        <w:rPr>
          <w:szCs w:val="22"/>
        </w:rPr>
        <w:t>In this case, t</w:t>
      </w:r>
      <w:r w:rsidR="000B3570">
        <w:t>he 5-year</w:t>
      </w:r>
      <w:r w:rsidR="006B3F5F">
        <w:t xml:space="preserve"> </w:t>
      </w:r>
      <w:r w:rsidR="00516806">
        <w:t xml:space="preserve">model </w:t>
      </w:r>
      <w:r w:rsidR="000B3570">
        <w:t>mission discussed previously</w:t>
      </w:r>
      <w:r w:rsidR="006B3F5F">
        <w:t xml:space="preserve"> with </w:t>
      </w:r>
      <w:r w:rsidR="002E0AC4">
        <w:t>conservative-mode/</w:t>
      </w:r>
      <w:r w:rsidR="000B3570">
        <w:t xml:space="preserve">mission-protection </w:t>
      </w:r>
      <w:r w:rsidR="002E0AC4">
        <w:t xml:space="preserve">remediation </w:t>
      </w:r>
      <w:r w:rsidR="00032AA5">
        <w:t>estimates</w:t>
      </w:r>
      <w:r w:rsidR="000B3570">
        <w:t xml:space="preserve"> of </w:t>
      </w:r>
      <m:oMath>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r>
          <m:rPr>
            <m:sty m:val="p"/>
          </m:rPr>
          <w:rPr>
            <w:rFonts w:ascii="Cambria Math" w:hAnsi="Cambria Math"/>
          </w:rPr>
          <m:t>8.53</m:t>
        </m:r>
        <m:r>
          <m:rPr>
            <m:sty m:val="p"/>
          </m:rPr>
          <w:rPr>
            <w:rFonts w:ascii="Cambria Math" w:hAnsi="Cambria Math"/>
          </w:rPr>
          <w:sym w:font="Symbol" w:char="F0B4"/>
        </m:r>
        <m:sSup>
          <m:sSupPr>
            <m:ctrlPr>
              <w:rPr>
                <w:rFonts w:ascii="Cambria Math" w:hAnsi="Cambria Math"/>
              </w:rPr>
            </m:ctrlPr>
          </m:sSupPr>
          <m:e>
            <m:r>
              <w:rPr>
                <w:rFonts w:ascii="Cambria Math" w:hAnsi="Cambria Math"/>
              </w:rPr>
              <m:t>10</m:t>
            </m:r>
          </m:e>
          <m:sup>
            <m:r>
              <w:rPr>
                <w:rFonts w:ascii="Cambria Math" w:hAnsi="Cambria Math"/>
              </w:rPr>
              <m:t>-5</m:t>
            </m:r>
          </m:sup>
        </m:sSup>
      </m:oMath>
      <w:r w:rsidR="000B3570">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r>
          <w:rPr>
            <w:rFonts w:ascii="Cambria Math" w:hAnsi="Cambria Math"/>
          </w:rPr>
          <m:t>≈1.05</m:t>
        </m:r>
      </m:oMath>
      <w:r w:rsidR="006B3F5F">
        <w:t xml:space="preserve"> per year</w:t>
      </w:r>
      <w:r w:rsidR="002E0AC4">
        <w:t xml:space="preserve"> (</w:t>
      </w:r>
      <w:r w:rsidR="000B3570">
        <w:t xml:space="preserve">as listed in Table 1 for </w:t>
      </w:r>
      <m:oMath>
        <m:r>
          <w:rPr>
            <w:rFonts w:ascii="Cambria Math" w:hAnsi="Cambria Math"/>
          </w:rPr>
          <m:t>ρ=0.03</m:t>
        </m:r>
      </m:oMath>
      <w:r w:rsidR="000B3570">
        <w:t>)</w:t>
      </w:r>
      <w:r w:rsidR="006B3F5F">
        <w:t>,</w:t>
      </w:r>
      <w:r w:rsidR="00032AA5">
        <w:t xml:space="preserve"> would have </w:t>
      </w:r>
      <w:r w:rsidR="006B3F5F">
        <w:t xml:space="preserve">much less stringent </w:t>
      </w:r>
      <w:r w:rsidR="00660268">
        <w:t>conservative-mode/</w:t>
      </w:r>
      <w:r w:rsidR="006B3F5F">
        <w:t>environment</w:t>
      </w:r>
      <w:r w:rsidR="00032AA5">
        <w:t xml:space="preserve">-protection </w:t>
      </w:r>
      <w:r w:rsidR="00342047">
        <w:t xml:space="preserve">remediation </w:t>
      </w:r>
      <w:r w:rsidR="00032AA5">
        <w:t xml:space="preserve">estimates of </w:t>
      </w:r>
      <m:oMath>
        <m:sSub>
          <m:sSubPr>
            <m:ctrlPr>
              <w:rPr>
                <w:rFonts w:ascii="Cambria Math" w:hAnsi="Cambria Math"/>
                <w:i/>
              </w:rPr>
            </m:ctrlPr>
          </m:sSubPr>
          <m:e>
            <m:r>
              <w:rPr>
                <w:rFonts w:ascii="Cambria Math" w:hAnsi="Cambria Math"/>
              </w:rPr>
              <m:t>P</m:t>
            </m:r>
          </m:e>
          <m:sub>
            <m:r>
              <w:rPr>
                <w:rFonts w:ascii="Cambria Math" w:hAnsi="Cambria Math"/>
              </w:rPr>
              <m:t>RMM</m:t>
            </m:r>
          </m:sub>
        </m:sSub>
        <m:r>
          <w:rPr>
            <w:rFonts w:ascii="Cambria Math" w:hAnsi="Cambria Math"/>
          </w:rPr>
          <m:t>=</m:t>
        </m:r>
        <m:r>
          <m:rPr>
            <m:sty m:val="p"/>
          </m:rPr>
          <w:rPr>
            <w:rFonts w:ascii="Cambria Math" w:hAnsi="Cambria Math"/>
          </w:rPr>
          <m:t>2.18</m:t>
        </m:r>
        <m:r>
          <m:rPr>
            <m:sty m:val="p"/>
          </m:rPr>
          <w:rPr>
            <w:rFonts w:ascii="Cambria Math" w:hAnsi="Cambria Math"/>
          </w:rPr>
          <w:sym w:font="Symbol" w:char="F0B4"/>
        </m:r>
        <m:sSup>
          <m:sSupPr>
            <m:ctrlPr>
              <w:rPr>
                <w:rFonts w:ascii="Cambria Math" w:hAnsi="Cambria Math"/>
              </w:rPr>
            </m:ctrlPr>
          </m:sSupPr>
          <m:e>
            <m:r>
              <w:rPr>
                <w:rFonts w:ascii="Cambria Math" w:hAnsi="Cambria Math"/>
              </w:rPr>
              <m:t>10</m:t>
            </m:r>
          </m:e>
          <m:sup>
            <m:r>
              <w:rPr>
                <w:rFonts w:ascii="Cambria Math" w:hAnsi="Cambria Math"/>
              </w:rPr>
              <m:t>-4</m:t>
            </m:r>
          </m:sup>
        </m:sSup>
      </m:oMath>
      <w:r w:rsidR="00032AA5">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r>
          <w:rPr>
            <w:rFonts w:ascii="Cambria Math" w:hAnsi="Cambria Math"/>
          </w:rPr>
          <m:t>≈0.36</m:t>
        </m:r>
      </m:oMath>
      <w:r w:rsidR="002E0AC4">
        <w:t xml:space="preserve"> per year.</w:t>
      </w:r>
    </w:p>
    <w:p w14:paraId="40A657B9" w14:textId="58641C8A" w:rsidR="003C3B91" w:rsidRDefault="003C3B91" w:rsidP="00530724">
      <w:r>
        <w:t xml:space="preserve">The CARA team continues to study </w:t>
      </w:r>
      <w:r w:rsidR="002361A5">
        <w:t>how to incorporate collision consequence</w:t>
      </w:r>
      <w:r w:rsidR="008E377D">
        <w:t xml:space="preserve"> considerations</w:t>
      </w:r>
      <w:r w:rsidR="002361A5">
        <w:t xml:space="preserve"> into the semi-empirical model.  For instance, rather than focusing on a catastrophic vs non-catastrophic collision evaluation, the model could employ </w:t>
      </w:r>
      <w:r w:rsidR="00516806">
        <w:t>an</w:t>
      </w:r>
      <w:r w:rsidR="002361A5">
        <w:t xml:space="preserve"> “expected number of</w:t>
      </w:r>
      <w:r w:rsidR="00516806">
        <w:t xml:space="preserve"> generated</w:t>
      </w:r>
      <w:r w:rsidR="002361A5">
        <w:t xml:space="preserve"> fragments” metric as a more quantitative measure of orbital environmental protection.</w:t>
      </w:r>
    </w:p>
    <w:p w14:paraId="49B51B0E" w14:textId="450D4FB0" w:rsidR="002361A5" w:rsidRDefault="002361A5" w:rsidP="002361A5">
      <w:pPr>
        <w:pStyle w:val="Section"/>
      </w:pPr>
      <w:r>
        <w:t>Discusssio</w:t>
      </w:r>
      <w:r w:rsidR="00935E2D">
        <w:t>n</w:t>
      </w:r>
    </w:p>
    <w:p w14:paraId="48EA1348" w14:textId="2405001B" w:rsidR="00CC76C1" w:rsidRDefault="002361A5" w:rsidP="00CB777B">
      <w:r>
        <w:t>Th</w:t>
      </w:r>
      <w:r w:rsidR="005E5BEB">
        <w:t>e</w:t>
      </w:r>
      <w:r>
        <w:t xml:space="preserve"> semi-empirical method presented here estimat</w:t>
      </w:r>
      <w:r w:rsidR="009F2ED3">
        <w:t>es</w:t>
      </w:r>
      <w:r>
        <w:t xml:space="preserve"> conjunction remediation thresholds </w:t>
      </w:r>
      <w:r w:rsidR="009534C5">
        <w:t xml:space="preserve">that </w:t>
      </w:r>
      <w:r w:rsidR="003D6E2F">
        <w:t>allow</w:t>
      </w:r>
      <w:r>
        <w:t xml:space="preserve"> satellites </w:t>
      </w:r>
      <w:r w:rsidR="009534C5">
        <w:t>to</w:t>
      </w:r>
      <w:r>
        <w:t xml:space="preserve"> survive </w:t>
      </w:r>
      <w:r w:rsidR="003D6E2F">
        <w:t xml:space="preserve">their </w:t>
      </w:r>
      <w:r>
        <w:t xml:space="preserve">remaining </w:t>
      </w:r>
      <w:r w:rsidR="00D56F0C">
        <w:t>on-orbit</w:t>
      </w:r>
      <w:r>
        <w:t xml:space="preserve"> lifetimes without experiencing a </w:t>
      </w:r>
      <w:r w:rsidR="00D56F0C">
        <w:t>cataloged</w:t>
      </w:r>
      <w:r>
        <w:t xml:space="preserve">-object collision at a </w:t>
      </w:r>
      <w:r w:rsidR="009534C5">
        <w:t>quantified</w:t>
      </w:r>
      <w:r>
        <w:t xml:space="preserve"> confidence level, such as 99.9%.</w:t>
      </w:r>
      <w:r w:rsidR="009534C5">
        <w:t xml:space="preserve">  </w:t>
      </w:r>
      <w:r w:rsidR="00CB777B">
        <w:t>T</w:t>
      </w:r>
      <w:r w:rsidR="009534C5">
        <w:t xml:space="preserve">he biggest advantage </w:t>
      </w:r>
      <w:r w:rsidR="003D6E2F">
        <w:t xml:space="preserve">of </w:t>
      </w:r>
      <w:r w:rsidR="00D56F0C">
        <w:t>the</w:t>
      </w:r>
      <w:r w:rsidR="009534C5">
        <w:t xml:space="preserve"> semi-empirical </w:t>
      </w:r>
      <w:r w:rsidR="00D56F0C">
        <w:t>approach</w:t>
      </w:r>
      <w:r w:rsidR="009534C5">
        <w:t xml:space="preserve"> is that </w:t>
      </w:r>
      <w:r w:rsidR="00CB777B">
        <w:t>the orbital</w:t>
      </w:r>
      <w:r w:rsidR="009534C5">
        <w:t xml:space="preserve"> states and covariances required for collision probability estimation can be taken directly from </w:t>
      </w:r>
      <w:r w:rsidR="00587EF4">
        <w:t>a conjunction</w:t>
      </w:r>
      <w:r w:rsidR="009534C5">
        <w:t xml:space="preserve"> archive</w:t>
      </w:r>
      <w:r w:rsidR="00587EF4">
        <w:t>, such as that maintained by CARA</w:t>
      </w:r>
      <w:r w:rsidR="00F77B27">
        <w:t>,</w:t>
      </w:r>
      <w:r w:rsidR="00CB777B">
        <w:t xml:space="preserve"> which includes data f</w:t>
      </w:r>
      <w:r w:rsidR="003D6E2F">
        <w:t>or</w:t>
      </w:r>
      <w:r w:rsidR="00CB777B">
        <w:t xml:space="preserve"> many</w:t>
      </w:r>
      <w:r w:rsidR="009534C5">
        <w:t xml:space="preserve"> </w:t>
      </w:r>
      <w:r w:rsidR="00CB777B">
        <w:t>primary satellites</w:t>
      </w:r>
      <w:r w:rsidR="009534C5">
        <w:t xml:space="preserve"> compiled over </w:t>
      </w:r>
      <w:r w:rsidR="003D6E2F">
        <w:t xml:space="preserve">an </w:t>
      </w:r>
      <w:r w:rsidR="00D56F0C">
        <w:t>extended</w:t>
      </w:r>
      <w:r w:rsidR="009534C5">
        <w:t xml:space="preserve"> period.  </w:t>
      </w:r>
      <w:r w:rsidR="00CB777B">
        <w:t>This eliminates the need to simulate these</w:t>
      </w:r>
      <w:r w:rsidR="00D56F0C">
        <w:t xml:space="preserve"> conjunction</w:t>
      </w:r>
      <w:r w:rsidR="00CB777B">
        <w:t xml:space="preserve"> quantities realistically, which can be </w:t>
      </w:r>
      <w:r w:rsidR="00D56F0C">
        <w:t xml:space="preserve">very </w:t>
      </w:r>
      <w:r w:rsidR="00CB777B">
        <w:t>difficult</w:t>
      </w:r>
      <w:r w:rsidR="00D56F0C">
        <w:t>,</w:t>
      </w:r>
      <w:r w:rsidR="00CB777B">
        <w:t xml:space="preserve"> especially for </w:t>
      </w:r>
      <w:r w:rsidR="003D6E2F">
        <w:t xml:space="preserve">orbital state </w:t>
      </w:r>
      <w:r w:rsidR="00CB777B">
        <w:t xml:space="preserve">covariances.  </w:t>
      </w:r>
      <w:r w:rsidR="009534C5">
        <w:t>The</w:t>
      </w:r>
      <w:r w:rsidR="003D6E2F">
        <w:t xml:space="preserve"> semi-empirical</w:t>
      </w:r>
      <w:r w:rsidR="009534C5">
        <w:t xml:space="preserve"> formulation </w:t>
      </w:r>
      <w:r w:rsidR="00CB777B">
        <w:t xml:space="preserve">scales and resamples </w:t>
      </w:r>
      <w:r w:rsidR="009534C5">
        <w:t xml:space="preserve">observed state/covariance </w:t>
      </w:r>
      <w:r w:rsidR="003D6E2F">
        <w:t>sequences</w:t>
      </w:r>
      <w:r w:rsidR="009534C5">
        <w:t xml:space="preserve"> </w:t>
      </w:r>
      <w:r w:rsidR="003D6E2F">
        <w:t>so that</w:t>
      </w:r>
      <w:r w:rsidR="00CB777B">
        <w:t xml:space="preserve"> </w:t>
      </w:r>
      <w:r w:rsidR="00D56F0C">
        <w:t xml:space="preserve">cumulative </w:t>
      </w:r>
      <w:r w:rsidR="003D6E2F">
        <w:t>probabilities</w:t>
      </w:r>
      <w:r w:rsidR="00D56F0C">
        <w:t xml:space="preserve"> </w:t>
      </w:r>
      <w:r w:rsidR="003D6E2F">
        <w:t>can be estimated</w:t>
      </w:r>
      <w:r w:rsidR="00CB777B">
        <w:t xml:space="preserve"> for </w:t>
      </w:r>
      <w:r w:rsidR="00DE1509">
        <w:t xml:space="preserve">hypothetical </w:t>
      </w:r>
      <w:r w:rsidR="00CB777B">
        <w:t xml:space="preserve">model satellites </w:t>
      </w:r>
      <w:r w:rsidR="00D56F0C">
        <w:t>that differ from</w:t>
      </w:r>
      <w:r w:rsidR="00CB777B">
        <w:t xml:space="preserve"> </w:t>
      </w:r>
      <w:r w:rsidR="00D56F0C">
        <w:t xml:space="preserve">the </w:t>
      </w:r>
      <w:r w:rsidR="00CB777B">
        <w:t xml:space="preserve">original </w:t>
      </w:r>
      <w:r w:rsidR="003D6E2F">
        <w:t>observed</w:t>
      </w:r>
      <w:r w:rsidR="00CB777B">
        <w:t xml:space="preserve"> primaries</w:t>
      </w:r>
      <w:r w:rsidR="00D56F0C">
        <w:t xml:space="preserve">.  This </w:t>
      </w:r>
      <w:r w:rsidR="003D6E2F">
        <w:t>enable</w:t>
      </w:r>
      <w:r w:rsidR="00D56F0C">
        <w:t xml:space="preserve">s sensitivity analyses for a variety of </w:t>
      </w:r>
      <w:r w:rsidR="00587EF4">
        <w:t xml:space="preserve">model </w:t>
      </w:r>
      <w:r w:rsidR="00D56F0C">
        <w:t xml:space="preserve">mission parameters, such as </w:t>
      </w:r>
      <w:r w:rsidR="00CB777B">
        <w:t xml:space="preserve">hard-body radius, on-orbit duration, and maneuver commit/consider times.  </w:t>
      </w:r>
      <w:r w:rsidR="00CC76C1">
        <w:t xml:space="preserve">The biggest disadvantage of the semi-empirical approach is that relies on three restrictive assumptions: 1) the model satellites deploy into (or sufficiently near) orbits occupied by a primary satellite contained in the archive, 2) the model satellites interact with the same (or a sufficiently similar) secondary population as the original primary satellite, and 3) that the distribution of </w:t>
      </w:r>
      <w:r w:rsidR="00CC76C1">
        <w:lastRenderedPageBreak/>
        <w:t xml:space="preserve">states/covariances for conjunctions experienced by the model satellite will be the same as (or sufficiently similar to) the distribution observed to occur for the actual primary.  Another disadvantage is that the method relies on a conjunction-sequence resampling approach characterized by large sampling variations that limit the precision of the results, so it can only yield rough estimates for cumulative collision probabilities as well as risk remediation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CC76C1">
        <w:t xml:space="preserve"> thresholds and maneuver rates.</w:t>
      </w:r>
    </w:p>
    <w:p w14:paraId="05CAC32C" w14:textId="1CD94334" w:rsidR="00CC76C1" w:rsidRDefault="00935E2D" w:rsidP="00CB777B">
      <w:r>
        <w:t>For these reasons,</w:t>
      </w:r>
      <w:r w:rsidR="003D6E2F">
        <w:t xml:space="preserve"> </w:t>
      </w:r>
      <w:r w:rsidR="00CC773E">
        <w:t xml:space="preserve">perhaps </w:t>
      </w:r>
      <w:r>
        <w:t>the best application of the semi-empirical model may be to provide a means of testing software that</w:t>
      </w:r>
      <w:r w:rsidR="003D6E2F">
        <w:t xml:space="preserve"> uses a </w:t>
      </w:r>
      <w:r w:rsidR="00CC773E">
        <w:t xml:space="preserve">direct </w:t>
      </w:r>
      <w:r w:rsidR="003D6E2F">
        <w:t>simulation approach to</w:t>
      </w:r>
      <w:r>
        <w:t xml:space="preserve"> estimate cumulative collision probabilities</w:t>
      </w:r>
      <w:r w:rsidR="003D6E2F">
        <w:t xml:space="preserve"> and</w:t>
      </w:r>
      <w:r>
        <w:t xml:space="preserve"> risk remediation</w:t>
      </w:r>
      <w:r w:rsidR="00002C6D">
        <w:t xml:space="preserve"> </w:t>
      </w:r>
      <w:r>
        <w:t>thresholds.</w:t>
      </w:r>
      <w:r w:rsidR="00002C6D">
        <w:t xml:space="preserve">  </w:t>
      </w:r>
      <w:r w:rsidR="00CC773E">
        <w:t xml:space="preserve">In fact, this was the original intent when initially </w:t>
      </w:r>
      <w:r w:rsidR="00DE1509">
        <w:t>formulat</w:t>
      </w:r>
      <w:r w:rsidR="00CC773E">
        <w:t xml:space="preserve">ing the </w:t>
      </w:r>
      <w:r w:rsidR="00DE1509">
        <w:t>method</w:t>
      </w:r>
      <w:r w:rsidR="00CC773E">
        <w:t>.  Test s</w:t>
      </w:r>
      <w:r w:rsidR="00002C6D">
        <w:t xml:space="preserve">imulations could be </w:t>
      </w:r>
      <w:r w:rsidR="003D6E2F">
        <w:t>constructed</w:t>
      </w:r>
      <w:r w:rsidR="00002C6D">
        <w:t xml:space="preserve"> that satisfy by design the assumptions and restrictions of the semi-empirical model, naturally provid</w:t>
      </w:r>
      <w:r w:rsidR="00CC773E">
        <w:t>ing</w:t>
      </w:r>
      <w:r w:rsidR="00002C6D">
        <w:t xml:space="preserve"> a means of cross checking the two methods to ensure consistency</w:t>
      </w:r>
      <w:r w:rsidR="00DE1509">
        <w:t>,</w:t>
      </w:r>
      <w:r w:rsidR="00002C6D">
        <w:t xml:space="preserve"> or to gain an understanding of any differences.  The CARA team continues to study such semi-empirical vs simulation comparison</w:t>
      </w:r>
      <w:r w:rsidR="007E6072">
        <w:t>s</w:t>
      </w:r>
      <w:r w:rsidR="00002C6D">
        <w:t>.</w:t>
      </w:r>
    </w:p>
    <w:p w14:paraId="3497693C" w14:textId="7ECFACBF" w:rsidR="00CC76C1" w:rsidRPr="001B0783" w:rsidRDefault="00CC76C1" w:rsidP="00CC76C1">
      <w:r>
        <w:t>The semi-empirical m</w:t>
      </w:r>
      <w:r w:rsidR="00851AD0">
        <w:t>ethod</w:t>
      </w:r>
      <w:r>
        <w:t xml:space="preserve"> c</w:t>
      </w:r>
      <w:r w:rsidR="0034493F">
        <w:t>an</w:t>
      </w:r>
      <w:r>
        <w:t xml:space="preserve"> also </w:t>
      </w:r>
      <w:r w:rsidR="0034493F">
        <w:t xml:space="preserve">potentially </w:t>
      </w:r>
      <w:r w:rsidRPr="001B0783">
        <w:t>aid pre-</w:t>
      </w:r>
      <w:r>
        <w:t xml:space="preserve">launch </w:t>
      </w:r>
      <w:r w:rsidRPr="001B0783">
        <w:t>risk assessments</w:t>
      </w:r>
      <w:r w:rsidR="00DE1509">
        <w:t>, especially for missions planning on deploying into orbits similar to those of existing primary satellites</w:t>
      </w:r>
      <w:r w:rsidRPr="001B0783">
        <w:t xml:space="preserve">. </w:t>
      </w:r>
      <w:r>
        <w:t xml:space="preserve"> </w:t>
      </w:r>
      <w:r w:rsidR="00851AD0">
        <w:t>Even with its limitations, t</w:t>
      </w:r>
      <w:r>
        <w:t xml:space="preserve">he </w:t>
      </w:r>
      <w:r w:rsidR="00DE1509">
        <w:t xml:space="preserve">semi-empirical </w:t>
      </w:r>
      <w:r w:rsidR="00851AD0">
        <w:t>m</w:t>
      </w:r>
      <w:r>
        <w:t>ethod</w:t>
      </w:r>
      <w:r w:rsidRPr="001B0783">
        <w:t xml:space="preserve"> </w:t>
      </w:r>
      <w:r w:rsidR="00851AD0">
        <w:t>enables</w:t>
      </w:r>
      <w:r w:rsidRPr="001B0783">
        <w:t xml:space="preserve"> prospective missions </w:t>
      </w:r>
      <w:r w:rsidR="00851AD0">
        <w:t>to estimate</w:t>
      </w:r>
      <w:r w:rsidRPr="001B0783">
        <w:t xml:space="preserve"> collision risk</w:t>
      </w:r>
      <w:r w:rsidR="00851AD0">
        <w:t>s and required remediation activit</w:t>
      </w:r>
      <w:r w:rsidR="00DE1509">
        <w:t>ies</w:t>
      </w:r>
      <w:r w:rsidR="00851AD0">
        <w:t xml:space="preserve"> by performing sensitivity analyses</w:t>
      </w:r>
      <w:r w:rsidRPr="001B0783">
        <w:t xml:space="preserve"> over a</w:t>
      </w:r>
      <w:r w:rsidR="00DE1509">
        <w:t>n extended</w:t>
      </w:r>
      <w:r w:rsidRPr="001B0783">
        <w:t xml:space="preserve"> trade-space of </w:t>
      </w:r>
      <w:r w:rsidR="00851AD0">
        <w:t>satellite and mission</w:t>
      </w:r>
      <w:r w:rsidRPr="001B0783">
        <w:t xml:space="preserve"> parameters</w:t>
      </w:r>
      <w:r w:rsidR="00851AD0">
        <w:t>.</w:t>
      </w:r>
    </w:p>
    <w:p w14:paraId="455BCED6" w14:textId="31EB4A9F" w:rsidR="00002C6D" w:rsidRDefault="00002C6D" w:rsidP="009F2ED3">
      <w:r>
        <w:t xml:space="preserve">The CARA team continues to </w:t>
      </w:r>
      <w:r w:rsidR="00255C7B">
        <w:t>investigate</w:t>
      </w:r>
      <w:r>
        <w:t xml:space="preserve"> other related semi-empirical</w:t>
      </w:r>
      <w:r w:rsidR="00954A71">
        <w:t xml:space="preserve"> and simulation</w:t>
      </w:r>
      <w:r>
        <w:t xml:space="preserve"> </w:t>
      </w:r>
      <w:r w:rsidR="009F2ED3">
        <w:t>analysis methods</w:t>
      </w:r>
      <w:r>
        <w:t>.  As stated previously, t</w:t>
      </w:r>
      <w:r w:rsidR="009F2ED3">
        <w:t>he</w:t>
      </w:r>
      <w:r>
        <w:t xml:space="preserve"> method presented here focuses on </w:t>
      </w:r>
      <w:r w:rsidR="009F2ED3">
        <w:t xml:space="preserve">a cumulative on-orbit risk </w:t>
      </w:r>
      <w:r w:rsidR="00954A71">
        <w:t xml:space="preserve">policy </w:t>
      </w:r>
      <w:r w:rsidR="009F2ED3">
        <w:t xml:space="preserve">goal, </w:t>
      </w:r>
      <w:r>
        <w:t>such as</w:t>
      </w:r>
      <w:r w:rsidR="009F2ED3">
        <w:t xml:space="preserve"> “achieve </w:t>
      </w:r>
      <w:r>
        <w:t>99.9%</w:t>
      </w:r>
      <w:r w:rsidR="009F2ED3">
        <w:t xml:space="preserve"> </w:t>
      </w:r>
      <w:r w:rsidR="00954A71">
        <w:t xml:space="preserve">confidence of </w:t>
      </w:r>
      <w:r w:rsidR="009F2ED3">
        <w:t>surviv</w:t>
      </w:r>
      <w:r w:rsidR="00954A71">
        <w:t>ing the</w:t>
      </w:r>
      <w:r w:rsidR="007E6072">
        <w:t xml:space="preserve"> mission’s</w:t>
      </w:r>
      <w:r w:rsidR="00954A71">
        <w:t xml:space="preserve"> remaining on-orbit duration</w:t>
      </w:r>
      <w:r w:rsidR="00564C46">
        <w:t xml:space="preserve"> without a cataloged-object collision</w:t>
      </w:r>
      <w:r w:rsidR="009F2ED3">
        <w:t xml:space="preserve">.”  Another semi-empirical formulation could </w:t>
      </w:r>
      <w:r w:rsidR="00954A71">
        <w:t>study a different</w:t>
      </w:r>
      <w:r w:rsidR="009F2ED3">
        <w:t xml:space="preserve"> </w:t>
      </w:r>
      <w:r w:rsidR="00954A71">
        <w:t xml:space="preserve">policy of using </w:t>
      </w:r>
      <w:r w:rsidR="009F2ED3">
        <w:t xml:space="preserve">a fixed threshold for each conjunction, such as “remediate all conjunctions </w:t>
      </w:r>
      <w:r w:rsidR="00954A71">
        <w:t>at a</w:t>
      </w:r>
      <w:r w:rsidR="009F2ED3">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&gt;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954A71">
        <w:t xml:space="preserve"> level</w:t>
      </w:r>
      <w:r w:rsidR="009F2ED3">
        <w:t xml:space="preserve">” and then investigate what the resultant cumulative </w:t>
      </w:r>
      <w:r w:rsidR="00954A71">
        <w:t xml:space="preserve">collision risk would be as a function of hard-body radius, on-orbit duration, and maneuver commit/consider times.  </w:t>
      </w:r>
      <w:r w:rsidR="00255C7B">
        <w:t>Yet a</w:t>
      </w:r>
      <w:r w:rsidR="00954A71">
        <w:t>nother analysis could study a more complicated</w:t>
      </w:r>
      <w:r w:rsidR="00255C7B">
        <w:t xml:space="preserve"> risk reduction</w:t>
      </w:r>
      <w:r w:rsidR="00954A71">
        <w:t xml:space="preserve"> policy such as “remediate all likely non-catastrophic conjunctions at a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&gt;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954A71">
        <w:t xml:space="preserve"> </w:t>
      </w:r>
      <w:r w:rsidR="00072231">
        <w:t>level</w:t>
      </w:r>
      <w:r w:rsidR="00954A71">
        <w:t xml:space="preserve">, and all others at a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&gt;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954A71">
        <w:t xml:space="preserve"> </w:t>
      </w:r>
      <w:r w:rsidR="00072231">
        <w:t>level</w:t>
      </w:r>
      <w:r w:rsidR="00954A71">
        <w:t>”</w:t>
      </w:r>
      <w:r w:rsidR="00072231">
        <w:t xml:space="preserve"> </w:t>
      </w:r>
      <w:r w:rsidR="00255C7B">
        <w:t xml:space="preserve">which would aim to accomplish both mission and environmental </w:t>
      </w:r>
      <w:r w:rsidR="007E6072">
        <w:t>protection goals</w:t>
      </w:r>
      <w:r w:rsidR="00255C7B">
        <w:t xml:space="preserve"> simultaneously.</w:t>
      </w:r>
    </w:p>
    <w:p w14:paraId="757FCFA8" w14:textId="33EA7813" w:rsidR="00002C6D" w:rsidRDefault="00002C6D" w:rsidP="00002C6D">
      <w:pPr>
        <w:pStyle w:val="Section"/>
      </w:pPr>
      <w:r>
        <w:t>Conclusions</w:t>
      </w:r>
    </w:p>
    <w:p w14:paraId="4C768832" w14:textId="518F8E88" w:rsidR="00587EF4" w:rsidRDefault="00516836" w:rsidP="00CB777B">
      <w:r>
        <w:t>A</w:t>
      </w:r>
      <w:r w:rsidR="00072231">
        <w:t>nalys</w:t>
      </w:r>
      <w:r w:rsidR="00F04E91">
        <w:t>i</w:t>
      </w:r>
      <w:r w:rsidR="00072231">
        <w:t xml:space="preserve">s performed </w:t>
      </w:r>
      <w:r>
        <w:t xml:space="preserve">so far </w:t>
      </w:r>
      <w:r w:rsidR="00F04E91">
        <w:t xml:space="preserve">using the semi-empirical risk assessment method </w:t>
      </w:r>
      <w:r w:rsidR="00072231">
        <w:t>provide</w:t>
      </w:r>
      <w:r w:rsidR="00F04E91">
        <w:t>s</w:t>
      </w:r>
      <w:r w:rsidR="00072231">
        <w:t xml:space="preserve"> the following conclusions: </w:t>
      </w:r>
    </w:p>
    <w:p w14:paraId="506C6967" w14:textId="6BC77C1C" w:rsidR="008F47CC" w:rsidRDefault="00E26061" w:rsidP="00161877">
      <w:pPr>
        <w:pStyle w:val="ListParagraph"/>
        <w:numPr>
          <w:ilvl w:val="0"/>
          <w:numId w:val="33"/>
        </w:numPr>
      </w:pPr>
      <w:r>
        <w:t>Semi-e</w:t>
      </w:r>
      <w:r w:rsidR="008F47CC">
        <w:t xml:space="preserve">mpirical </w:t>
      </w:r>
      <w:r w:rsidR="00F04E91">
        <w:t xml:space="preserve">estimates for </w:t>
      </w:r>
      <w:r w:rsidR="008F47CC">
        <w:t xml:space="preserve">cumulative </w:t>
      </w:r>
      <w:r w:rsidR="00676639">
        <w:t xml:space="preserve">on-orbit </w:t>
      </w:r>
      <w:r w:rsidR="008F47CC">
        <w:t xml:space="preserve">collision probabilities can be estimated by applying survival probability analysis to sequences of conjunctions experienced by actual satellites.  The </w:t>
      </w:r>
      <w:r w:rsidR="00AD7F59">
        <w:t xml:space="preserve">required </w:t>
      </w:r>
      <w:r w:rsidR="008F47CC">
        <w:t>orbital states and covariance</w:t>
      </w:r>
      <w:r w:rsidR="00570145">
        <w:t xml:space="preserve"> matrice</w:t>
      </w:r>
      <w:r w:rsidR="008F47CC">
        <w:t xml:space="preserve">s can be </w:t>
      </w:r>
      <w:r w:rsidR="00F04E91">
        <w:t>obtained</w:t>
      </w:r>
      <w:r w:rsidR="008F47CC">
        <w:t xml:space="preserve"> from a </w:t>
      </w:r>
      <w:r w:rsidR="00F04E91">
        <w:t xml:space="preserve">conjunction </w:t>
      </w:r>
      <w:r w:rsidR="008F47CC">
        <w:t>data archive, eliminating the need to simulate these quantities.</w:t>
      </w:r>
    </w:p>
    <w:p w14:paraId="0C72C5DB" w14:textId="2C6B9D8C" w:rsidR="006822E1" w:rsidRDefault="008F47CC" w:rsidP="00161877">
      <w:pPr>
        <w:pStyle w:val="ListParagraph"/>
        <w:numPr>
          <w:ilvl w:val="0"/>
          <w:numId w:val="33"/>
        </w:numPr>
      </w:pPr>
      <w:r>
        <w:t xml:space="preserve">Observed state/covariance data sets for actual primary satellites can be scaled and resampled to enable </w:t>
      </w:r>
      <w:r w:rsidR="002A538F">
        <w:t xml:space="preserve">rough </w:t>
      </w:r>
      <w:r>
        <w:t>cumulative risk approximations for model satellites that differ from the original primary.</w:t>
      </w:r>
      <w:r w:rsidR="00F04E91">
        <w:t xml:space="preserve">  </w:t>
      </w:r>
      <w:r>
        <w:t>This allows sensitivity analyses</w:t>
      </w:r>
      <w:r w:rsidR="00D7735A">
        <w:t xml:space="preserve"> to be performed</w:t>
      </w:r>
      <w:r>
        <w:t xml:space="preserve"> for a variety of model mission parameters, such as hard-body radius, on-orbit duration, and maneuver commit/consider times.</w:t>
      </w:r>
    </w:p>
    <w:p w14:paraId="1D104C56" w14:textId="375AFD63" w:rsidR="00747C7E" w:rsidRDefault="00F04E91" w:rsidP="00747C7E">
      <w:pPr>
        <w:pStyle w:val="ListParagraph"/>
        <w:numPr>
          <w:ilvl w:val="0"/>
          <w:numId w:val="33"/>
        </w:numPr>
      </w:pPr>
      <w:r>
        <w:t>The</w:t>
      </w:r>
      <w:r w:rsidR="002A538F">
        <w:t xml:space="preserve"> semi-empirical </w:t>
      </w:r>
      <w:r w:rsidR="002F6B25">
        <w:t>analysis</w:t>
      </w:r>
      <w:r w:rsidR="002A538F">
        <w:t xml:space="preserve"> can be formulated to provide estimates of conjunction remediation thresholds and maneuver rates that </w:t>
      </w:r>
      <w:r w:rsidR="00ED7732">
        <w:t>satisfy the requirement that</w:t>
      </w:r>
      <w:r w:rsidR="00747C7E">
        <w:t xml:space="preserve"> model </w:t>
      </w:r>
      <w:r w:rsidR="002A538F">
        <w:t xml:space="preserve">satellites survive </w:t>
      </w:r>
      <w:r w:rsidR="00ED7732">
        <w:t xml:space="preserve">extended </w:t>
      </w:r>
      <w:r w:rsidR="002A538F">
        <w:t xml:space="preserve">on-orbit </w:t>
      </w:r>
      <w:r w:rsidR="00747C7E">
        <w:t>durations</w:t>
      </w:r>
      <w:r w:rsidR="002A538F">
        <w:t xml:space="preserve"> without a cataloged-object collision at a quantified confidence level, such as 99.9%.</w:t>
      </w:r>
      <w:r w:rsidR="00747C7E">
        <w:t xml:space="preserve">  The approach, however, </w:t>
      </w:r>
      <w:r w:rsidR="001336BC">
        <w:t>relies on three restrictive assumptions: 1) the model satellites deploy into or near orbits occupied by a primary satellite contained in the conjunction archive, and 2) the model satellites interact with the same (or sufficiently similar) secondary population as the original primary satellite,</w:t>
      </w:r>
      <w:r w:rsidR="001336BC" w:rsidRPr="004418EF">
        <w:t xml:space="preserve"> </w:t>
      </w:r>
      <w:r w:rsidR="001336BC">
        <w:t>and 3) the distribution of states/covariances are the same as (or sufficiently similar to) the distribution observed to occur for the original primary.</w:t>
      </w:r>
    </w:p>
    <w:p w14:paraId="5E2F8FC2" w14:textId="3266BAAA" w:rsidR="00747C7E" w:rsidRDefault="00747C7E" w:rsidP="00747C7E">
      <w:pPr>
        <w:pStyle w:val="ListParagraph"/>
        <w:numPr>
          <w:ilvl w:val="0"/>
          <w:numId w:val="33"/>
        </w:numPr>
      </w:pPr>
      <w:r>
        <w:lastRenderedPageBreak/>
        <w:t>The conjunction sequence resampling approach is characterized by large sampling variations that limit the precision of semi-empirical estimates for cumulative collision probabilities</w:t>
      </w:r>
      <w:r w:rsidR="00F04E91">
        <w:t>,</w:t>
      </w:r>
      <w:r>
        <w:t xml:space="preserve"> as well as risk remediation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thresholds and maneuver rates.</w:t>
      </w:r>
      <w:r w:rsidR="00945968">
        <w:t xml:space="preserve">  These large sampling ranges can be reduced but not eliminated by using larger conjunction data sets (created by extending the observation durations and/or combining multiple primaries).</w:t>
      </w:r>
    </w:p>
    <w:p w14:paraId="0703334C" w14:textId="2F952D6C" w:rsidR="00747C7E" w:rsidRDefault="00747C7E" w:rsidP="00440607">
      <w:pPr>
        <w:pStyle w:val="ListParagraph"/>
        <w:numPr>
          <w:ilvl w:val="0"/>
          <w:numId w:val="33"/>
        </w:numPr>
      </w:pPr>
      <w:r>
        <w:t>A conservative mode of estimation can be implemented by augmenting</w:t>
      </w:r>
      <w:r w:rsidR="002F6B25">
        <w:t xml:space="preserve"> the</w:t>
      </w:r>
      <w:r>
        <w:t xml:space="preserve"> resampled</w:t>
      </w:r>
      <w:r w:rsidR="002F6B25">
        <w:t xml:space="preserve"> model</w:t>
      </w:r>
      <w:r>
        <w:t xml:space="preserve"> conjunction sequences with one</w:t>
      </w:r>
      <w:r w:rsidR="002F6B25">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t>
      </w:r>
      <w:r w:rsidR="002F6B25">
        <w:t>value</w:t>
      </w:r>
      <w:r>
        <w:t xml:space="preserve"> equal to the red </w:t>
      </w:r>
      <w:r w:rsidR="00F04E91">
        <w:t xml:space="preserve">remediation </w:t>
      </w:r>
      <w:r>
        <w:t>threshold.</w:t>
      </w:r>
    </w:p>
    <w:p w14:paraId="0CE38E97" w14:textId="7E55509D" w:rsidR="005D459C" w:rsidRDefault="001336BC" w:rsidP="00440607">
      <w:pPr>
        <w:pStyle w:val="ListParagraph"/>
        <w:numPr>
          <w:ilvl w:val="0"/>
          <w:numId w:val="33"/>
        </w:numPr>
      </w:pPr>
      <w:r>
        <w:t>E</w:t>
      </w:r>
      <w:r w:rsidR="002F6B25">
        <w:t xml:space="preserve">stimated </w:t>
      </w:r>
      <w:r w:rsidR="002F1C2C">
        <w:t>red</w:t>
      </w:r>
      <w:r w:rsidR="002A538F">
        <w:t xml:space="preserve"> remediation thresholds change</w:t>
      </w:r>
      <w:r w:rsidR="00F04E91">
        <w:t xml:space="preserve"> significantly</w:t>
      </w:r>
      <w:r w:rsidR="002A538F">
        <w:t xml:space="preserve"> with remaining on-orbit duration.  This means that, as a mission progresses throughout its lifetime, it </w:t>
      </w:r>
      <w:r w:rsidR="00AE4CC7">
        <w:t>can</w:t>
      </w:r>
      <w:r w:rsidR="002A538F">
        <w:t xml:space="preserve"> adjust its red remediation threshold </w:t>
      </w:r>
      <w:r w:rsidR="0013191C">
        <w:t xml:space="preserve">upward </w:t>
      </w:r>
      <w:r w:rsidR="002A538F">
        <w:t xml:space="preserve">on an on-going basis, </w:t>
      </w:r>
      <w:r w:rsidR="0013191C">
        <w:t xml:space="preserve">thereby decreasing its </w:t>
      </w:r>
      <w:r w:rsidR="002F1C2C">
        <w:t xml:space="preserve">expected </w:t>
      </w:r>
      <w:r w:rsidR="0013191C">
        <w:t xml:space="preserve">maneuver rate, </w:t>
      </w:r>
      <w:r w:rsidR="002F1C2C">
        <w:t>while</w:t>
      </w:r>
      <w:r w:rsidR="002A538F">
        <w:t xml:space="preserve"> continuously satisf</w:t>
      </w:r>
      <w:r w:rsidR="0013191C">
        <w:t>ying</w:t>
      </w:r>
      <w:r w:rsidR="002A538F">
        <w:t xml:space="preserve"> the same cumulative</w:t>
      </w:r>
      <w:r w:rsidR="002F1C2C">
        <w:t xml:space="preserve"> </w:t>
      </w:r>
      <w:r w:rsidR="002A538F">
        <w:t>risk</w:t>
      </w:r>
      <w:r w:rsidR="002A538F" w:rsidRPr="00A263ED">
        <w:t xml:space="preserve"> </w:t>
      </w:r>
      <w:r w:rsidR="002A538F">
        <w:t>goal</w:t>
      </w:r>
      <w:r w:rsidR="00B722B9">
        <w:t xml:space="preserve"> for its remaining on-orbit duration.</w:t>
      </w:r>
    </w:p>
    <w:p w14:paraId="34DE39E2" w14:textId="33F4201A" w:rsidR="003D76A4" w:rsidRDefault="001336BC" w:rsidP="00370954">
      <w:pPr>
        <w:pStyle w:val="ListParagraph"/>
        <w:numPr>
          <w:ilvl w:val="0"/>
          <w:numId w:val="33"/>
        </w:numPr>
      </w:pPr>
      <w:r>
        <w:t>S</w:t>
      </w:r>
      <w:r w:rsidR="008F47CC">
        <w:t xml:space="preserve">atellites with larger hard-body radii need to perform significantly more remediation to achieve the same level of cumulative collision risk </w:t>
      </w:r>
      <w:r w:rsidR="0013191C">
        <w:t>compared to</w:t>
      </w:r>
      <w:r w:rsidR="008F47CC">
        <w:t xml:space="preserve"> those with smaller radii</w:t>
      </w:r>
      <w:r w:rsidR="0013191C">
        <w:t xml:space="preserve">.  </w:t>
      </w:r>
      <w:r w:rsidR="00945968">
        <w:t>Remediation maneuver rates grow non-linearly with increasing HBR,</w:t>
      </w:r>
      <w:r w:rsidR="004735C1">
        <w:t xml:space="preserve"> </w:t>
      </w:r>
      <w:r>
        <w:t xml:space="preserve">and can even </w:t>
      </w:r>
      <w:r w:rsidR="003D76A4">
        <w:t xml:space="preserve">exceed even </w:t>
      </w:r>
      <w:r w:rsidR="004735C1">
        <w:t>the</w:t>
      </w:r>
      <w:r w:rsidR="003D76A4">
        <w:t xml:space="preserv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sidR="003D76A4">
        <w:t xml:space="preserve"> trend</w:t>
      </w:r>
      <w:r w:rsidR="004735C1">
        <w:t xml:space="preserve"> that applies to most</w:t>
      </w:r>
      <w:r w:rsidR="00AE4CC7">
        <w:t xml:space="preserve"> individual</w:t>
      </w:r>
      <w:r w:rsidR="004735C1">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735C1">
        <w:t xml:space="preserve"> estimates</w:t>
      </w:r>
      <w:r w:rsidR="003D76A4">
        <w:t>.</w:t>
      </w:r>
      <w:r w:rsidR="004735C1">
        <w:t xml:space="preserve">  </w:t>
      </w:r>
      <w:r w:rsidR="0013191C">
        <w:t>This i</w:t>
      </w:r>
      <w:r w:rsidR="008F47CC">
        <w:t>mpl</w:t>
      </w:r>
      <w:r w:rsidR="0013191C">
        <w:t>ies</w:t>
      </w:r>
      <w:r w:rsidR="008F47CC">
        <w:t xml:space="preserve"> that flying smaller satellites provides an extremely effective means of reducing </w:t>
      </w:r>
      <w:r w:rsidR="003D76A4">
        <w:t xml:space="preserve">both on-orbit collision risks and remediation activities. It also implies that missions should not use artificially inflated </w:t>
      </w:r>
      <w:r>
        <w:t xml:space="preserve">HBR </w:t>
      </w:r>
      <w:r w:rsidR="003D76A4">
        <w:t xml:space="preserve">values, which can unnecessarily increase risk remediation </w:t>
      </w:r>
      <w:r w:rsidR="004735C1">
        <w:t>workloads</w:t>
      </w:r>
      <w:r w:rsidR="003D76A4">
        <w:t>.</w:t>
      </w:r>
    </w:p>
    <w:p w14:paraId="1D53F7B0" w14:textId="4F721D9C" w:rsidR="003826E5" w:rsidRPr="004848A2" w:rsidRDefault="001336BC" w:rsidP="00370954">
      <w:pPr>
        <w:pStyle w:val="ListParagraph"/>
        <w:numPr>
          <w:ilvl w:val="0"/>
          <w:numId w:val="33"/>
        </w:numPr>
      </w:pPr>
      <w:r>
        <w:t>M</w:t>
      </w:r>
      <w:r w:rsidR="003826E5">
        <w:t xml:space="preserve">issions with shorter </w:t>
      </w:r>
      <w:r w:rsidR="00EE0BC0">
        <w:t>RMM</w:t>
      </w:r>
      <w:r w:rsidR="003826E5">
        <w:t xml:space="preserve"> commit times need to perform less remediation to achieve the same level of cumulative risk, </w:t>
      </w:r>
      <w:r w:rsidR="0013191C">
        <w:t>compared to those with longer commit time</w:t>
      </w:r>
      <w:r w:rsidR="00EE0BC0">
        <w:t>s</w:t>
      </w:r>
      <w:r w:rsidR="0013191C">
        <w:t>.  This implies</w:t>
      </w:r>
      <w:r w:rsidR="003826E5">
        <w:t xml:space="preserve"> that implementing more responsive mission maneuver systems could also provide an effective means of reducing remediation </w:t>
      </w:r>
      <w:r w:rsidR="00883623">
        <w:t>activities</w:t>
      </w:r>
      <w:r w:rsidR="003826E5">
        <w:t xml:space="preserve"> and on-orbit collision risks.</w:t>
      </w:r>
    </w:p>
    <w:p w14:paraId="2E7F5E29" w14:textId="00254EC6" w:rsidR="0013191C" w:rsidRPr="0013191C" w:rsidRDefault="0013191C" w:rsidP="0013191C">
      <w:pPr>
        <w:pStyle w:val="ListParagraph"/>
        <w:numPr>
          <w:ilvl w:val="0"/>
          <w:numId w:val="33"/>
        </w:numPr>
      </w:pPr>
      <w:r>
        <w:rPr>
          <w:szCs w:val="22"/>
        </w:rPr>
        <w:t xml:space="preserve">Identifying </w:t>
      </w:r>
      <w:r w:rsidR="00501026">
        <w:rPr>
          <w:szCs w:val="22"/>
        </w:rPr>
        <w:t xml:space="preserve">and excluding </w:t>
      </w:r>
      <w:r>
        <w:rPr>
          <w:szCs w:val="22"/>
        </w:rPr>
        <w:t xml:space="preserve">conjunctions likely to produce non-catastrophic collisions enables </w:t>
      </w:r>
      <w:r w:rsidRPr="0013191C">
        <w:rPr>
          <w:szCs w:val="22"/>
        </w:rPr>
        <w:t>remediation thresholds and rates</w:t>
      </w:r>
      <w:r>
        <w:rPr>
          <w:szCs w:val="22"/>
        </w:rPr>
        <w:t xml:space="preserve"> to be estimated </w:t>
      </w:r>
      <w:r w:rsidR="00747C7E">
        <w:rPr>
          <w:szCs w:val="22"/>
        </w:rPr>
        <w:t>for</w:t>
      </w:r>
      <w:r>
        <w:rPr>
          <w:szCs w:val="22"/>
        </w:rPr>
        <w:t xml:space="preserve"> </w:t>
      </w:r>
      <w:r w:rsidR="00747C7E">
        <w:rPr>
          <w:szCs w:val="22"/>
        </w:rPr>
        <w:t xml:space="preserve">orbital </w:t>
      </w:r>
      <w:r>
        <w:rPr>
          <w:szCs w:val="22"/>
        </w:rPr>
        <w:t>“environment protection”</w:t>
      </w:r>
      <w:r w:rsidR="00747C7E">
        <w:rPr>
          <w:szCs w:val="22"/>
        </w:rPr>
        <w:t>, as opposed to individual satellite “mission protection” that include</w:t>
      </w:r>
      <w:r w:rsidR="00501026">
        <w:rPr>
          <w:szCs w:val="22"/>
        </w:rPr>
        <w:t>s</w:t>
      </w:r>
      <w:r w:rsidR="00747C7E">
        <w:rPr>
          <w:szCs w:val="22"/>
        </w:rPr>
        <w:t xml:space="preserve"> all conjunctions, regardless of their catastrophic nature or debris-producing potential.</w:t>
      </w:r>
    </w:p>
    <w:p w14:paraId="60C915BE" w14:textId="1E0F05EC" w:rsidR="003826E5" w:rsidRDefault="00747C7E" w:rsidP="00440607">
      <w:pPr>
        <w:pStyle w:val="ListParagraph"/>
        <w:numPr>
          <w:ilvl w:val="0"/>
          <w:numId w:val="33"/>
        </w:numPr>
      </w:pPr>
      <w:r>
        <w:t xml:space="preserve">The semi-empirical </w:t>
      </w:r>
      <w:r w:rsidR="00AD7F59">
        <w:t>method provides an independent and objective means of testing software that</w:t>
      </w:r>
      <w:r w:rsidR="0093499C">
        <w:t xml:space="preserve"> uses direct simulation to</w:t>
      </w:r>
      <w:r w:rsidR="00AD7F59">
        <w:t xml:space="preserve"> estimate cumulative collision probabilities</w:t>
      </w:r>
      <w:r w:rsidR="0093499C">
        <w:t>,</w:t>
      </w:r>
      <w:r w:rsidR="00AD7F59">
        <w:t xml:space="preserve"> risk remediation thresholds and maneuver rates.  This </w:t>
      </w:r>
      <w:r w:rsidR="00ED7732">
        <w:t>can</w:t>
      </w:r>
      <w:r w:rsidR="00AD7F59">
        <w:t xml:space="preserve"> be accomplished by designing simulations that satisfy the restrictions of the semi-empirical model</w:t>
      </w:r>
      <w:r w:rsidR="00ED7732">
        <w:t xml:space="preserve"> (noted in items 3 and 4 above)</w:t>
      </w:r>
      <w:r w:rsidR="00AD7F59">
        <w:t>, and cross checking the two methods.</w:t>
      </w:r>
    </w:p>
    <w:p w14:paraId="379D6763" w14:textId="522443DB" w:rsidR="0034493F" w:rsidRDefault="0034493F" w:rsidP="0034493F">
      <w:pPr>
        <w:pStyle w:val="ListParagraph"/>
        <w:numPr>
          <w:ilvl w:val="0"/>
          <w:numId w:val="33"/>
        </w:numPr>
      </w:pPr>
      <w:r>
        <w:t xml:space="preserve">The semi-empirical method can </w:t>
      </w:r>
      <w:r w:rsidRPr="001B0783">
        <w:t>aid pre-</w:t>
      </w:r>
      <w:r>
        <w:t xml:space="preserve">launch </w:t>
      </w:r>
      <w:r w:rsidRPr="001B0783">
        <w:t>risk assessments</w:t>
      </w:r>
      <w:r>
        <w:t xml:space="preserve"> (especially for satellites planning on deploying into orbits similar to existing primary satellites) by enabling</w:t>
      </w:r>
      <w:r w:rsidRPr="001B0783">
        <w:t xml:space="preserve"> </w:t>
      </w:r>
      <w:r>
        <w:t>sensitivity analyses</w:t>
      </w:r>
      <w:r w:rsidRPr="001B0783">
        <w:t xml:space="preserve"> </w:t>
      </w:r>
      <w:r>
        <w:t xml:space="preserve">to be performed </w:t>
      </w:r>
      <w:r w:rsidRPr="001B0783">
        <w:t xml:space="preserve">over a trade-space of </w:t>
      </w:r>
      <w:r>
        <w:t>prospective satellite and mission</w:t>
      </w:r>
      <w:r w:rsidRPr="001B0783">
        <w:t xml:space="preserve"> parameters</w:t>
      </w:r>
      <w:r>
        <w:t>.</w:t>
      </w:r>
    </w:p>
    <w:p w14:paraId="6A6B5648" w14:textId="4A0629BA" w:rsidR="006C227A" w:rsidRDefault="006C227A" w:rsidP="006C227A">
      <w:pPr>
        <w:pStyle w:val="Section"/>
      </w:pPr>
      <w:r>
        <w:t>Symbols and acronyms</w:t>
      </w:r>
    </w:p>
    <w:p w14:paraId="0990D68A" w14:textId="29076231" w:rsidR="00D443BC" w:rsidRPr="000D3BD7" w:rsidRDefault="0083235C" w:rsidP="00FA5D30">
      <w:pPr>
        <w:pStyle w:val="ListParagraph"/>
        <w:ind w:left="0"/>
        <w:rPr>
          <w:b/>
          <w:sz w:val="20"/>
        </w:rPr>
      </w:pPr>
      <m:oMath>
        <m:sSub>
          <m:sSubPr>
            <m:ctrlPr>
              <w:rPr>
                <w:rFonts w:ascii="Cambria Math" w:hAnsi="Cambria Math"/>
                <w:i/>
                <w:sz w:val="24"/>
              </w:rPr>
            </m:ctrlPr>
          </m:sSubPr>
          <m:e>
            <m:r>
              <w:rPr>
                <w:rFonts w:ascii="Cambria Math" w:hAnsi="Cambria Math"/>
              </w:rPr>
              <m:t>A</m:t>
            </m:r>
          </m:e>
          <m:sub>
            <m:r>
              <w:rPr>
                <w:rFonts w:ascii="Cambria Math" w:hAnsi="Cambria Math"/>
              </w:rPr>
              <m:t>proj</m:t>
            </m:r>
          </m:sub>
        </m:sSub>
      </m:oMath>
      <w:r w:rsidR="00FA5D30">
        <w:rPr>
          <w:sz w:val="24"/>
        </w:rPr>
        <w:tab/>
      </w:r>
      <w:r w:rsidR="00D443BC" w:rsidRPr="000D3BD7">
        <w:t>= the area of a primary satellite projected towards an incoming secondary</w:t>
      </w:r>
    </w:p>
    <w:p w14:paraId="340C89D1" w14:textId="2E15752A" w:rsidR="005A61C4" w:rsidRDefault="005A61C4" w:rsidP="00FA5D30">
      <w:pPr>
        <w:pStyle w:val="ListParagraph"/>
        <w:ind w:left="0"/>
      </w:pPr>
      <m:oMath>
        <m:r>
          <m:rPr>
            <m:sty m:val="b"/>
          </m:rPr>
          <w:rPr>
            <w:rFonts w:ascii="Cambria Math" w:hAnsi="Cambria Math"/>
          </w:rPr>
          <m:t>C</m:t>
        </m:r>
      </m:oMath>
      <w:r w:rsidR="00FA5D30">
        <w:rPr>
          <w:b/>
        </w:rPr>
        <w:tab/>
      </w:r>
      <w:r>
        <w:t>= an orbital state covariance matrix</w:t>
      </w:r>
    </w:p>
    <w:p w14:paraId="4B3B06FC" w14:textId="6AC54C85" w:rsidR="005A61C4" w:rsidRDefault="0083235C" w:rsidP="00FA5D30">
      <w:pPr>
        <w:pStyle w:val="ListParagraph"/>
        <w:ind w:left="0"/>
      </w:pPr>
      <m:oMath>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pri</m:t>
            </m:r>
          </m:sup>
        </m:sSubSup>
      </m:oMath>
      <w:r w:rsidR="00FA5D30">
        <w:rPr>
          <w:iCs/>
        </w:rPr>
        <w:tab/>
      </w:r>
      <w:r w:rsidR="005A61C4">
        <w:rPr>
          <w:iCs/>
        </w:rPr>
        <w:t xml:space="preserve">= </w:t>
      </w:r>
      <w:r w:rsidR="000B1110">
        <w:rPr>
          <w:iCs/>
        </w:rPr>
        <w:t>t</w:t>
      </w:r>
      <w:r w:rsidR="005A61C4">
        <w:rPr>
          <w:iCs/>
        </w:rPr>
        <w:t xml:space="preserve">he primary object’s </w:t>
      </w:r>
      <w:r w:rsidR="005A61C4">
        <w:t xml:space="preserve">state covariance matrix </w:t>
      </w:r>
      <w:r w:rsidR="005A61C4">
        <w:rPr>
          <w:iCs/>
        </w:rPr>
        <w:t xml:space="preserve">for </w:t>
      </w:r>
      <w:r w:rsidR="005A61C4">
        <w:t xml:space="preserve">the </w:t>
      </w:r>
      <w:proofErr w:type="spellStart"/>
      <w:r w:rsidR="005A61C4" w:rsidRPr="00925C88">
        <w:rPr>
          <w:i/>
        </w:rPr>
        <w:t>i</w:t>
      </w:r>
      <w:r w:rsidR="005A61C4" w:rsidRPr="00925C88">
        <w:rPr>
          <w:vertAlign w:val="superscript"/>
        </w:rPr>
        <w:t>th</w:t>
      </w:r>
      <w:proofErr w:type="spellEnd"/>
      <w:r w:rsidR="005A61C4">
        <w:t xml:space="preserve"> conjunction in a sequence</w:t>
      </w:r>
    </w:p>
    <w:p w14:paraId="3287CCD0" w14:textId="37D61089" w:rsidR="005A61C4" w:rsidRDefault="0083235C" w:rsidP="00FA5D30">
      <w:pPr>
        <w:pStyle w:val="ListParagraph"/>
        <w:ind w:left="0"/>
      </w:pPr>
      <m:oMath>
        <m:sSubSup>
          <m:sSubSupPr>
            <m:ctrlPr>
              <w:rPr>
                <w:rFonts w:ascii="Cambria Math" w:hAnsi="Cambria Math"/>
                <w:i/>
                <w:iCs/>
              </w:rPr>
            </m:ctrlPr>
          </m:sSubSupPr>
          <m:e>
            <m:r>
              <m:rPr>
                <m:sty m:val="b"/>
              </m:rPr>
              <w:rPr>
                <w:rFonts w:ascii="Cambria Math" w:hAnsi="Cambria Math"/>
              </w:rPr>
              <m:t>C</m:t>
            </m:r>
          </m:e>
          <m:sub>
            <m:r>
              <w:rPr>
                <w:rFonts w:ascii="Cambria Math" w:hAnsi="Cambria Math"/>
              </w:rPr>
              <m:t>i</m:t>
            </m:r>
          </m:sub>
          <m:sup>
            <m:r>
              <w:rPr>
                <w:rFonts w:ascii="Cambria Math" w:hAnsi="Cambria Math"/>
              </w:rPr>
              <m:t>sec</m:t>
            </m:r>
          </m:sup>
        </m:sSubSup>
      </m:oMath>
      <w:r w:rsidR="00FA5D30">
        <w:rPr>
          <w:iCs/>
        </w:rPr>
        <w:tab/>
      </w:r>
      <w:r w:rsidR="005A61C4">
        <w:rPr>
          <w:iCs/>
        </w:rPr>
        <w:t xml:space="preserve">= </w:t>
      </w:r>
      <w:r w:rsidR="000B1110">
        <w:rPr>
          <w:iCs/>
        </w:rPr>
        <w:t>t</w:t>
      </w:r>
      <w:r w:rsidR="005A61C4">
        <w:rPr>
          <w:iCs/>
        </w:rPr>
        <w:t xml:space="preserve">he secondary object’s </w:t>
      </w:r>
      <w:r w:rsidR="005A61C4">
        <w:t xml:space="preserve">state covariance matrix </w:t>
      </w:r>
      <w:r w:rsidR="005A61C4">
        <w:rPr>
          <w:iCs/>
        </w:rPr>
        <w:t xml:space="preserve">for </w:t>
      </w:r>
      <w:r w:rsidR="005A61C4">
        <w:t xml:space="preserve">the </w:t>
      </w:r>
      <w:proofErr w:type="spellStart"/>
      <w:r w:rsidR="005A61C4" w:rsidRPr="00925C88">
        <w:rPr>
          <w:i/>
        </w:rPr>
        <w:t>i</w:t>
      </w:r>
      <w:r w:rsidR="005A61C4" w:rsidRPr="00925C88">
        <w:rPr>
          <w:vertAlign w:val="superscript"/>
        </w:rPr>
        <w:t>th</w:t>
      </w:r>
      <w:proofErr w:type="spellEnd"/>
      <w:r w:rsidR="005A61C4">
        <w:t xml:space="preserve"> conjunction in a sequence</w:t>
      </w:r>
    </w:p>
    <w:p w14:paraId="562EE06D" w14:textId="3CA9928A" w:rsidR="00FA5232" w:rsidRDefault="00FA5232" w:rsidP="00FA5D30">
      <w:pPr>
        <w:pStyle w:val="ListParagraph"/>
        <w:ind w:left="0"/>
      </w:pPr>
      <m:oMath>
        <m:r>
          <m:rPr>
            <m:scr m:val="script"/>
            <m:sty m:val="bi"/>
          </m:rPr>
          <w:rPr>
            <w:rFonts w:ascii="Cambria Math" w:hAnsi="Cambria Math"/>
          </w:rPr>
          <m:t>D</m:t>
        </m:r>
      </m:oMath>
      <w:r w:rsidR="00FA5D30">
        <w:rPr>
          <w:b/>
        </w:rPr>
        <w:tab/>
      </w:r>
      <w:r>
        <w:t xml:space="preserve">= a </w:t>
      </w:r>
      <w:r w:rsidR="00C333A5">
        <w:t xml:space="preserve">combined </w:t>
      </w:r>
      <w:r>
        <w:t xml:space="preserve">set of primary and secondary object </w:t>
      </w:r>
      <w:r w:rsidR="00031AA3">
        <w:t xml:space="preserve">conjunction </w:t>
      </w:r>
      <w:r>
        <w:t>TCA states and covariances</w:t>
      </w:r>
    </w:p>
    <w:p w14:paraId="3AA4FBFC" w14:textId="326017B9" w:rsidR="00FA5232" w:rsidRPr="00FA5232"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D</m:t>
            </m:r>
          </m:e>
          <m:sub>
            <m:r>
              <w:rPr>
                <w:rFonts w:ascii="Cambria Math" w:hAnsi="Cambria Math"/>
              </w:rPr>
              <m:t>mod</m:t>
            </m:r>
          </m:sub>
        </m:sSub>
      </m:oMath>
      <w:r w:rsidR="00FA5D30">
        <w:rPr>
          <w:b/>
        </w:rPr>
        <w:tab/>
      </w:r>
      <w:r w:rsidR="00FA5232">
        <w:t xml:space="preserve">= a set of primary and secondary TCA states and covariances for a </w:t>
      </w:r>
      <w:r w:rsidR="000D3BD7">
        <w:t>model satellite mission</w:t>
      </w:r>
    </w:p>
    <w:p w14:paraId="5655AE87" w14:textId="236D522B" w:rsidR="00031AA3" w:rsidRPr="00FA5232"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D</m:t>
            </m:r>
          </m:e>
          <m:sub>
            <m:r>
              <w:rPr>
                <w:rFonts w:ascii="Cambria Math" w:hAnsi="Cambria Math"/>
              </w:rPr>
              <m:t>mod,k</m:t>
            </m:r>
          </m:sub>
        </m:sSub>
      </m:oMath>
      <w:r w:rsidR="00FA5D30">
        <w:rPr>
          <w:b/>
        </w:rPr>
        <w:tab/>
      </w:r>
      <w:r w:rsidR="00031AA3">
        <w:t xml:space="preserve">= the </w:t>
      </w:r>
      <w:r w:rsidR="00031AA3" w:rsidRPr="00031AA3">
        <w:rPr>
          <w:i/>
        </w:rPr>
        <w:t>k</w:t>
      </w:r>
      <w:r w:rsidR="00031AA3" w:rsidRPr="00031AA3">
        <w:rPr>
          <w:vertAlign w:val="superscript"/>
        </w:rPr>
        <w:t>th</w:t>
      </w:r>
      <w:r w:rsidR="00031AA3">
        <w:t xml:space="preserve"> resampling realization of </w:t>
      </w:r>
      <m:oMath>
        <m:sSub>
          <m:sSubPr>
            <m:ctrlPr>
              <w:rPr>
                <w:rFonts w:ascii="Cambria Math" w:hAnsi="Cambria Math"/>
                <w:b/>
                <w:i/>
              </w:rPr>
            </m:ctrlPr>
          </m:sSubPr>
          <m:e>
            <m:r>
              <m:rPr>
                <m:scr m:val="script"/>
                <m:sty m:val="bi"/>
              </m:rPr>
              <w:rPr>
                <w:rFonts w:ascii="Cambria Math" w:hAnsi="Cambria Math"/>
              </w:rPr>
              <m:t>D</m:t>
            </m:r>
          </m:e>
          <m:sub>
            <m:r>
              <w:rPr>
                <w:rFonts w:ascii="Cambria Math" w:hAnsi="Cambria Math"/>
              </w:rPr>
              <m:t>mod</m:t>
            </m:r>
          </m:sub>
        </m:sSub>
      </m:oMath>
    </w:p>
    <w:p w14:paraId="706DAD79" w14:textId="7CFC4296" w:rsidR="00FA5232" w:rsidRPr="00FA5232"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D</m:t>
            </m:r>
          </m:e>
          <m:sub>
            <m:r>
              <w:rPr>
                <w:rFonts w:ascii="Cambria Math" w:hAnsi="Cambria Math"/>
              </w:rPr>
              <m:t>obs</m:t>
            </m:r>
          </m:sub>
        </m:sSub>
      </m:oMath>
      <w:r w:rsidR="00FA5D30">
        <w:rPr>
          <w:b/>
        </w:rPr>
        <w:tab/>
      </w:r>
      <w:r w:rsidR="00031AA3">
        <w:t>= an observed set of primary and secondary conjunction TCA states and covariances</w:t>
      </w:r>
    </w:p>
    <w:p w14:paraId="37A23C95" w14:textId="58104110" w:rsidR="005A61C4" w:rsidRDefault="005A61C4" w:rsidP="00FA5D30">
      <w:pPr>
        <w:pStyle w:val="ListParagraph"/>
        <w:ind w:left="0"/>
      </w:pPr>
      <m:oMath>
        <m:r>
          <w:rPr>
            <w:rFonts w:ascii="Cambria Math" w:hAnsi="Cambria Math"/>
          </w:rPr>
          <m:t>H</m:t>
        </m:r>
      </m:oMath>
      <w:r w:rsidR="00FA5D30">
        <w:tab/>
      </w:r>
      <w:r>
        <w:t>= hard-body radius</w:t>
      </w:r>
      <w:r w:rsidR="0077056C">
        <w:t xml:space="preserve"> (HBR)</w:t>
      </w:r>
    </w:p>
    <w:p w14:paraId="5C7DB61D" w14:textId="57C6B8F5" w:rsidR="00665A1A" w:rsidRDefault="00665A1A" w:rsidP="00FA5D30">
      <w:pPr>
        <w:pStyle w:val="ListParagraph"/>
        <w:ind w:left="0"/>
      </w:pPr>
      <m:oMath>
        <m:r>
          <w:rPr>
            <w:rFonts w:ascii="Cambria Math" w:hAnsi="Cambria Math"/>
          </w:rPr>
          <m:t>N</m:t>
        </m:r>
      </m:oMath>
      <w:r w:rsidR="00FA5D30">
        <w:tab/>
      </w:r>
      <w:r>
        <w:t xml:space="preserve">= the number of last-update probabilities contained in the set </w:t>
      </w:r>
      <m:oMath>
        <m:r>
          <m:rPr>
            <m:scr m:val="script"/>
            <m:sty m:val="bi"/>
          </m:rPr>
          <w:rPr>
            <w:rFonts w:ascii="Cambria Math" w:hAnsi="Cambria Math"/>
          </w:rPr>
          <m:t>P</m:t>
        </m:r>
      </m:oMath>
    </w:p>
    <w:p w14:paraId="5432761B" w14:textId="4380ABB5" w:rsidR="00C511E3" w:rsidRDefault="0083235C" w:rsidP="00FA5D30">
      <w:pPr>
        <w:pStyle w:val="ListParagraph"/>
        <w:ind w:left="0"/>
      </w:pPr>
      <m:oMath>
        <m:sSub>
          <m:sSubPr>
            <m:ctrlPr>
              <w:rPr>
                <w:rFonts w:ascii="Cambria Math" w:hAnsi="Cambria Math"/>
                <w:i/>
              </w:rPr>
            </m:ctrlPr>
          </m:sSubPr>
          <m:e>
            <m:r>
              <w:rPr>
                <w:rFonts w:ascii="Cambria Math" w:hAnsi="Cambria Math"/>
              </w:rPr>
              <m:t>N</m:t>
            </m:r>
          </m:e>
          <m:sub>
            <m:r>
              <w:rPr>
                <w:rFonts w:ascii="Cambria Math" w:hAnsi="Cambria Math"/>
              </w:rPr>
              <m:t>mod</m:t>
            </m:r>
          </m:sub>
        </m:sSub>
      </m:oMath>
      <w:r w:rsidR="00FA5D30">
        <w:tab/>
      </w:r>
      <w:r w:rsidR="00C511E3">
        <w:t>= the number of</w:t>
      </w:r>
      <w:r w:rsidR="0050428C">
        <w:t xml:space="preserve"> </w:t>
      </w:r>
      <w:r w:rsidR="00665A1A">
        <w:t>last-update probabilities</w:t>
      </w:r>
      <w:r w:rsidR="00C511E3">
        <w:t xml:space="preserve"> </w:t>
      </w:r>
      <w:r w:rsidR="00125B21">
        <w:t xml:space="preserve">contained </w:t>
      </w:r>
      <w:r w:rsidR="00C511E3">
        <w:t xml:space="preserve">in the </w:t>
      </w:r>
      <w:r w:rsidR="0050428C">
        <w:t>set</w:t>
      </w:r>
      <w:r w:rsidR="00C511E3">
        <w:t xml:space="preserve">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mod</m:t>
            </m:r>
          </m:sub>
        </m:sSub>
      </m:oMath>
      <w:r w:rsidR="0050428C">
        <w:t xml:space="preserve"> for a </w:t>
      </w:r>
      <w:r w:rsidR="000D3BD7">
        <w:t>model mission</w:t>
      </w:r>
    </w:p>
    <w:p w14:paraId="261DE180" w14:textId="7CBBBBAE" w:rsidR="0050428C" w:rsidRDefault="0083235C" w:rsidP="00FA5D30">
      <w:pPr>
        <w:pStyle w:val="ListParagraph"/>
        <w:ind w:left="0"/>
      </w:pPr>
      <m:oMath>
        <m:sSub>
          <m:sSubPr>
            <m:ctrlPr>
              <w:rPr>
                <w:rFonts w:ascii="Cambria Math" w:hAnsi="Cambria Math"/>
                <w:i/>
              </w:rPr>
            </m:ctrlPr>
          </m:sSubPr>
          <m:e>
            <m:r>
              <w:rPr>
                <w:rFonts w:ascii="Cambria Math" w:hAnsi="Cambria Math"/>
              </w:rPr>
              <m:t>N</m:t>
            </m:r>
          </m:e>
          <m:sub>
            <m:r>
              <w:rPr>
                <w:rFonts w:ascii="Cambria Math" w:hAnsi="Cambria Math"/>
              </w:rPr>
              <m:t>obs</m:t>
            </m:r>
          </m:sub>
        </m:sSub>
      </m:oMath>
      <w:r w:rsidR="00FA5D30">
        <w:tab/>
      </w:r>
      <w:r w:rsidR="0050428C">
        <w:t xml:space="preserve">= </w:t>
      </w:r>
      <w:r w:rsidR="00665A1A">
        <w:t xml:space="preserve">the number of last-update probabilities contained in the set </w:t>
      </w: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obs</m:t>
            </m:r>
          </m:sub>
        </m:sSub>
      </m:oMath>
      <w:r w:rsidR="0050428C">
        <w:t xml:space="preserve"> for an observed primary</w:t>
      </w:r>
    </w:p>
    <w:p w14:paraId="75C3BCC5" w14:textId="4EF7D7E6" w:rsidR="00125B21" w:rsidRPr="00125B21" w:rsidRDefault="0083235C" w:rsidP="00FA5D30">
      <w:pPr>
        <w:pStyle w:val="ListParagraph"/>
        <w:ind w:left="0"/>
        <w:rPr>
          <w:b/>
        </w:rPr>
      </w:pPr>
      <m:oMath>
        <m:sSub>
          <m:sSubPr>
            <m:ctrlPr>
              <w:rPr>
                <w:rFonts w:ascii="Cambria Math" w:hAnsi="Cambria Math"/>
                <w:i/>
              </w:rPr>
            </m:ctrlPr>
          </m:sSubPr>
          <m:e>
            <m:r>
              <w:rPr>
                <w:rFonts w:ascii="Cambria Math" w:hAnsi="Cambria Math"/>
              </w:rPr>
              <m:t>N</m:t>
            </m:r>
          </m:e>
          <m:sub>
            <m:r>
              <w:rPr>
                <w:rFonts w:ascii="Cambria Math" w:hAnsi="Cambria Math"/>
              </w:rPr>
              <m:t>pri</m:t>
            </m:r>
          </m:sub>
        </m:sSub>
      </m:oMath>
      <w:r w:rsidR="00FA5D30">
        <w:tab/>
      </w:r>
      <w:r w:rsidR="00125B21" w:rsidRPr="00125B21">
        <w:t xml:space="preserve">= the </w:t>
      </w:r>
      <w:r w:rsidR="00125B21">
        <w:t xml:space="preserve">combined </w:t>
      </w:r>
      <w:r w:rsidR="00125B21" w:rsidRPr="00125B21">
        <w:t>number of</w:t>
      </w:r>
      <w:r w:rsidR="00125B21">
        <w:t xml:space="preserve"> co-orbiting primaries used to construct the conjunction set </w:t>
      </w:r>
      <m:oMath>
        <m:sSub>
          <m:sSubPr>
            <m:ctrlPr>
              <w:rPr>
                <w:rFonts w:ascii="Cambria Math" w:hAnsi="Cambria Math"/>
                <w:b/>
                <w:i/>
              </w:rPr>
            </m:ctrlPr>
          </m:sSubPr>
          <m:e>
            <m:r>
              <m:rPr>
                <m:scr m:val="script"/>
                <m:sty m:val="bi"/>
              </m:rPr>
              <w:rPr>
                <w:rFonts w:ascii="Cambria Math" w:hAnsi="Cambria Math"/>
              </w:rPr>
              <m:t>D</m:t>
            </m:r>
          </m:e>
          <m:sub>
            <m:r>
              <w:rPr>
                <w:rFonts w:ascii="Cambria Math" w:hAnsi="Cambria Math"/>
              </w:rPr>
              <m:t>obs</m:t>
            </m:r>
          </m:sub>
        </m:sSub>
      </m:oMath>
    </w:p>
    <w:p w14:paraId="02200AD7" w14:textId="6343A045" w:rsidR="0050428C" w:rsidRPr="0050428C" w:rsidRDefault="0083235C" w:rsidP="00FA5D30">
      <w:pPr>
        <w:pStyle w:val="ListParagraph"/>
        <w:ind w:left="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RMM</m:t>
            </m:r>
          </m:sub>
        </m:sSub>
      </m:oMath>
      <w:r w:rsidR="00FA5D30">
        <w:tab/>
      </w:r>
      <w:r w:rsidR="0050428C">
        <w:t>= risk mitigation maneuver execution rate (RMMs/year)</w:t>
      </w:r>
    </w:p>
    <w:p w14:paraId="36FCA53D" w14:textId="221CB8A2" w:rsidR="006C227A" w:rsidRDefault="0083235C" w:rsidP="00FA5D30">
      <w:pPr>
        <w:pStyle w:val="ListParagraph"/>
        <w:ind w:left="0"/>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FA5D30">
        <w:tab/>
      </w:r>
      <w:r w:rsidR="006C227A">
        <w:t>= probability</w:t>
      </w:r>
      <w:r w:rsidR="00925C88">
        <w:t xml:space="preserve"> of collision for a conjunction</w:t>
      </w:r>
      <w:r w:rsidR="000C41C8">
        <w:t xml:space="preserve"> between a primary and secondary satellite</w:t>
      </w:r>
    </w:p>
    <w:p w14:paraId="38432A23" w14:textId="3E585504" w:rsidR="00925C88" w:rsidRDefault="0083235C" w:rsidP="00FA5D30">
      <w:pPr>
        <w:pStyle w:val="ListParagraph"/>
        <w:ind w:left="0"/>
      </w:pP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925C88">
        <w:t xml:space="preserve"> </w:t>
      </w:r>
      <w:r w:rsidR="00FA5D30">
        <w:tab/>
      </w:r>
      <w:r w:rsidR="00925C88">
        <w:t xml:space="preserve">= collision probability for the </w:t>
      </w:r>
      <w:proofErr w:type="spellStart"/>
      <w:r w:rsidR="00925C88" w:rsidRPr="00925C88">
        <w:rPr>
          <w:i/>
        </w:rPr>
        <w:t>i</w:t>
      </w:r>
      <w:r w:rsidR="00925C88" w:rsidRPr="00925C88">
        <w:rPr>
          <w:vertAlign w:val="superscript"/>
        </w:rPr>
        <w:t>th</w:t>
      </w:r>
      <w:proofErr w:type="spellEnd"/>
      <w:r w:rsidR="00925C88">
        <w:t xml:space="preserve"> conjunction in a sequence</w:t>
      </w:r>
    </w:p>
    <w:p w14:paraId="7932F5BB" w14:textId="7C45F323" w:rsidR="000C41C8" w:rsidRPr="000C41C8" w:rsidRDefault="000C41C8" w:rsidP="00FA5D30">
      <w:pPr>
        <w:pStyle w:val="ListParagraph"/>
        <w:ind w:left="0"/>
      </w:pPr>
      <m:oMath>
        <m:r>
          <m:rPr>
            <m:sty m:val="p"/>
          </m:rPr>
          <w:rPr>
            <w:rFonts w:ascii="Cambria Math" w:hAnsi="Cambria Math"/>
          </w:rPr>
          <m:t>PcFunc</m:t>
        </m:r>
      </m:oMath>
      <w:r w:rsidR="00FA5D30">
        <w:tab/>
      </w:r>
      <w:r>
        <w:t xml:space="preserve">= A function that estimates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given an HBR </w:t>
      </w:r>
      <w:r w:rsidR="008F6BDF">
        <w:t>along with</w:t>
      </w:r>
      <w:r>
        <w:t xml:space="preserve"> TCA states</w:t>
      </w:r>
      <w:r w:rsidR="00EE7395">
        <w:t xml:space="preserve"> and </w:t>
      </w:r>
      <w:r>
        <w:t>covariances</w:t>
      </w:r>
    </w:p>
    <w:p w14:paraId="4EBB0EA4" w14:textId="26C4FB85" w:rsidR="00925C88" w:rsidRDefault="0083235C" w:rsidP="00FA5D30">
      <w:pPr>
        <w:pStyle w:val="ListParagraph"/>
        <w:ind w:left="0"/>
      </w:pPr>
      <m:oMath>
        <m:sSub>
          <m:sSubPr>
            <m:ctrlPr>
              <w:rPr>
                <w:rFonts w:ascii="Cambria Math" w:hAnsi="Cambria Math"/>
                <w:i/>
              </w:rPr>
            </m:ctrlPr>
          </m:sSubPr>
          <m:e>
            <m:r>
              <w:rPr>
                <w:rFonts w:ascii="Cambria Math" w:hAnsi="Cambria Math"/>
              </w:rPr>
              <m:t>P</m:t>
            </m:r>
          </m:e>
          <m:sub>
            <m:r>
              <w:rPr>
                <w:rFonts w:ascii="Cambria Math" w:hAnsi="Cambria Math"/>
              </w:rPr>
              <m:t>cum</m:t>
            </m:r>
          </m:sub>
        </m:sSub>
      </m:oMath>
      <w:r w:rsidR="00FA5D30">
        <w:tab/>
      </w:r>
      <w:r w:rsidR="00925C88">
        <w:t>= cumulative collision probability</w:t>
      </w:r>
    </w:p>
    <w:p w14:paraId="6D1135B9" w14:textId="7281BACB" w:rsidR="000D3BD7" w:rsidRDefault="0083235C" w:rsidP="00FA5D30">
      <w:pPr>
        <w:pStyle w:val="ListParagraph"/>
        <w:ind w:left="0"/>
      </w:pPr>
      <m:oMath>
        <m:sSub>
          <m:sSubPr>
            <m:ctrlPr>
              <w:rPr>
                <w:rFonts w:ascii="Cambria Math" w:hAnsi="Cambria Math"/>
                <w:i/>
              </w:rPr>
            </m:ctrlPr>
          </m:sSubPr>
          <m:e>
            <m:r>
              <w:rPr>
                <w:rFonts w:ascii="Cambria Math" w:hAnsi="Cambria Math"/>
              </w:rPr>
              <m:t>P</m:t>
            </m:r>
          </m:e>
          <m:sub>
            <m:r>
              <w:rPr>
                <w:rFonts w:ascii="Cambria Math" w:hAnsi="Cambria Math"/>
              </w:rPr>
              <m:t>cum,k</m:t>
            </m:r>
          </m:sub>
        </m:sSub>
      </m:oMath>
      <w:r w:rsidR="00FA5D30">
        <w:tab/>
      </w:r>
      <w:r w:rsidR="000D3BD7">
        <w:t xml:space="preserve">= the </w:t>
      </w:r>
      <w:r w:rsidR="000D3BD7" w:rsidRPr="00031AA3">
        <w:rPr>
          <w:i/>
        </w:rPr>
        <w:t>k</w:t>
      </w:r>
      <w:r w:rsidR="000D3BD7" w:rsidRPr="00031AA3">
        <w:rPr>
          <w:vertAlign w:val="superscript"/>
        </w:rPr>
        <w:t>th</w:t>
      </w:r>
      <w:r w:rsidR="000D3BD7">
        <w:t xml:space="preserve"> resampling realization of </w:t>
      </w:r>
      <m:oMath>
        <m:sSub>
          <m:sSubPr>
            <m:ctrlPr>
              <w:rPr>
                <w:rFonts w:ascii="Cambria Math" w:hAnsi="Cambria Math"/>
                <w:i/>
              </w:rPr>
            </m:ctrlPr>
          </m:sSubPr>
          <m:e>
            <m:r>
              <w:rPr>
                <w:rFonts w:ascii="Cambria Math" w:hAnsi="Cambria Math"/>
              </w:rPr>
              <m:t>P</m:t>
            </m:r>
          </m:e>
          <m:sub>
            <m:r>
              <w:rPr>
                <w:rFonts w:ascii="Cambria Math" w:hAnsi="Cambria Math"/>
              </w:rPr>
              <m:t>cum</m:t>
            </m:r>
          </m:sub>
        </m:sSub>
      </m:oMath>
    </w:p>
    <w:p w14:paraId="6B5F876E" w14:textId="65C02110" w:rsidR="00031AA3" w:rsidRDefault="0083235C" w:rsidP="00FA5D30">
      <w:pPr>
        <w:pStyle w:val="ListParagraph"/>
        <w:ind w:left="0"/>
        <w:rPr>
          <w:b/>
        </w:rPr>
      </w:pPr>
      <m:oMath>
        <m:sSub>
          <m:sSubPr>
            <m:ctrlPr>
              <w:rPr>
                <w:rFonts w:ascii="Cambria Math" w:hAnsi="Cambria Math"/>
                <w:i/>
              </w:rPr>
            </m:ctrlPr>
          </m:sSubPr>
          <m:e>
            <m:r>
              <w:rPr>
                <w:rFonts w:ascii="Cambria Math" w:hAnsi="Cambria Math"/>
              </w:rPr>
              <m:t>P</m:t>
            </m:r>
          </m:e>
          <m:sub>
            <m:r>
              <w:rPr>
                <w:rFonts w:ascii="Cambria Math" w:hAnsi="Cambria Math"/>
              </w:rPr>
              <m:t>cum</m:t>
            </m:r>
          </m:sub>
        </m:sSub>
        <m:r>
          <w:rPr>
            <w:rFonts w:ascii="Cambria Math" w:hAnsi="Cambria Math"/>
          </w:rPr>
          <m:t>(</m:t>
        </m:r>
        <m:r>
          <m:rPr>
            <m:scr m:val="script"/>
            <m:sty m:val="bi"/>
          </m:rPr>
          <w:rPr>
            <w:rFonts w:ascii="Cambria Math" w:hAnsi="Cambria Math"/>
          </w:rPr>
          <m:t>P</m:t>
        </m:r>
        <m:r>
          <w:rPr>
            <w:rFonts w:ascii="Cambria Math" w:hAnsi="Cambria Math"/>
          </w:rPr>
          <m:t>)</m:t>
        </m:r>
      </m:oMath>
      <w:r w:rsidR="00031AA3">
        <w:t xml:space="preserve"> = cumulative collision probability for the</w:t>
      </w:r>
      <w:r w:rsidR="009E2233">
        <w:t xml:space="preserve"> combined</w:t>
      </w:r>
      <w:r w:rsidR="00031AA3">
        <w:t xml:space="preserve"> set of collision probabilities </w:t>
      </w:r>
      <m:oMath>
        <m:r>
          <m:rPr>
            <m:scr m:val="script"/>
            <m:sty m:val="bi"/>
          </m:rPr>
          <w:rPr>
            <w:rFonts w:ascii="Cambria Math" w:hAnsi="Cambria Math"/>
          </w:rPr>
          <m:t>P</m:t>
        </m:r>
      </m:oMath>
    </w:p>
    <w:p w14:paraId="7CF9CF33" w14:textId="5A0CDB24" w:rsidR="00D815AF" w:rsidRPr="00D815AF" w:rsidRDefault="0083235C" w:rsidP="00FA5D30">
      <w:pPr>
        <w:pStyle w:val="ListParagraph"/>
        <w:ind w:left="0"/>
      </w:pP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goal</m:t>
            </m:r>
          </m:sup>
        </m:sSubSup>
      </m:oMath>
      <w:r w:rsidR="00FA5D30">
        <w:tab/>
      </w:r>
      <w:r w:rsidR="00D815AF">
        <w:t>= cumulative collision probability requirement or goal level for a satellite</w:t>
      </w:r>
      <w:r w:rsidR="0077056C">
        <w:t xml:space="preserve"> mission</w:t>
      </w:r>
    </w:p>
    <w:p w14:paraId="02AA772F" w14:textId="3A3FE55F" w:rsidR="00031AA3" w:rsidRDefault="0083235C" w:rsidP="00FA5D30">
      <w:pPr>
        <w:pStyle w:val="ListParagraph"/>
        <w:ind w:left="0"/>
      </w:pP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mod</m:t>
            </m:r>
          </m:sup>
        </m:sSubSup>
      </m:oMath>
      <w:r w:rsidR="00FA5D30">
        <w:tab/>
      </w:r>
      <w:r w:rsidR="00031AA3">
        <w:t xml:space="preserve">= the cumulative collision probability for a </w:t>
      </w:r>
      <w:r w:rsidR="000D3BD7">
        <w:t>model satellite mission</w:t>
      </w:r>
    </w:p>
    <w:p w14:paraId="1E46F0C4" w14:textId="404F3990" w:rsidR="00031AA3" w:rsidRDefault="0083235C" w:rsidP="00FA5D30">
      <w:pPr>
        <w:pStyle w:val="ListParagraph"/>
        <w:ind w:left="0"/>
      </w:pPr>
      <m:oMath>
        <m:sSubSup>
          <m:sSubSupPr>
            <m:ctrlPr>
              <w:rPr>
                <w:rFonts w:ascii="Cambria Math" w:hAnsi="Cambria Math"/>
                <w:i/>
              </w:rPr>
            </m:ctrlPr>
          </m:sSubSupPr>
          <m:e>
            <m:r>
              <w:rPr>
                <w:rFonts w:ascii="Cambria Math" w:hAnsi="Cambria Math"/>
              </w:rPr>
              <m:t>P</m:t>
            </m:r>
          </m:e>
          <m:sub>
            <m:r>
              <w:rPr>
                <w:rFonts w:ascii="Cambria Math" w:hAnsi="Cambria Math"/>
              </w:rPr>
              <m:t>cum</m:t>
            </m:r>
          </m:sub>
          <m:sup>
            <m:r>
              <w:rPr>
                <w:rFonts w:ascii="Cambria Math" w:hAnsi="Cambria Math"/>
              </w:rPr>
              <m:t>obs</m:t>
            </m:r>
          </m:sup>
        </m:sSubSup>
      </m:oMath>
      <w:r w:rsidR="00FA5D30">
        <w:tab/>
      </w:r>
      <w:r w:rsidR="00031AA3">
        <w:t>= the cumulative collision probability for an observed primary satellite</w:t>
      </w:r>
    </w:p>
    <w:p w14:paraId="0650C999" w14:textId="174AE8A9" w:rsidR="0050428C" w:rsidRDefault="0083235C" w:rsidP="00FA5D30">
      <w:pPr>
        <w:pStyle w:val="ListParagraph"/>
        <w:ind w:left="0"/>
      </w:pPr>
      <m:oMath>
        <m:sSub>
          <m:sSubPr>
            <m:ctrlPr>
              <w:rPr>
                <w:rFonts w:ascii="Cambria Math" w:hAnsi="Cambria Math"/>
                <w:i/>
              </w:rPr>
            </m:ctrlPr>
          </m:sSubPr>
          <m:e>
            <m:r>
              <w:rPr>
                <w:rFonts w:ascii="Cambria Math" w:hAnsi="Cambria Math"/>
              </w:rPr>
              <m:t>P</m:t>
            </m:r>
          </m:e>
          <m:sub>
            <m:r>
              <w:rPr>
                <w:rFonts w:ascii="Cambria Math" w:hAnsi="Cambria Math"/>
              </w:rPr>
              <m:t>RMM</m:t>
            </m:r>
          </m:sub>
        </m:sSub>
      </m:oMath>
      <w:r w:rsidR="00FA5D30">
        <w:tab/>
      </w:r>
      <w:r w:rsidR="0050428C">
        <w:t xml:space="preserve">= risk mitigation maneuver execution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0428C">
        <w:t xml:space="preserve"> threshold (i.e., the “red” </w:t>
      </w:r>
      <w:r w:rsidR="0077056C">
        <w:t xml:space="preserve">remediation </w:t>
      </w:r>
      <w:r w:rsidR="0050428C">
        <w:t>threshold)</w:t>
      </w:r>
    </w:p>
    <w:p w14:paraId="6AE2E4C5" w14:textId="4B67F947" w:rsidR="00031AA3" w:rsidRDefault="00031AA3" w:rsidP="00FA5D30">
      <w:pPr>
        <w:pStyle w:val="ListParagraph"/>
        <w:ind w:left="0"/>
      </w:pPr>
      <m:oMath>
        <m:r>
          <m:rPr>
            <m:scr m:val="script"/>
            <m:sty m:val="bi"/>
          </m:rPr>
          <w:rPr>
            <w:rFonts w:ascii="Cambria Math" w:hAnsi="Cambria Math"/>
          </w:rPr>
          <m:t>P</m:t>
        </m:r>
      </m:oMath>
      <w:r w:rsidR="00FA5D30">
        <w:rPr>
          <w:b/>
        </w:rPr>
        <w:tab/>
      </w:r>
      <w:r>
        <w:t xml:space="preserve">= a set of </w:t>
      </w:r>
      <w:bookmarkStart w:id="1" w:name="_Hlk10108697"/>
      <w:r w:rsidR="00FB1493">
        <w:t xml:space="preserve">last-update </w:t>
      </w:r>
      <w:bookmarkEnd w:id="1"/>
      <w:r>
        <w:t>collision probabilities</w:t>
      </w:r>
    </w:p>
    <w:p w14:paraId="1D6F4431" w14:textId="3062039E" w:rsidR="00031AA3" w:rsidRPr="00FA5232"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P</m:t>
            </m:r>
          </m:e>
          <m:sub>
            <m:r>
              <w:rPr>
                <w:rFonts w:ascii="Cambria Math" w:hAnsi="Cambria Math"/>
              </w:rPr>
              <m:t>mod</m:t>
            </m:r>
          </m:sub>
        </m:sSub>
      </m:oMath>
      <w:r w:rsidR="00FA5D30">
        <w:rPr>
          <w:b/>
        </w:rPr>
        <w:tab/>
      </w:r>
      <w:r w:rsidR="00031AA3">
        <w:t xml:space="preserve">= a set of </w:t>
      </w:r>
      <w:r w:rsidR="00FB1493">
        <w:t xml:space="preserve">last-update </w:t>
      </w:r>
      <w:r w:rsidR="00031AA3">
        <w:t xml:space="preserve">collision probabilities for a </w:t>
      </w:r>
      <w:r w:rsidR="000D3BD7">
        <w:t>model satellite mission</w:t>
      </w:r>
    </w:p>
    <w:p w14:paraId="5097D18F" w14:textId="75A24918" w:rsidR="00031AA3" w:rsidRPr="00FA5232"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P</m:t>
            </m:r>
          </m:e>
          <m:sub>
            <m:r>
              <w:rPr>
                <w:rFonts w:ascii="Cambria Math" w:hAnsi="Cambria Math"/>
              </w:rPr>
              <m:t>mod,k</m:t>
            </m:r>
          </m:sub>
        </m:sSub>
      </m:oMath>
      <w:r w:rsidR="00FA5D30">
        <w:rPr>
          <w:b/>
        </w:rPr>
        <w:tab/>
      </w:r>
      <w:r w:rsidR="00031AA3">
        <w:t xml:space="preserve">= the </w:t>
      </w:r>
      <w:r w:rsidR="00031AA3" w:rsidRPr="00031AA3">
        <w:rPr>
          <w:i/>
        </w:rPr>
        <w:t>k</w:t>
      </w:r>
      <w:r w:rsidR="00031AA3" w:rsidRPr="00031AA3">
        <w:rPr>
          <w:vertAlign w:val="superscript"/>
        </w:rPr>
        <w:t>th</w:t>
      </w:r>
      <w:r w:rsidR="00031AA3">
        <w:t xml:space="preserve"> resampling realization of </w:t>
      </w:r>
      <m:oMath>
        <m:sSub>
          <m:sSubPr>
            <m:ctrlPr>
              <w:rPr>
                <w:rFonts w:ascii="Cambria Math" w:hAnsi="Cambria Math"/>
                <w:b/>
                <w:i/>
              </w:rPr>
            </m:ctrlPr>
          </m:sSubPr>
          <m:e>
            <m:r>
              <m:rPr>
                <m:scr m:val="script"/>
                <m:sty m:val="bi"/>
              </m:rPr>
              <w:rPr>
                <w:rFonts w:ascii="Cambria Math" w:hAnsi="Cambria Math"/>
              </w:rPr>
              <m:t>P</m:t>
            </m:r>
          </m:e>
          <m:sub>
            <m:r>
              <w:rPr>
                <w:rFonts w:ascii="Cambria Math" w:hAnsi="Cambria Math"/>
              </w:rPr>
              <m:t>mod</m:t>
            </m:r>
          </m:sub>
        </m:sSub>
      </m:oMath>
    </w:p>
    <w:p w14:paraId="6BB070C3" w14:textId="07B653E7" w:rsidR="00031AA3" w:rsidRDefault="0083235C" w:rsidP="00FA5D30">
      <w:pPr>
        <w:pStyle w:val="ListParagraph"/>
        <w:ind w:left="0"/>
      </w:pPr>
      <m:oMath>
        <m:sSub>
          <m:sSubPr>
            <m:ctrlPr>
              <w:rPr>
                <w:rFonts w:ascii="Cambria Math" w:hAnsi="Cambria Math"/>
                <w:b/>
                <w:i/>
              </w:rPr>
            </m:ctrlPr>
          </m:sSubPr>
          <m:e>
            <m:r>
              <m:rPr>
                <m:scr m:val="script"/>
                <m:sty m:val="bi"/>
              </m:rPr>
              <w:rPr>
                <w:rFonts w:ascii="Cambria Math" w:hAnsi="Cambria Math"/>
              </w:rPr>
              <m:t>P</m:t>
            </m:r>
          </m:e>
          <m:sub>
            <m:r>
              <w:rPr>
                <w:rFonts w:ascii="Cambria Math" w:hAnsi="Cambria Math"/>
              </w:rPr>
              <m:t>obs</m:t>
            </m:r>
          </m:sub>
        </m:sSub>
      </m:oMath>
      <w:r w:rsidR="00FA5D30">
        <w:rPr>
          <w:b/>
        </w:rPr>
        <w:tab/>
      </w:r>
      <w:r w:rsidR="00031AA3">
        <w:t xml:space="preserve">= a set of </w:t>
      </w:r>
      <w:r w:rsidR="00FB1493">
        <w:t xml:space="preserve">last-update </w:t>
      </w:r>
      <w:r w:rsidR="0050428C">
        <w:t>collision probabilities</w:t>
      </w:r>
      <w:r w:rsidR="0077056C">
        <w:t xml:space="preserve"> for an observed set of conjunctions</w:t>
      </w:r>
    </w:p>
    <w:p w14:paraId="2A0538CC" w14:textId="78BD764B" w:rsidR="00312ECB" w:rsidRDefault="0083235C" w:rsidP="00FA5D30">
      <w:pPr>
        <w:pStyle w:val="ListParagraph"/>
        <w:ind w:left="0"/>
      </w:pPr>
      <m:oMath>
        <m:sSub>
          <m:sSubPr>
            <m:ctrlPr>
              <w:rPr>
                <w:rFonts w:ascii="Cambria Math" w:hAnsi="Cambria Math"/>
                <w:i/>
              </w:rPr>
            </m:ctrlPr>
          </m:sSubPr>
          <m:e>
            <m:r>
              <m:rPr>
                <m:scr m:val="script"/>
                <m:sty m:val="bi"/>
              </m:rPr>
              <w:rPr>
                <w:rFonts w:ascii="Cambria Math" w:hAnsi="Cambria Math"/>
              </w:rPr>
              <m:t>P</m:t>
            </m:r>
          </m:e>
          <m:sub>
            <m:r>
              <w:rPr>
                <w:rFonts w:ascii="Cambria Math" w:hAnsi="Cambria Math"/>
              </w:rPr>
              <m:t>rem</m:t>
            </m:r>
          </m:sub>
        </m:sSub>
      </m:oMath>
      <w:r w:rsidR="00FA5D30">
        <w:tab/>
      </w:r>
      <w:r w:rsidR="00312ECB">
        <w:t xml:space="preserve">= a set of remediated collision probabilities for a </w:t>
      </w:r>
      <w:r w:rsidR="000D3BD7">
        <w:t>model satellite mission</w:t>
      </w:r>
    </w:p>
    <w:p w14:paraId="1D49177F" w14:textId="17700FFD" w:rsidR="00312ECB" w:rsidRPr="00312ECB" w:rsidRDefault="0083235C" w:rsidP="00FA5D30">
      <w:pPr>
        <w:pStyle w:val="ListParagraph"/>
        <w:ind w:left="0"/>
        <w:rPr>
          <w:szCs w:val="22"/>
        </w:rPr>
      </w:pPr>
      <m:oMath>
        <m:sSubSup>
          <m:sSubSupPr>
            <m:ctrlPr>
              <w:rPr>
                <w:rFonts w:ascii="Cambria Math" w:hAnsi="Cambria Math"/>
                <w:i/>
                <w:szCs w:val="22"/>
              </w:rPr>
            </m:ctrlPr>
          </m:sSubSupPr>
          <m:e>
            <m:r>
              <m:rPr>
                <m:scr m:val="script"/>
                <m:sty m:val="bi"/>
              </m:rPr>
              <w:rPr>
                <w:rFonts w:ascii="Cambria Math" w:hAnsi="Cambria Math"/>
                <w:szCs w:val="22"/>
              </w:rPr>
              <m:t>P</m:t>
            </m:r>
          </m:e>
          <m:sub>
            <m:r>
              <w:rPr>
                <w:rFonts w:ascii="Cambria Math" w:hAnsi="Cambria Math"/>
                <w:szCs w:val="22"/>
              </w:rPr>
              <m:t>rem</m:t>
            </m:r>
          </m:sub>
          <m:sup>
            <m:r>
              <w:rPr>
                <w:rFonts w:ascii="Cambria Math" w:hAnsi="Cambria Math"/>
                <w:szCs w:val="22"/>
              </w:rPr>
              <m:t>cons</m:t>
            </m:r>
          </m:sup>
        </m:sSubSup>
      </m:oMath>
      <w:r w:rsidR="00FA5D30">
        <w:rPr>
          <w:szCs w:val="22"/>
        </w:rPr>
        <w:tab/>
      </w:r>
      <w:r w:rsidR="00312ECB" w:rsidRPr="00312ECB">
        <w:rPr>
          <w:szCs w:val="22"/>
        </w:rPr>
        <w:t xml:space="preserve">= the set </w:t>
      </w:r>
      <m:oMath>
        <m:sSub>
          <m:sSubPr>
            <m:ctrlPr>
              <w:rPr>
                <w:rFonts w:ascii="Cambria Math" w:hAnsi="Cambria Math"/>
                <w:b/>
                <w:i/>
                <w:szCs w:val="22"/>
              </w:rPr>
            </m:ctrlPr>
          </m:sSubPr>
          <m:e>
            <m:r>
              <m:rPr>
                <m:scr m:val="script"/>
                <m:sty m:val="bi"/>
              </m:rPr>
              <w:rPr>
                <w:rFonts w:ascii="Cambria Math" w:hAnsi="Cambria Math"/>
                <w:szCs w:val="22"/>
              </w:rPr>
              <m:t>P</m:t>
            </m:r>
          </m:e>
          <m:sub>
            <m:r>
              <w:rPr>
                <w:rFonts w:ascii="Cambria Math" w:hAnsi="Cambria Math"/>
                <w:szCs w:val="22"/>
              </w:rPr>
              <m:t>rem</m:t>
            </m:r>
          </m:sub>
        </m:sSub>
      </m:oMath>
      <w:r w:rsidR="00312ECB" w:rsidRPr="00312ECB">
        <w:rPr>
          <w:szCs w:val="22"/>
        </w:rPr>
        <w:t xml:space="preserve"> augmented by one threshold-level collision probability = </w:t>
      </w: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RMM</m:t>
                </m:r>
              </m:sub>
            </m:sSub>
            <m:r>
              <w:rPr>
                <w:rFonts w:ascii="Cambria Math" w:hAnsi="Cambria Math"/>
                <w:szCs w:val="22"/>
              </w:rPr>
              <m:t>,</m:t>
            </m:r>
            <m:sSub>
              <m:sSubPr>
                <m:ctrlPr>
                  <w:rPr>
                    <w:rFonts w:ascii="Cambria Math" w:hAnsi="Cambria Math"/>
                    <w:i/>
                    <w:szCs w:val="22"/>
                  </w:rPr>
                </m:ctrlPr>
              </m:sSubPr>
              <m:e>
                <m:r>
                  <m:rPr>
                    <m:scr m:val="script"/>
                    <m:sty m:val="bi"/>
                  </m:rPr>
                  <w:rPr>
                    <w:rFonts w:ascii="Cambria Math" w:hAnsi="Cambria Math"/>
                    <w:szCs w:val="22"/>
                  </w:rPr>
                  <m:t>P</m:t>
                </m:r>
              </m:e>
              <m:sub>
                <m:r>
                  <w:rPr>
                    <w:rFonts w:ascii="Cambria Math" w:hAnsi="Cambria Math"/>
                    <w:szCs w:val="22"/>
                  </w:rPr>
                  <m:t>rem</m:t>
                </m:r>
              </m:sub>
            </m:sSub>
          </m:e>
        </m:d>
      </m:oMath>
    </w:p>
    <w:p w14:paraId="23DE827F" w14:textId="52DB77A3" w:rsidR="00925C88" w:rsidRDefault="0083235C" w:rsidP="00FA5D30">
      <w:pPr>
        <w:pStyle w:val="ListParagraph"/>
        <w:ind w:left="0"/>
      </w:pPr>
      <m:oMath>
        <m:sSub>
          <m:sSubPr>
            <m:ctrlPr>
              <w:rPr>
                <w:rFonts w:ascii="Cambria Math" w:hAnsi="Cambria Math"/>
                <w:i/>
              </w:rPr>
            </m:ctrlPr>
          </m:sSubPr>
          <m:e>
            <m:r>
              <w:rPr>
                <w:rFonts w:ascii="Cambria Math" w:hAnsi="Cambria Math"/>
              </w:rPr>
              <m:t>S</m:t>
            </m:r>
          </m:e>
          <m:sub>
            <m:r>
              <w:rPr>
                <w:rFonts w:ascii="Cambria Math" w:hAnsi="Cambria Math"/>
              </w:rPr>
              <m:t>c,i</m:t>
            </m:r>
          </m:sub>
        </m:sSub>
      </m:oMath>
      <w:r w:rsidR="00FA5D30">
        <w:tab/>
      </w:r>
      <w:r w:rsidR="00925C88">
        <w:t xml:space="preserve">= probability of surviving the </w:t>
      </w:r>
      <w:proofErr w:type="spellStart"/>
      <w:r w:rsidR="00925C88" w:rsidRPr="00925C88">
        <w:rPr>
          <w:i/>
        </w:rPr>
        <w:t>i</w:t>
      </w:r>
      <w:r w:rsidR="00925C88" w:rsidRPr="00925C88">
        <w:rPr>
          <w:vertAlign w:val="superscript"/>
        </w:rPr>
        <w:t>th</w:t>
      </w:r>
      <w:proofErr w:type="spellEnd"/>
      <w:r w:rsidR="00925C88">
        <w:t xml:space="preserve"> conjunction in a sequence without a collision</w:t>
      </w:r>
    </w:p>
    <w:p w14:paraId="27F66728" w14:textId="5E3DE588" w:rsidR="00925C88" w:rsidRDefault="0083235C" w:rsidP="00FA5D30">
      <w:pPr>
        <w:pStyle w:val="ListParagraph"/>
        <w:ind w:left="0"/>
      </w:pPr>
      <m:oMath>
        <m:sSub>
          <m:sSubPr>
            <m:ctrlPr>
              <w:rPr>
                <w:rFonts w:ascii="Cambria Math" w:hAnsi="Cambria Math"/>
                <w:i/>
              </w:rPr>
            </m:ctrlPr>
          </m:sSubPr>
          <m:e>
            <m:r>
              <w:rPr>
                <w:rFonts w:ascii="Cambria Math" w:hAnsi="Cambria Math"/>
              </w:rPr>
              <m:t>S</m:t>
            </m:r>
          </m:e>
          <m:sub>
            <m:r>
              <w:rPr>
                <w:rFonts w:ascii="Cambria Math" w:hAnsi="Cambria Math"/>
              </w:rPr>
              <m:t>cum</m:t>
            </m:r>
          </m:sub>
        </m:sSub>
      </m:oMath>
      <w:r w:rsidR="00FA5D30">
        <w:tab/>
      </w:r>
      <w:r w:rsidR="00925C88">
        <w:t>= cumulative survival</w:t>
      </w:r>
      <w:r w:rsidR="005A61C4">
        <w:t>-without-collision</w:t>
      </w:r>
      <w:r w:rsidR="00925C88">
        <w:t xml:space="preserve"> probability</w:t>
      </w:r>
    </w:p>
    <w:p w14:paraId="090486A0" w14:textId="176FA425" w:rsidR="009E2233" w:rsidRPr="009E2233" w:rsidRDefault="0083235C" w:rsidP="00FA5D30">
      <w:pPr>
        <w:pStyle w:val="ListParagraph"/>
        <w:ind w:left="0"/>
        <w:rPr>
          <w:b/>
        </w:rPr>
      </w:pPr>
      <m:oMath>
        <m:sSub>
          <m:sSubPr>
            <m:ctrlPr>
              <w:rPr>
                <w:rFonts w:ascii="Cambria Math" w:hAnsi="Cambria Math"/>
                <w:i/>
              </w:rPr>
            </m:ctrlPr>
          </m:sSubPr>
          <m:e>
            <m:r>
              <w:rPr>
                <w:rFonts w:ascii="Cambria Math" w:hAnsi="Cambria Math"/>
              </w:rPr>
              <m:t>S</m:t>
            </m:r>
          </m:e>
          <m:sub>
            <m:r>
              <w:rPr>
                <w:rFonts w:ascii="Cambria Math" w:hAnsi="Cambria Math"/>
              </w:rPr>
              <m:t>cum</m:t>
            </m:r>
          </m:sub>
        </m:sSub>
        <m:r>
          <w:rPr>
            <w:rFonts w:ascii="Cambria Math" w:hAnsi="Cambria Math"/>
          </w:rPr>
          <m:t>(</m:t>
        </m:r>
        <m:r>
          <m:rPr>
            <m:scr m:val="script"/>
            <m:sty m:val="bi"/>
          </m:rPr>
          <w:rPr>
            <w:rFonts w:ascii="Cambria Math" w:hAnsi="Cambria Math"/>
          </w:rPr>
          <m:t>P</m:t>
        </m:r>
        <m:r>
          <w:rPr>
            <w:rFonts w:ascii="Cambria Math" w:hAnsi="Cambria Math"/>
          </w:rPr>
          <m:t>)</m:t>
        </m:r>
      </m:oMath>
      <w:r w:rsidR="009E2233">
        <w:t xml:space="preserve"> = cumulative survival probability for the combined set of collision probabilities </w:t>
      </w:r>
      <m:oMath>
        <m:r>
          <m:rPr>
            <m:scr m:val="script"/>
            <m:sty m:val="bi"/>
          </m:rPr>
          <w:rPr>
            <w:rFonts w:ascii="Cambria Math" w:hAnsi="Cambria Math"/>
          </w:rPr>
          <m:t>P</m:t>
        </m:r>
      </m:oMath>
    </w:p>
    <w:p w14:paraId="524B2A78" w14:textId="079B8487" w:rsidR="006C227A" w:rsidRDefault="006C227A" w:rsidP="00FA5D30">
      <w:pPr>
        <w:pStyle w:val="ListParagraph"/>
        <w:ind w:left="0"/>
      </w:pPr>
      <m:oMath>
        <m:r>
          <w:rPr>
            <w:rFonts w:ascii="Cambria Math" w:hAnsi="Cambria Math"/>
          </w:rPr>
          <m:t>t</m:t>
        </m:r>
      </m:oMath>
      <w:r>
        <w:t xml:space="preserve"> </w:t>
      </w:r>
      <w:r w:rsidR="00FA5D30">
        <w:tab/>
      </w:r>
      <w:r>
        <w:t>= time</w:t>
      </w:r>
    </w:p>
    <w:p w14:paraId="2C1E328E" w14:textId="6FF5BE21" w:rsidR="002D357F" w:rsidRDefault="0083235C" w:rsidP="00FA5D30">
      <w:pPr>
        <w:pStyle w:val="ListParagraph"/>
        <w:ind w:left="0"/>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5D30">
        <w:tab/>
      </w:r>
      <w:r w:rsidR="002D357F">
        <w:t xml:space="preserve">= </w:t>
      </w:r>
      <w:r w:rsidR="000B1110">
        <w:t>the TCA</w:t>
      </w:r>
      <w:r w:rsidR="00A84052">
        <w:t xml:space="preserve"> for the </w:t>
      </w:r>
      <w:proofErr w:type="spellStart"/>
      <w:r w:rsidR="00A84052" w:rsidRPr="00925C88">
        <w:rPr>
          <w:i/>
        </w:rPr>
        <w:t>i</w:t>
      </w:r>
      <w:r w:rsidR="00A84052" w:rsidRPr="00925C88">
        <w:rPr>
          <w:vertAlign w:val="superscript"/>
        </w:rPr>
        <w:t>th</w:t>
      </w:r>
      <w:proofErr w:type="spellEnd"/>
      <w:r w:rsidR="00A84052">
        <w:t xml:space="preserve"> conjunction in a sequence</w:t>
      </w:r>
    </w:p>
    <w:p w14:paraId="6E150E8A" w14:textId="418BF5F1" w:rsidR="000374B9" w:rsidRDefault="0083235C" w:rsidP="00FA5D30">
      <w:pPr>
        <w:pStyle w:val="ListParagraph"/>
        <w:ind w:left="0"/>
      </w:pPr>
      <m:oMath>
        <m:sSub>
          <m:sSubPr>
            <m:ctrlPr>
              <w:rPr>
                <w:rFonts w:ascii="Cambria Math" w:hAnsi="Cambria Math"/>
                <w:i/>
              </w:rPr>
            </m:ctrlPr>
          </m:sSubPr>
          <m:e>
            <m:r>
              <w:rPr>
                <w:rFonts w:ascii="Cambria Math" w:hAnsi="Cambria Math"/>
              </w:rPr>
              <m:t>T</m:t>
            </m:r>
          </m:e>
          <m:sub>
            <m:r>
              <w:rPr>
                <w:rFonts w:ascii="Cambria Math" w:hAnsi="Cambria Math"/>
              </w:rPr>
              <m:t>init</m:t>
            </m:r>
          </m:sub>
        </m:sSub>
      </m:oMath>
      <w:r w:rsidR="00FA5D30">
        <w:tab/>
      </w:r>
      <w:r w:rsidR="000374B9">
        <w:t>= the initial time of an observed sequence of conjunctions (i.e., the earliest TCA)</w:t>
      </w:r>
    </w:p>
    <w:p w14:paraId="63D4A980" w14:textId="3167056E" w:rsidR="000374B9" w:rsidRDefault="0083235C" w:rsidP="00FA5D30">
      <w:pPr>
        <w:pStyle w:val="ListParagraph"/>
        <w:ind w:left="0"/>
      </w:pPr>
      <m:oMath>
        <m:sSub>
          <m:sSubPr>
            <m:ctrlPr>
              <w:rPr>
                <w:rFonts w:ascii="Cambria Math" w:hAnsi="Cambria Math"/>
                <w:i/>
              </w:rPr>
            </m:ctrlPr>
          </m:sSubPr>
          <m:e>
            <m:r>
              <w:rPr>
                <w:rFonts w:ascii="Cambria Math" w:hAnsi="Cambria Math"/>
              </w:rPr>
              <m:t>T</m:t>
            </m:r>
          </m:e>
          <m:sub>
            <m:r>
              <w:rPr>
                <w:rFonts w:ascii="Cambria Math" w:hAnsi="Cambria Math"/>
              </w:rPr>
              <m:t>obs</m:t>
            </m:r>
          </m:sub>
        </m:sSub>
      </m:oMath>
      <w:r w:rsidR="00FA5D30">
        <w:tab/>
      </w:r>
      <w:r w:rsidR="000374B9">
        <w:t>= the duration of an observed sequence of conjunctions</w:t>
      </w:r>
    </w:p>
    <w:p w14:paraId="1F8BB597" w14:textId="58480F7F" w:rsidR="000374B9" w:rsidRDefault="0083235C" w:rsidP="00FA5D30">
      <w:pPr>
        <w:pStyle w:val="ListParagraph"/>
        <w:ind w:left="0"/>
      </w:pPr>
      <m:oMath>
        <m:sSub>
          <m:sSubPr>
            <m:ctrlPr>
              <w:rPr>
                <w:rFonts w:ascii="Cambria Math" w:hAnsi="Cambria Math"/>
                <w:i/>
              </w:rPr>
            </m:ctrlPr>
          </m:sSubPr>
          <m:e>
            <m:r>
              <w:rPr>
                <w:rFonts w:ascii="Cambria Math" w:hAnsi="Cambria Math"/>
              </w:rPr>
              <m:t>T</m:t>
            </m:r>
          </m:e>
          <m:sub>
            <m:r>
              <w:rPr>
                <w:rFonts w:ascii="Cambria Math" w:hAnsi="Cambria Math"/>
              </w:rPr>
              <m:t>mod</m:t>
            </m:r>
          </m:sub>
        </m:sSub>
      </m:oMath>
      <w:r w:rsidR="00FA5D30">
        <w:tab/>
      </w:r>
      <w:r w:rsidR="000374B9">
        <w:t xml:space="preserve">= the duration of a </w:t>
      </w:r>
      <w:r w:rsidR="000D3BD7">
        <w:t>model satellite mission</w:t>
      </w:r>
    </w:p>
    <w:p w14:paraId="2083006E" w14:textId="6788B8D5" w:rsidR="00312ECB" w:rsidRDefault="00312ECB" w:rsidP="00FA5D30">
      <w:pPr>
        <w:pStyle w:val="ListParagraph"/>
        <w:ind w:left="0"/>
      </w:pPr>
      <m:oMath>
        <m:r>
          <w:rPr>
            <w:rFonts w:ascii="Cambria Math" w:hAnsi="Cambria Math"/>
          </w:rPr>
          <m:t>U(x)</m:t>
        </m:r>
      </m:oMath>
      <w:r w:rsidR="00FA5D30">
        <w:tab/>
      </w:r>
      <w:r>
        <w:t>= the unit step function defined in eq. (1</w:t>
      </w:r>
      <w:r w:rsidR="00990E11">
        <w:t>4</w:t>
      </w:r>
      <w:r>
        <w:t>)</w:t>
      </w:r>
    </w:p>
    <w:p w14:paraId="02C32605" w14:textId="2592D34E" w:rsidR="005A61C4" w:rsidRDefault="005A61C4" w:rsidP="00FA5D30">
      <w:pPr>
        <w:pStyle w:val="ListParagraph"/>
        <w:ind w:left="0"/>
      </w:pPr>
      <m:oMath>
        <m:r>
          <m:rPr>
            <m:sty m:val="b"/>
          </m:rPr>
          <w:rPr>
            <w:rFonts w:ascii="Cambria Math" w:hAnsi="Cambria Math"/>
          </w:rPr>
          <m:t>X</m:t>
        </m:r>
      </m:oMath>
      <w:r w:rsidR="00FA5D30">
        <w:rPr>
          <w:b/>
        </w:rPr>
        <w:tab/>
      </w:r>
      <w:r>
        <w:t xml:space="preserve">= an orbital state </w:t>
      </w:r>
      <w:proofErr w:type="gramStart"/>
      <w:r>
        <w:t>vector</w:t>
      </w:r>
      <w:proofErr w:type="gramEnd"/>
    </w:p>
    <w:p w14:paraId="713A4F3E" w14:textId="68B1093B" w:rsidR="002632B4" w:rsidRDefault="0083235C" w:rsidP="00FA5D30">
      <w:pPr>
        <w:pStyle w:val="ListParagraph"/>
        <w:ind w:left="0"/>
      </w:pPr>
      <m:oMath>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pri</m:t>
            </m:r>
          </m:sup>
        </m:sSubSup>
      </m:oMath>
      <w:r w:rsidR="00FA5D30">
        <w:rPr>
          <w:iCs/>
        </w:rPr>
        <w:tab/>
      </w:r>
      <w:r w:rsidR="005A61C4">
        <w:rPr>
          <w:iCs/>
        </w:rPr>
        <w:t xml:space="preserve">= </w:t>
      </w:r>
      <w:r w:rsidR="000B1110">
        <w:rPr>
          <w:iCs/>
        </w:rPr>
        <w:t>t</w:t>
      </w:r>
      <w:r w:rsidR="005A61C4">
        <w:rPr>
          <w:iCs/>
        </w:rPr>
        <w:t>he primary object’s orbital state</w:t>
      </w:r>
      <w:r w:rsidR="0077056C">
        <w:rPr>
          <w:iCs/>
        </w:rPr>
        <w:t xml:space="preserve"> vector</w:t>
      </w:r>
      <w:r w:rsidR="005A61C4">
        <w:rPr>
          <w:iCs/>
        </w:rPr>
        <w:t xml:space="preserve"> for </w:t>
      </w:r>
      <w:r w:rsidR="005A61C4">
        <w:t xml:space="preserve">the </w:t>
      </w:r>
      <w:proofErr w:type="spellStart"/>
      <w:r w:rsidR="005A61C4" w:rsidRPr="00925C88">
        <w:rPr>
          <w:i/>
        </w:rPr>
        <w:t>i</w:t>
      </w:r>
      <w:r w:rsidR="005A61C4" w:rsidRPr="00925C88">
        <w:rPr>
          <w:vertAlign w:val="superscript"/>
        </w:rPr>
        <w:t>th</w:t>
      </w:r>
      <w:proofErr w:type="spellEnd"/>
      <w:r w:rsidR="005A61C4">
        <w:t xml:space="preserve"> conjunction in a sequence</w:t>
      </w:r>
    </w:p>
    <w:p w14:paraId="3288103F" w14:textId="4A02F4A9" w:rsidR="005A61C4" w:rsidRDefault="0083235C" w:rsidP="00FA5D30">
      <w:pPr>
        <w:pStyle w:val="ListParagraph"/>
        <w:ind w:left="0"/>
      </w:pPr>
      <m:oMath>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w:rPr>
                <w:rFonts w:ascii="Cambria Math" w:hAnsi="Cambria Math"/>
              </w:rPr>
              <m:t>sec</m:t>
            </m:r>
          </m:sup>
        </m:sSubSup>
      </m:oMath>
      <w:r w:rsidR="00FA5D30">
        <w:rPr>
          <w:iCs/>
        </w:rPr>
        <w:tab/>
      </w:r>
      <w:r w:rsidR="005A61C4">
        <w:rPr>
          <w:iCs/>
        </w:rPr>
        <w:t xml:space="preserve">= </w:t>
      </w:r>
      <w:r w:rsidR="000B1110">
        <w:rPr>
          <w:iCs/>
        </w:rPr>
        <w:t>t</w:t>
      </w:r>
      <w:r w:rsidR="005A61C4">
        <w:rPr>
          <w:iCs/>
        </w:rPr>
        <w:t>he secondary object’s orbital state</w:t>
      </w:r>
      <w:r w:rsidR="0077056C">
        <w:rPr>
          <w:iCs/>
        </w:rPr>
        <w:t xml:space="preserve"> vector</w:t>
      </w:r>
      <w:r w:rsidR="005A61C4">
        <w:rPr>
          <w:iCs/>
        </w:rPr>
        <w:t xml:space="preserve"> for </w:t>
      </w:r>
      <w:r w:rsidR="005A61C4">
        <w:t xml:space="preserve">the </w:t>
      </w:r>
      <w:proofErr w:type="spellStart"/>
      <w:r w:rsidR="005A61C4" w:rsidRPr="00925C88">
        <w:rPr>
          <w:i/>
        </w:rPr>
        <w:t>i</w:t>
      </w:r>
      <w:r w:rsidR="005A61C4" w:rsidRPr="00925C88">
        <w:rPr>
          <w:vertAlign w:val="superscript"/>
        </w:rPr>
        <w:t>th</w:t>
      </w:r>
      <w:proofErr w:type="spellEnd"/>
      <w:r w:rsidR="005A61C4">
        <w:t xml:space="preserve"> conjunction in a sequence</w:t>
      </w:r>
    </w:p>
    <w:p w14:paraId="3A5D2F63" w14:textId="77777777" w:rsidR="005A61C4" w:rsidRDefault="005A61C4" w:rsidP="00FA5D30">
      <w:pPr>
        <w:pStyle w:val="ListParagraph"/>
        <w:ind w:left="0"/>
      </w:pPr>
    </w:p>
    <w:p w14:paraId="0C762EEC" w14:textId="7748F14A" w:rsidR="00B5686B" w:rsidRPr="004E1AFB" w:rsidRDefault="00A84052" w:rsidP="00FA5D30">
      <w:pPr>
        <w:pStyle w:val="ListParagraph"/>
        <w:ind w:left="0"/>
      </w:pPr>
      <m:oMath>
        <m:r>
          <w:rPr>
            <w:rFonts w:ascii="Cambria Math" w:hAnsi="Cambria Math"/>
          </w:rPr>
          <m:t>ρ</m:t>
        </m:r>
      </m:oMath>
      <w:r w:rsidR="00FA5D30">
        <w:tab/>
      </w:r>
      <w:r w:rsidR="00B5686B">
        <w:t xml:space="preserve">=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690ED9">
        <w:t xml:space="preserve"> reduction factor achieved by an RMM</w:t>
      </w:r>
    </w:p>
    <w:p w14:paraId="022E4238" w14:textId="5350A112" w:rsidR="006C227A" w:rsidRDefault="0083235C" w:rsidP="00FA5D30">
      <w:pPr>
        <w:pStyle w:val="ListParagraph"/>
        <w:ind w:left="0"/>
      </w:pPr>
      <m:oMath>
        <m:sSub>
          <m:sSubPr>
            <m:ctrlPr>
              <w:rPr>
                <w:rFonts w:ascii="Cambria Math" w:hAnsi="Cambria Math"/>
                <w:i/>
              </w:rPr>
            </m:ctrlPr>
          </m:sSubPr>
          <m:e>
            <m:r>
              <w:rPr>
                <w:rFonts w:ascii="Cambria Math" w:hAnsi="Cambria Math"/>
              </w:rPr>
              <m:t>τ</m:t>
            </m:r>
          </m:e>
          <m:sub>
            <m:r>
              <w:rPr>
                <w:rFonts w:ascii="Cambria Math" w:hAnsi="Cambria Math"/>
              </w:rPr>
              <m:t>cmt</m:t>
            </m:r>
          </m:sub>
        </m:sSub>
      </m:oMath>
      <w:r w:rsidR="00FA5D30">
        <w:tab/>
      </w:r>
      <w:r w:rsidR="006C227A">
        <w:t xml:space="preserve">= </w:t>
      </w:r>
      <w:r w:rsidR="00690ED9">
        <w:t>the commit time, the period preceding TCA for a mission make an RMM go/no-go decision</w:t>
      </w:r>
    </w:p>
    <w:p w14:paraId="15119FEA" w14:textId="51805FB5" w:rsidR="00E13648" w:rsidRPr="00E13648" w:rsidRDefault="0083235C" w:rsidP="00FA5D30">
      <w:pPr>
        <w:pStyle w:val="ListParagraph"/>
        <w:ind w:left="0"/>
      </w:pPr>
      <m:oMath>
        <m:sSub>
          <m:sSubPr>
            <m:ctrlPr>
              <w:rPr>
                <w:rFonts w:ascii="Cambria Math" w:hAnsi="Cambria Math"/>
                <w:i/>
              </w:rPr>
            </m:ctrlPr>
          </m:sSubPr>
          <m:e>
            <m:r>
              <w:rPr>
                <w:rFonts w:ascii="Cambria Math" w:hAnsi="Cambria Math"/>
              </w:rPr>
              <m:t>τ</m:t>
            </m:r>
          </m:e>
          <m:sub>
            <m:r>
              <w:rPr>
                <w:rFonts w:ascii="Cambria Math" w:hAnsi="Cambria Math"/>
              </w:rPr>
              <m:t>cns</m:t>
            </m:r>
          </m:sub>
        </m:sSub>
      </m:oMath>
      <w:r w:rsidR="00FA5D30">
        <w:tab/>
      </w:r>
      <w:r w:rsidR="00E13648">
        <w:t xml:space="preserve">= </w:t>
      </w:r>
      <w:r w:rsidR="00690ED9">
        <w:t>the consider time, the period preceding TCA for a mission consider performing an RMM</w:t>
      </w:r>
    </w:p>
    <w:p w14:paraId="6FCA96C0" w14:textId="77777777" w:rsidR="006C227A" w:rsidRDefault="006C227A" w:rsidP="00FA5D30">
      <w:pPr>
        <w:pStyle w:val="ListParagraph"/>
        <w:ind w:left="0"/>
      </w:pPr>
    </w:p>
    <w:p w14:paraId="53DDBA38" w14:textId="7857D4A6" w:rsidR="006C227A" w:rsidRDefault="006C227A" w:rsidP="00FA5D30">
      <w:pPr>
        <w:pStyle w:val="ListParagraph"/>
        <w:ind w:left="0"/>
      </w:pPr>
      <w:r>
        <w:t>CARA</w:t>
      </w:r>
      <w:r w:rsidR="00FA5D30">
        <w:tab/>
      </w:r>
      <w:r>
        <w:t xml:space="preserve">= </w:t>
      </w:r>
      <w:r w:rsidRPr="00FB36A2">
        <w:t>Conjunction Assessment Risk Analysis</w:t>
      </w:r>
    </w:p>
    <w:p w14:paraId="3656AD54" w14:textId="5C85E57B" w:rsidR="00B772A5" w:rsidRDefault="00B772A5" w:rsidP="00FA5D30">
      <w:pPr>
        <w:pStyle w:val="ListParagraph"/>
        <w:ind w:left="0"/>
      </w:pPr>
      <w:r>
        <w:t>GRACE</w:t>
      </w:r>
      <w:r w:rsidR="00FA5D30">
        <w:t xml:space="preserve"> </w:t>
      </w:r>
      <w:r>
        <w:t>= Gravity Recovery and Climate Experiment</w:t>
      </w:r>
    </w:p>
    <w:p w14:paraId="706ECE21" w14:textId="753A5185" w:rsidR="000A2233" w:rsidRDefault="000A2233" w:rsidP="00FA5D30">
      <w:pPr>
        <w:pStyle w:val="ListParagraph"/>
        <w:ind w:left="0"/>
      </w:pPr>
      <w:r>
        <w:t>HBR</w:t>
      </w:r>
      <w:r w:rsidR="00FA5D30">
        <w:tab/>
      </w:r>
      <w:r>
        <w:t>= hard-body radius</w:t>
      </w:r>
    </w:p>
    <w:p w14:paraId="7CB2FE4C" w14:textId="5FFF1AB3" w:rsidR="00F452D5" w:rsidRDefault="00F452D5" w:rsidP="00FA5D30">
      <w:pPr>
        <w:pStyle w:val="ListParagraph"/>
        <w:ind w:left="0"/>
      </w:pPr>
      <w:r>
        <w:t>HST</w:t>
      </w:r>
      <w:r w:rsidR="00FA5D30">
        <w:tab/>
      </w:r>
      <w:r>
        <w:t>= Hubble Space Telescope</w:t>
      </w:r>
    </w:p>
    <w:p w14:paraId="2EB53979" w14:textId="7C6E24D6" w:rsidR="006C227A" w:rsidRDefault="006C227A" w:rsidP="00FA5D30">
      <w:pPr>
        <w:pStyle w:val="ListParagraph"/>
        <w:ind w:left="0"/>
      </w:pPr>
      <w:r>
        <w:t>OD</w:t>
      </w:r>
      <w:r w:rsidR="00FA5D30">
        <w:tab/>
      </w:r>
      <w:r>
        <w:t>= orbit determination</w:t>
      </w:r>
    </w:p>
    <w:p w14:paraId="51BF931C" w14:textId="0997AD14" w:rsidR="000A2233" w:rsidRDefault="000A2233" w:rsidP="00FA5D30">
      <w:pPr>
        <w:pStyle w:val="ListParagraph"/>
        <w:ind w:left="0"/>
      </w:pPr>
      <w:r>
        <w:t>NASA</w:t>
      </w:r>
      <w:r w:rsidR="00FA5D30">
        <w:tab/>
      </w:r>
      <w:r>
        <w:t>= National Aeronautics and Space Administration</w:t>
      </w:r>
    </w:p>
    <w:p w14:paraId="69F65DF7" w14:textId="57E2832C" w:rsidR="00213E33" w:rsidRDefault="00213E33" w:rsidP="00FA5D30">
      <w:pPr>
        <w:pStyle w:val="ListParagraph"/>
        <w:ind w:left="0"/>
      </w:pPr>
      <w:r>
        <w:t>RMM</w:t>
      </w:r>
      <w:r w:rsidR="00FA5D30">
        <w:tab/>
      </w:r>
      <w:r>
        <w:t>= risk mitigation maneuver</w:t>
      </w:r>
    </w:p>
    <w:p w14:paraId="25B196A3" w14:textId="4D6FAE5E" w:rsidR="00F452D5" w:rsidRDefault="00F452D5" w:rsidP="00FA5D30">
      <w:pPr>
        <w:pStyle w:val="ListParagraph"/>
        <w:ind w:left="0"/>
      </w:pPr>
      <w:r>
        <w:t>SCN</w:t>
      </w:r>
      <w:r w:rsidR="00FA5D30">
        <w:tab/>
      </w:r>
      <w:r>
        <w:t>= space catalog number</w:t>
      </w:r>
    </w:p>
    <w:p w14:paraId="31A0BBF5" w14:textId="03FA5F57" w:rsidR="006C227A" w:rsidRDefault="006C227A" w:rsidP="00FA5D30">
      <w:pPr>
        <w:pStyle w:val="ListParagraph"/>
        <w:ind w:left="0"/>
      </w:pPr>
      <w:r>
        <w:t>TCA</w:t>
      </w:r>
      <w:r w:rsidR="00FA5D30">
        <w:tab/>
      </w:r>
      <w:r>
        <w:t>= time of closest approach</w:t>
      </w:r>
    </w:p>
    <w:p w14:paraId="3B9DBAA1" w14:textId="77777777" w:rsidR="00FE7C46" w:rsidRDefault="00FE7C46" w:rsidP="004B7A44">
      <w:pPr>
        <w:pStyle w:val="Section"/>
      </w:pPr>
      <w:r>
        <w:lastRenderedPageBreak/>
        <w:t>Acknowledgment</w:t>
      </w:r>
      <w:r w:rsidR="002450FD">
        <w:t>s</w:t>
      </w:r>
    </w:p>
    <w:p w14:paraId="2D0D7C85" w14:textId="01CA4E8C" w:rsidR="00FE7C46" w:rsidRDefault="002E120C">
      <w:r>
        <w:t xml:space="preserve">The author would like to thank </w:t>
      </w:r>
      <w:r w:rsidR="00440607">
        <w:t xml:space="preserve">Luis Baars, Steve Casali, </w:t>
      </w:r>
      <w:r w:rsidR="00C77327">
        <w:t xml:space="preserve">Joseph Frisbee, </w:t>
      </w:r>
      <w:r w:rsidR="009737A6">
        <w:t>Matthew</w:t>
      </w:r>
      <w:r w:rsidR="00440607">
        <w:t xml:space="preserve"> </w:t>
      </w:r>
      <w:r w:rsidR="009737A6">
        <w:t>Hejduk</w:t>
      </w:r>
      <w:r w:rsidR="001E3F5F">
        <w:t>, Travis Lechtenberg,</w:t>
      </w:r>
      <w:r w:rsidR="00C2591C">
        <w:t xml:space="preserve"> and Daniel Snow</w:t>
      </w:r>
      <w:r w:rsidR="009737A6">
        <w:t xml:space="preserve"> </w:t>
      </w:r>
      <w:r>
        <w:t xml:space="preserve">for </w:t>
      </w:r>
      <w:r w:rsidR="00981248">
        <w:t>several helpful discussions and analyses</w:t>
      </w:r>
      <w:r w:rsidR="007C47BD">
        <w:t>.</w:t>
      </w:r>
    </w:p>
    <w:p w14:paraId="58349348" w14:textId="77777777" w:rsidR="000632A6" w:rsidRDefault="000632A6" w:rsidP="000632A6">
      <w:pPr>
        <w:pStyle w:val="Section"/>
      </w:pPr>
      <w:r>
        <w:t>References</w:t>
      </w:r>
    </w:p>
    <w:p w14:paraId="2440A06B" w14:textId="77777777" w:rsidR="006059B8" w:rsidRDefault="006059B8" w:rsidP="006059B8">
      <w:pPr>
        <w:pStyle w:val="ListParagraph"/>
        <w:numPr>
          <w:ilvl w:val="0"/>
          <w:numId w:val="27"/>
        </w:numPr>
        <w:ind w:left="90" w:hanging="90"/>
      </w:pPr>
      <w:bookmarkStart w:id="2" w:name="_Ref514676603"/>
      <w:bookmarkStart w:id="3" w:name="_Ref459731069"/>
      <w:r>
        <w:t>J.L. Foster and H.S. Estes, “A Parametric Analysis of Orbital Debris Collision Probability and Maneuver Rate for Space Vehicles,” NASA/JSC-25898, Aug. 1992.</w:t>
      </w:r>
      <w:bookmarkEnd w:id="2"/>
    </w:p>
    <w:p w14:paraId="46E841A4" w14:textId="77777777" w:rsidR="006059B8" w:rsidRDefault="006059B8" w:rsidP="006059B8">
      <w:pPr>
        <w:pStyle w:val="ListParagraph"/>
        <w:numPr>
          <w:ilvl w:val="0"/>
          <w:numId w:val="27"/>
        </w:numPr>
        <w:ind w:left="90" w:hanging="90"/>
      </w:pPr>
      <w:bookmarkStart w:id="4" w:name="_Ref514676846"/>
      <w:r>
        <w:t xml:space="preserve">M.R. </w:t>
      </w:r>
      <w:proofErr w:type="spellStart"/>
      <w:r>
        <w:t>Akella</w:t>
      </w:r>
      <w:proofErr w:type="spellEnd"/>
      <w:r>
        <w:t xml:space="preserve"> and K.T. </w:t>
      </w:r>
      <w:proofErr w:type="spellStart"/>
      <w:r>
        <w:t>Alfriend</w:t>
      </w:r>
      <w:proofErr w:type="spellEnd"/>
      <w:r>
        <w:t xml:space="preserve">, “The Probability of Collision Between Space Objects,” </w:t>
      </w:r>
      <w:r w:rsidRPr="000632A6">
        <w:rPr>
          <w:i/>
        </w:rPr>
        <w:t>Journal of Guidance, Control, and Dynamics</w:t>
      </w:r>
      <w:r>
        <w:t>, Vol. 23, No. 5, pp. 769-772, 2000.</w:t>
      </w:r>
      <w:bookmarkEnd w:id="4"/>
    </w:p>
    <w:p w14:paraId="27B48E22" w14:textId="06156F9A" w:rsidR="006059B8" w:rsidRDefault="006059B8" w:rsidP="006059B8">
      <w:pPr>
        <w:pStyle w:val="ListParagraph"/>
        <w:numPr>
          <w:ilvl w:val="0"/>
          <w:numId w:val="27"/>
        </w:numPr>
        <w:ind w:left="90" w:hanging="90"/>
      </w:pPr>
      <w:bookmarkStart w:id="5" w:name="_Ref514676608"/>
      <w:r>
        <w:t xml:space="preserve">K. Chan, </w:t>
      </w:r>
      <w:r w:rsidRPr="000632A6">
        <w:rPr>
          <w:i/>
        </w:rPr>
        <w:t>Spacecraft Collision Probability</w:t>
      </w:r>
      <w:r>
        <w:t xml:space="preserve">, El Segundo, CA, The </w:t>
      </w:r>
      <w:proofErr w:type="spellStart"/>
      <w:r>
        <w:t>AeroSpace</w:t>
      </w:r>
      <w:proofErr w:type="spellEnd"/>
      <w:r>
        <w:t xml:space="preserve"> Corporation, 2008.</w:t>
      </w:r>
      <w:bookmarkEnd w:id="5"/>
    </w:p>
    <w:p w14:paraId="7F670DD4" w14:textId="2F8A88A2" w:rsidR="000A219E" w:rsidRDefault="000A219E" w:rsidP="006059B8">
      <w:pPr>
        <w:pStyle w:val="ListParagraph"/>
        <w:numPr>
          <w:ilvl w:val="0"/>
          <w:numId w:val="27"/>
        </w:numPr>
        <w:ind w:left="90" w:hanging="90"/>
      </w:pPr>
      <w:bookmarkStart w:id="6" w:name="_Ref6466684"/>
      <w:r>
        <w:t xml:space="preserve">S. Alfano, “Satellite Conjunction Monte Carlo Analysis,” </w:t>
      </w:r>
      <w:r w:rsidRPr="000632A6">
        <w:rPr>
          <w:i/>
        </w:rPr>
        <w:t xml:space="preserve">AAS </w:t>
      </w:r>
      <w:proofErr w:type="spellStart"/>
      <w:r w:rsidRPr="000632A6">
        <w:rPr>
          <w:i/>
        </w:rPr>
        <w:t>SpaceFlight</w:t>
      </w:r>
      <w:proofErr w:type="spellEnd"/>
      <w:r w:rsidRPr="000632A6">
        <w:rPr>
          <w:i/>
        </w:rPr>
        <w:t xml:space="preserve"> Mechanics Meeting</w:t>
      </w:r>
      <w:r>
        <w:t>, Pittsburgh, PA, Paper 09-233, Feb. 2009.</w:t>
      </w:r>
      <w:bookmarkEnd w:id="6"/>
    </w:p>
    <w:p w14:paraId="58C8F9A8" w14:textId="6E7CAC0D" w:rsidR="006059B8" w:rsidRDefault="006059B8" w:rsidP="006059B8">
      <w:pPr>
        <w:pStyle w:val="ListParagraph"/>
        <w:numPr>
          <w:ilvl w:val="0"/>
          <w:numId w:val="27"/>
        </w:numPr>
        <w:ind w:left="90" w:hanging="90"/>
      </w:pPr>
      <w:bookmarkStart w:id="7" w:name="_Ref6464558"/>
      <w:r>
        <w:t xml:space="preserve">D. Hall </w:t>
      </w:r>
      <w:r w:rsidRPr="001353FD">
        <w:rPr>
          <w:i/>
        </w:rPr>
        <w:t>et al</w:t>
      </w:r>
      <w:r>
        <w:t xml:space="preserve">, “High Fidelity Collision Probabilities Estimated Using Brute Force Monte Carlo Simulations,” </w:t>
      </w:r>
      <w:r w:rsidRPr="000632A6">
        <w:rPr>
          <w:i/>
        </w:rPr>
        <w:t xml:space="preserve">AAS </w:t>
      </w:r>
      <w:r>
        <w:rPr>
          <w:i/>
        </w:rPr>
        <w:t>Astrodynamics Specialist Conference</w:t>
      </w:r>
      <w:r>
        <w:t>, Snowbird, UT, Paper 18-244, Aug. 2018.</w:t>
      </w:r>
      <w:bookmarkEnd w:id="7"/>
    </w:p>
    <w:p w14:paraId="3FE15D3E" w14:textId="23BC3492" w:rsidR="006059B8" w:rsidRDefault="006059B8" w:rsidP="006059B8">
      <w:pPr>
        <w:pStyle w:val="ListParagraph"/>
        <w:numPr>
          <w:ilvl w:val="0"/>
          <w:numId w:val="27"/>
        </w:numPr>
        <w:ind w:left="90" w:hanging="90"/>
      </w:pPr>
      <w:bookmarkStart w:id="8" w:name="_Ref6464712"/>
      <w:proofErr w:type="spellStart"/>
      <w:r w:rsidRPr="007E70C4">
        <w:t>T.F.Lechtenberg</w:t>
      </w:r>
      <w:proofErr w:type="spellEnd"/>
      <w:r w:rsidRPr="007E70C4">
        <w:t xml:space="preserve"> </w:t>
      </w:r>
      <w:r>
        <w:t>and</w:t>
      </w:r>
      <w:r w:rsidRPr="007E70C4">
        <w:t xml:space="preserve"> </w:t>
      </w:r>
      <w:proofErr w:type="spellStart"/>
      <w:r w:rsidRPr="007E70C4">
        <w:t>M.D.Hejduk</w:t>
      </w:r>
      <w:proofErr w:type="spellEnd"/>
      <w:r w:rsidRPr="007E70C4">
        <w:t xml:space="preserve">, “Assessment and Validation of Collision Consequence Method of Assessing Orbital Regime Risk Posed by Potential Satellite Conjunctions” </w:t>
      </w:r>
      <w:r w:rsidRPr="007E70C4">
        <w:rPr>
          <w:i/>
        </w:rPr>
        <w:t>Hypervelocity Impact Symposium</w:t>
      </w:r>
      <w:r w:rsidRPr="007E70C4">
        <w:t>, Destin FL, Apr</w:t>
      </w:r>
      <w:r>
        <w:t>.</w:t>
      </w:r>
      <w:r w:rsidRPr="007E70C4">
        <w:t xml:space="preserve"> 2019</w:t>
      </w:r>
      <w:r>
        <w:t>.</w:t>
      </w:r>
      <w:bookmarkEnd w:id="8"/>
    </w:p>
    <w:p w14:paraId="74030A8B" w14:textId="694F4295" w:rsidR="000632A6" w:rsidRPr="009C72D4" w:rsidRDefault="000632A6" w:rsidP="000632A6">
      <w:pPr>
        <w:pStyle w:val="ListParagraph"/>
        <w:numPr>
          <w:ilvl w:val="0"/>
          <w:numId w:val="27"/>
        </w:numPr>
        <w:ind w:left="90" w:hanging="90"/>
        <w:rPr>
          <w:rStyle w:val="st1"/>
        </w:rPr>
      </w:pPr>
      <w:bookmarkStart w:id="9" w:name="_Ref6467235"/>
      <w:r>
        <w:rPr>
          <w:rStyle w:val="st1"/>
          <w:lang w:val="en"/>
        </w:rPr>
        <w:t xml:space="preserve">L.K. Newman and M.D. Hejduk, “NASA Conjunction Assessment Organizational Approach and the Associated Determination of Screening Volume Sizes,” </w:t>
      </w:r>
      <w:r w:rsidRPr="003A2D41">
        <w:rPr>
          <w:rStyle w:val="st1"/>
          <w:i/>
          <w:lang w:val="en"/>
        </w:rPr>
        <w:t>International CA Risk Assessment Workshop</w:t>
      </w:r>
      <w:r>
        <w:rPr>
          <w:rStyle w:val="st1"/>
          <w:lang w:val="en"/>
        </w:rPr>
        <w:t>, 19-20 May 2015.</w:t>
      </w:r>
      <w:bookmarkEnd w:id="3"/>
      <w:bookmarkEnd w:id="9"/>
    </w:p>
    <w:p w14:paraId="51E2C63A" w14:textId="77777777" w:rsidR="000632A6" w:rsidRDefault="009737A6" w:rsidP="000632A6">
      <w:pPr>
        <w:pStyle w:val="ListParagraph"/>
        <w:numPr>
          <w:ilvl w:val="0"/>
          <w:numId w:val="27"/>
        </w:numPr>
        <w:ind w:left="90" w:hanging="90"/>
      </w:pPr>
      <w:bookmarkStart w:id="10" w:name="_Ref514676578"/>
      <w:r>
        <w:t xml:space="preserve">B.D. Tapley, B.E. Schutz, and G.H. Born, </w:t>
      </w:r>
      <w:r w:rsidRPr="000632A6">
        <w:rPr>
          <w:i/>
        </w:rPr>
        <w:t>Statistical Orbit Determination</w:t>
      </w:r>
      <w:r>
        <w:t>, Elsevier Academic Press, Burlington, MA, 2004.</w:t>
      </w:r>
      <w:bookmarkEnd w:id="10"/>
    </w:p>
    <w:p w14:paraId="3DBE4726" w14:textId="4C3897EC" w:rsidR="000632A6" w:rsidRDefault="004B3BBA" w:rsidP="000632A6">
      <w:pPr>
        <w:pStyle w:val="ListParagraph"/>
        <w:numPr>
          <w:ilvl w:val="0"/>
          <w:numId w:val="27"/>
        </w:numPr>
        <w:ind w:left="90" w:hanging="90"/>
      </w:pPr>
      <w:bookmarkStart w:id="11" w:name="_Ref514676675"/>
      <w:r>
        <w:t xml:space="preserve">D.A. </w:t>
      </w:r>
      <w:proofErr w:type="spellStart"/>
      <w:r>
        <w:t>Vallado</w:t>
      </w:r>
      <w:proofErr w:type="spellEnd"/>
      <w:r>
        <w:t xml:space="preserve">, </w:t>
      </w:r>
      <w:r w:rsidRPr="000632A6">
        <w:rPr>
          <w:i/>
        </w:rPr>
        <w:t>Fundamentals of Astrodynamics and Applications</w:t>
      </w:r>
      <w:r>
        <w:t>, 2</w:t>
      </w:r>
      <w:r w:rsidRPr="000632A6">
        <w:rPr>
          <w:vertAlign w:val="superscript"/>
        </w:rPr>
        <w:t>rd</w:t>
      </w:r>
      <w:r>
        <w:t xml:space="preserve"> ed., Microcosm Press, El Segundo CA, 2001.</w:t>
      </w:r>
      <w:bookmarkEnd w:id="11"/>
    </w:p>
    <w:p w14:paraId="32292921" w14:textId="723F3AB8" w:rsidR="00FE1B37" w:rsidRDefault="00B82A99" w:rsidP="000632A6">
      <w:pPr>
        <w:pStyle w:val="ListParagraph"/>
        <w:numPr>
          <w:ilvl w:val="0"/>
          <w:numId w:val="27"/>
        </w:numPr>
        <w:ind w:left="90" w:hanging="90"/>
      </w:pPr>
      <w:bookmarkStart w:id="12" w:name="_Ref6474369"/>
      <w:r>
        <w:t xml:space="preserve">D.J. Kessler, “Derivation of the Collision Probability between Orbiting Objects: The Lifetimes of Jupiter’s Outer Moons,” </w:t>
      </w:r>
      <w:r>
        <w:rPr>
          <w:i/>
        </w:rPr>
        <w:t>Icarus</w:t>
      </w:r>
      <w:r>
        <w:t>, Vol. 48, pp. 38-48, 1981.</w:t>
      </w:r>
      <w:bookmarkEnd w:id="12"/>
    </w:p>
    <w:p w14:paraId="7EBC959B" w14:textId="411CA564" w:rsidR="00B82A99" w:rsidRDefault="00725A10" w:rsidP="00E22685">
      <w:pPr>
        <w:pStyle w:val="ListParagraph"/>
        <w:numPr>
          <w:ilvl w:val="0"/>
          <w:numId w:val="27"/>
        </w:numPr>
        <w:ind w:left="90" w:hanging="90"/>
      </w:pPr>
      <w:bookmarkStart w:id="13" w:name="_Ref6479007"/>
      <w:r>
        <w:t xml:space="preserve">S. Alfano, “Relating Position Uncertainty to Maximum Conjunction Probability,” </w:t>
      </w:r>
      <w:r>
        <w:rPr>
          <w:i/>
        </w:rPr>
        <w:t>The Journal of the Astronautical Sciences</w:t>
      </w:r>
      <w:r>
        <w:t>, Vol. 53, pp. 193-205, 2005.</w:t>
      </w:r>
      <w:bookmarkEnd w:id="13"/>
    </w:p>
    <w:p w14:paraId="5C49A090" w14:textId="244A61C2" w:rsidR="00FC7A40" w:rsidRDefault="00E30FA8" w:rsidP="0073753D">
      <w:pPr>
        <w:pStyle w:val="ListParagraph"/>
        <w:numPr>
          <w:ilvl w:val="0"/>
          <w:numId w:val="27"/>
        </w:numPr>
        <w:ind w:left="90" w:hanging="90"/>
      </w:pPr>
      <w:bookmarkStart w:id="14" w:name="_Ref6564420"/>
      <w:r>
        <w:t xml:space="preserve">See </w:t>
      </w:r>
      <w:hyperlink r:id="rId12" w:history="1">
        <w:r w:rsidRPr="00B54B39">
          <w:rPr>
            <w:rStyle w:val="Hyperlink"/>
          </w:rPr>
          <w:t>https://www.nasa.gov/mission_pages/Grace/index.html</w:t>
        </w:r>
      </w:hyperlink>
      <w:r>
        <w:t xml:space="preserve"> for more information on the GRACE satellites.</w:t>
      </w:r>
      <w:bookmarkEnd w:id="14"/>
    </w:p>
    <w:sectPr w:rsidR="00FC7A40" w:rsidSect="009572CB">
      <w:footerReference w:type="even" r:id="rId13"/>
      <w:footerReference w:type="default" r:id="rId14"/>
      <w:footnotePr>
        <w:numFmt w:val="chicago"/>
        <w:numRestart w:val="eachPage"/>
      </w:footnotePr>
      <w:endnotePr>
        <w:numFmt w:val="decimal"/>
      </w:endnotePr>
      <w:pgSz w:w="12240" w:h="15840"/>
      <w:pgMar w:top="1080" w:right="1800" w:bottom="21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8F0D5" w14:textId="77777777" w:rsidR="0083235C" w:rsidRPr="00862E9E" w:rsidRDefault="0083235C" w:rsidP="00FE7C46">
      <w:pPr>
        <w:pStyle w:val="Section"/>
      </w:pPr>
      <w:r>
        <w:t>References</w:t>
      </w:r>
    </w:p>
  </w:endnote>
  <w:endnote w:type="continuationSeparator" w:id="0">
    <w:p w14:paraId="7ABC86CA" w14:textId="77777777" w:rsidR="0083235C" w:rsidRPr="008048E9" w:rsidRDefault="0083235C" w:rsidP="00FE7C46">
      <w:pPr>
        <w:pStyle w:val="Footer"/>
        <w:rPr>
          <w:sz w:val="2"/>
          <w:szCs w:val="2"/>
        </w:rPr>
      </w:pPr>
    </w:p>
  </w:endnote>
  <w:endnote w:type="continuationNotice" w:id="1">
    <w:p w14:paraId="6D968D07" w14:textId="77777777" w:rsidR="0083235C" w:rsidRDefault="00832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7613B" w14:textId="77777777" w:rsidR="00861611" w:rsidRDefault="00861611"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5A1D1A" w14:textId="77777777" w:rsidR="00861611" w:rsidRDefault="00861611" w:rsidP="00C34C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D581" w14:textId="1B383DE7" w:rsidR="00861611" w:rsidRDefault="00861611" w:rsidP="00957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B1761B2" w14:textId="77777777" w:rsidR="00861611" w:rsidRDefault="00861611" w:rsidP="00C34C9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B4267" w14:textId="77777777" w:rsidR="0083235C" w:rsidRDefault="0083235C" w:rsidP="002D5428">
      <w:r w:rsidRPr="002D5428">
        <w:separator/>
      </w:r>
    </w:p>
  </w:footnote>
  <w:footnote w:type="continuationSeparator" w:id="0">
    <w:p w14:paraId="75522588" w14:textId="77777777" w:rsidR="0083235C" w:rsidRDefault="0083235C" w:rsidP="00FE7C46">
      <w:r>
        <w:continuationSeparator/>
      </w:r>
    </w:p>
  </w:footnote>
  <w:footnote w:type="continuationNotice" w:id="1">
    <w:p w14:paraId="48F0570B" w14:textId="77777777" w:rsidR="0083235C" w:rsidRPr="00DD36A5" w:rsidRDefault="0083235C" w:rsidP="00FE7C46"/>
  </w:footnote>
  <w:footnote w:id="2">
    <w:p w14:paraId="2BBC9A42" w14:textId="56D4BC62" w:rsidR="00861611" w:rsidRDefault="00861611">
      <w:pPr>
        <w:pStyle w:val="FootnoteText"/>
      </w:pPr>
      <w:r>
        <w:rPr>
          <w:rStyle w:val="FootnoteReference"/>
        </w:rPr>
        <w:footnoteRef/>
      </w:r>
      <w:bookmarkStart w:id="0" w:name="_GoBack"/>
      <w:r w:rsidR="00C73FE0">
        <w:t>Senior Conjunction Assessment Research Scientist</w:t>
      </w:r>
      <w:bookmarkEnd w:id="0"/>
      <w:r>
        <w:t xml:space="preserve">, </w:t>
      </w:r>
      <w:proofErr w:type="spellStart"/>
      <w:r>
        <w:t>Omitron</w:t>
      </w:r>
      <w:proofErr w:type="spellEnd"/>
      <w:r>
        <w:t xml:space="preserve"> Inc., 555 E. Pikes Peak Ave, #205, Colorado Springs, CO  80903.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3A5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787D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E9A50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1D0A9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B004E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5FE22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6C90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1B0B80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3AAA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00FC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BEA0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375892"/>
    <w:multiLevelType w:val="hybridMultilevel"/>
    <w:tmpl w:val="31DC3D66"/>
    <w:lvl w:ilvl="0" w:tplc="B022815C">
      <w:start w:val="1"/>
      <w:numFmt w:val="decimal"/>
      <w:lvlText w:val="%1"/>
      <w:lvlJc w:val="lef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F50E2B"/>
    <w:multiLevelType w:val="multilevel"/>
    <w:tmpl w:val="D7F219AC"/>
    <w:lvl w:ilvl="0">
      <w:start w:val="1"/>
      <w:numFmt w:val="decimal"/>
      <w:lvlText w:val="(%1)"/>
      <w:lvlJc w:val="right"/>
      <w:pPr>
        <w:tabs>
          <w:tab w:val="num" w:pos="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C24712C"/>
    <w:multiLevelType w:val="hybridMultilevel"/>
    <w:tmpl w:val="F0F0EE0C"/>
    <w:lvl w:ilvl="0" w:tplc="43C441DA">
      <w:start w:val="1"/>
      <w:numFmt w:val="decimal"/>
      <w:lvlText w:val="%1"/>
      <w:lvlJc w:val="righ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A253FD"/>
    <w:multiLevelType w:val="hybridMultilevel"/>
    <w:tmpl w:val="99F8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2A1E13"/>
    <w:multiLevelType w:val="hybridMultilevel"/>
    <w:tmpl w:val="36D4E7B2"/>
    <w:lvl w:ilvl="0" w:tplc="52F868A6">
      <w:start w:val="1"/>
      <w:numFmt w:val="decimal"/>
      <w:lvlText w:val="(%1)"/>
      <w:lvlJc w:val="right"/>
      <w:pPr>
        <w:tabs>
          <w:tab w:val="num" w:pos="0"/>
        </w:tabs>
        <w:ind w:left="216" w:firstLine="8424"/>
      </w:pPr>
      <w:rPr>
        <w:rFonts w:hint="default"/>
      </w:rPr>
    </w:lvl>
    <w:lvl w:ilvl="1" w:tplc="216CA55C" w:tentative="1">
      <w:start w:val="1"/>
      <w:numFmt w:val="lowerLetter"/>
      <w:lvlText w:val="%2."/>
      <w:lvlJc w:val="left"/>
      <w:pPr>
        <w:tabs>
          <w:tab w:val="num" w:pos="1440"/>
        </w:tabs>
        <w:ind w:left="1440" w:hanging="360"/>
      </w:pPr>
    </w:lvl>
    <w:lvl w:ilvl="2" w:tplc="3E9083B2" w:tentative="1">
      <w:start w:val="1"/>
      <w:numFmt w:val="lowerRoman"/>
      <w:lvlText w:val="%3."/>
      <w:lvlJc w:val="right"/>
      <w:pPr>
        <w:tabs>
          <w:tab w:val="num" w:pos="2160"/>
        </w:tabs>
        <w:ind w:left="2160" w:hanging="180"/>
      </w:pPr>
    </w:lvl>
    <w:lvl w:ilvl="3" w:tplc="B2B07B6C" w:tentative="1">
      <w:start w:val="1"/>
      <w:numFmt w:val="decimal"/>
      <w:lvlText w:val="%4."/>
      <w:lvlJc w:val="left"/>
      <w:pPr>
        <w:tabs>
          <w:tab w:val="num" w:pos="2880"/>
        </w:tabs>
        <w:ind w:left="2880" w:hanging="360"/>
      </w:pPr>
    </w:lvl>
    <w:lvl w:ilvl="4" w:tplc="482065BE" w:tentative="1">
      <w:start w:val="1"/>
      <w:numFmt w:val="lowerLetter"/>
      <w:lvlText w:val="%5."/>
      <w:lvlJc w:val="left"/>
      <w:pPr>
        <w:tabs>
          <w:tab w:val="num" w:pos="3600"/>
        </w:tabs>
        <w:ind w:left="3600" w:hanging="360"/>
      </w:pPr>
    </w:lvl>
    <w:lvl w:ilvl="5" w:tplc="CABC36FA" w:tentative="1">
      <w:start w:val="1"/>
      <w:numFmt w:val="lowerRoman"/>
      <w:lvlText w:val="%6."/>
      <w:lvlJc w:val="right"/>
      <w:pPr>
        <w:tabs>
          <w:tab w:val="num" w:pos="4320"/>
        </w:tabs>
        <w:ind w:left="4320" w:hanging="180"/>
      </w:pPr>
    </w:lvl>
    <w:lvl w:ilvl="6" w:tplc="79320920" w:tentative="1">
      <w:start w:val="1"/>
      <w:numFmt w:val="decimal"/>
      <w:lvlText w:val="%7."/>
      <w:lvlJc w:val="left"/>
      <w:pPr>
        <w:tabs>
          <w:tab w:val="num" w:pos="5040"/>
        </w:tabs>
        <w:ind w:left="5040" w:hanging="360"/>
      </w:pPr>
    </w:lvl>
    <w:lvl w:ilvl="7" w:tplc="7786F34A" w:tentative="1">
      <w:start w:val="1"/>
      <w:numFmt w:val="lowerLetter"/>
      <w:lvlText w:val="%8."/>
      <w:lvlJc w:val="left"/>
      <w:pPr>
        <w:tabs>
          <w:tab w:val="num" w:pos="5760"/>
        </w:tabs>
        <w:ind w:left="5760" w:hanging="360"/>
      </w:pPr>
    </w:lvl>
    <w:lvl w:ilvl="8" w:tplc="0D6649D0" w:tentative="1">
      <w:start w:val="1"/>
      <w:numFmt w:val="lowerRoman"/>
      <w:lvlText w:val="%9."/>
      <w:lvlJc w:val="right"/>
      <w:pPr>
        <w:tabs>
          <w:tab w:val="num" w:pos="6480"/>
        </w:tabs>
        <w:ind w:left="6480" w:hanging="180"/>
      </w:pPr>
    </w:lvl>
  </w:abstractNum>
  <w:abstractNum w:abstractNumId="16" w15:restartNumberingAfterBreak="0">
    <w:nsid w:val="1DD77BA7"/>
    <w:multiLevelType w:val="hybridMultilevel"/>
    <w:tmpl w:val="36248B10"/>
    <w:lvl w:ilvl="0" w:tplc="C4C2B9B4">
      <w:start w:val="1"/>
      <w:numFmt w:val="decimal"/>
      <w:lvlText w:val="%1"/>
      <w:lvlJc w:val="center"/>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C24149"/>
    <w:multiLevelType w:val="hybridMultilevel"/>
    <w:tmpl w:val="DCD6B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497F82"/>
    <w:multiLevelType w:val="multilevel"/>
    <w:tmpl w:val="36D4E7B2"/>
    <w:lvl w:ilvl="0">
      <w:start w:val="1"/>
      <w:numFmt w:val="decimal"/>
      <w:lvlText w:val="(%1)"/>
      <w:lvlJc w:val="right"/>
      <w:pPr>
        <w:tabs>
          <w:tab w:val="num" w:pos="0"/>
        </w:tabs>
        <w:ind w:left="216" w:firstLine="842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DFD0698"/>
    <w:multiLevelType w:val="hybridMultilevel"/>
    <w:tmpl w:val="A43C15F6"/>
    <w:lvl w:ilvl="0" w:tplc="54DE22F6">
      <w:start w:val="1"/>
      <w:numFmt w:val="decimal"/>
      <w:lvlText w:val="%1"/>
      <w:lvlJc w:val="right"/>
      <w:pPr>
        <w:ind w:left="360" w:hanging="360"/>
      </w:pPr>
      <w:rPr>
        <w:rFonts w:hint="default"/>
        <w:spacing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22386B"/>
    <w:multiLevelType w:val="hybridMultilevel"/>
    <w:tmpl w:val="1FD47FFA"/>
    <w:lvl w:ilvl="0" w:tplc="744C2974">
      <w:start w:val="1"/>
      <w:numFmt w:val="decimal"/>
      <w:lvlText w:val="(%1)"/>
      <w:lvlJc w:val="right"/>
      <w:pPr>
        <w:tabs>
          <w:tab w:val="num" w:pos="1008"/>
        </w:tabs>
        <w:ind w:left="1008" w:hanging="360"/>
      </w:pPr>
      <w:rPr>
        <w:rFonts w:hint="default"/>
      </w:rPr>
    </w:lvl>
    <w:lvl w:ilvl="1" w:tplc="ABA20E7A" w:tentative="1">
      <w:start w:val="1"/>
      <w:numFmt w:val="lowerLetter"/>
      <w:lvlText w:val="%2."/>
      <w:lvlJc w:val="left"/>
      <w:pPr>
        <w:tabs>
          <w:tab w:val="num" w:pos="1440"/>
        </w:tabs>
        <w:ind w:left="1440" w:hanging="360"/>
      </w:pPr>
    </w:lvl>
    <w:lvl w:ilvl="2" w:tplc="AD74E8DC" w:tentative="1">
      <w:start w:val="1"/>
      <w:numFmt w:val="lowerRoman"/>
      <w:lvlText w:val="%3."/>
      <w:lvlJc w:val="right"/>
      <w:pPr>
        <w:tabs>
          <w:tab w:val="num" w:pos="2160"/>
        </w:tabs>
        <w:ind w:left="2160" w:hanging="180"/>
      </w:pPr>
    </w:lvl>
    <w:lvl w:ilvl="3" w:tplc="02A49F50" w:tentative="1">
      <w:start w:val="1"/>
      <w:numFmt w:val="decimal"/>
      <w:lvlText w:val="%4."/>
      <w:lvlJc w:val="left"/>
      <w:pPr>
        <w:tabs>
          <w:tab w:val="num" w:pos="2880"/>
        </w:tabs>
        <w:ind w:left="2880" w:hanging="360"/>
      </w:pPr>
    </w:lvl>
    <w:lvl w:ilvl="4" w:tplc="6D3400C2" w:tentative="1">
      <w:start w:val="1"/>
      <w:numFmt w:val="lowerLetter"/>
      <w:lvlText w:val="%5."/>
      <w:lvlJc w:val="left"/>
      <w:pPr>
        <w:tabs>
          <w:tab w:val="num" w:pos="3600"/>
        </w:tabs>
        <w:ind w:left="3600" w:hanging="360"/>
      </w:pPr>
    </w:lvl>
    <w:lvl w:ilvl="5" w:tplc="5A3C4D54" w:tentative="1">
      <w:start w:val="1"/>
      <w:numFmt w:val="lowerRoman"/>
      <w:lvlText w:val="%6."/>
      <w:lvlJc w:val="right"/>
      <w:pPr>
        <w:tabs>
          <w:tab w:val="num" w:pos="4320"/>
        </w:tabs>
        <w:ind w:left="4320" w:hanging="180"/>
      </w:pPr>
    </w:lvl>
    <w:lvl w:ilvl="6" w:tplc="EEC837BE" w:tentative="1">
      <w:start w:val="1"/>
      <w:numFmt w:val="decimal"/>
      <w:lvlText w:val="%7."/>
      <w:lvlJc w:val="left"/>
      <w:pPr>
        <w:tabs>
          <w:tab w:val="num" w:pos="5040"/>
        </w:tabs>
        <w:ind w:left="5040" w:hanging="360"/>
      </w:pPr>
    </w:lvl>
    <w:lvl w:ilvl="7" w:tplc="E67E2C6E" w:tentative="1">
      <w:start w:val="1"/>
      <w:numFmt w:val="lowerLetter"/>
      <w:lvlText w:val="%8."/>
      <w:lvlJc w:val="left"/>
      <w:pPr>
        <w:tabs>
          <w:tab w:val="num" w:pos="5760"/>
        </w:tabs>
        <w:ind w:left="5760" w:hanging="360"/>
      </w:pPr>
    </w:lvl>
    <w:lvl w:ilvl="8" w:tplc="C69E3A80" w:tentative="1">
      <w:start w:val="1"/>
      <w:numFmt w:val="lowerRoman"/>
      <w:lvlText w:val="%9."/>
      <w:lvlJc w:val="right"/>
      <w:pPr>
        <w:tabs>
          <w:tab w:val="num" w:pos="6480"/>
        </w:tabs>
        <w:ind w:left="6480" w:hanging="180"/>
      </w:pPr>
    </w:lvl>
  </w:abstractNum>
  <w:abstractNum w:abstractNumId="21" w15:restartNumberingAfterBreak="0">
    <w:nsid w:val="3A965D07"/>
    <w:multiLevelType w:val="hybridMultilevel"/>
    <w:tmpl w:val="1F402498"/>
    <w:lvl w:ilvl="0" w:tplc="32C667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B36F76"/>
    <w:multiLevelType w:val="hybridMultilevel"/>
    <w:tmpl w:val="0DFC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C6D21"/>
    <w:multiLevelType w:val="hybridMultilevel"/>
    <w:tmpl w:val="C00C388A"/>
    <w:lvl w:ilvl="0" w:tplc="D22EB5F8">
      <w:start w:val="1"/>
      <w:numFmt w:val="decimal"/>
      <w:lvlText w:val="%1."/>
      <w:lvlJc w:val="left"/>
      <w:pPr>
        <w:tabs>
          <w:tab w:val="num" w:pos="808"/>
        </w:tabs>
        <w:ind w:left="808" w:hanging="520"/>
      </w:pPr>
      <w:rPr>
        <w:rFonts w:hint="default"/>
      </w:rPr>
    </w:lvl>
    <w:lvl w:ilvl="1" w:tplc="6BCCE436" w:tentative="1">
      <w:start w:val="1"/>
      <w:numFmt w:val="lowerLetter"/>
      <w:lvlText w:val="%2."/>
      <w:lvlJc w:val="left"/>
      <w:pPr>
        <w:tabs>
          <w:tab w:val="num" w:pos="1368"/>
        </w:tabs>
        <w:ind w:left="1368" w:hanging="360"/>
      </w:pPr>
    </w:lvl>
    <w:lvl w:ilvl="2" w:tplc="AE963CB4" w:tentative="1">
      <w:start w:val="1"/>
      <w:numFmt w:val="lowerRoman"/>
      <w:lvlText w:val="%3."/>
      <w:lvlJc w:val="right"/>
      <w:pPr>
        <w:tabs>
          <w:tab w:val="num" w:pos="2088"/>
        </w:tabs>
        <w:ind w:left="2088" w:hanging="180"/>
      </w:pPr>
    </w:lvl>
    <w:lvl w:ilvl="3" w:tplc="521EB80E" w:tentative="1">
      <w:start w:val="1"/>
      <w:numFmt w:val="decimal"/>
      <w:lvlText w:val="%4."/>
      <w:lvlJc w:val="left"/>
      <w:pPr>
        <w:tabs>
          <w:tab w:val="num" w:pos="2808"/>
        </w:tabs>
        <w:ind w:left="2808" w:hanging="360"/>
      </w:pPr>
    </w:lvl>
    <w:lvl w:ilvl="4" w:tplc="7CFADE72" w:tentative="1">
      <w:start w:val="1"/>
      <w:numFmt w:val="lowerLetter"/>
      <w:lvlText w:val="%5."/>
      <w:lvlJc w:val="left"/>
      <w:pPr>
        <w:tabs>
          <w:tab w:val="num" w:pos="3528"/>
        </w:tabs>
        <w:ind w:left="3528" w:hanging="360"/>
      </w:pPr>
    </w:lvl>
    <w:lvl w:ilvl="5" w:tplc="3D66CAB2" w:tentative="1">
      <w:start w:val="1"/>
      <w:numFmt w:val="lowerRoman"/>
      <w:lvlText w:val="%6."/>
      <w:lvlJc w:val="right"/>
      <w:pPr>
        <w:tabs>
          <w:tab w:val="num" w:pos="4248"/>
        </w:tabs>
        <w:ind w:left="4248" w:hanging="180"/>
      </w:pPr>
    </w:lvl>
    <w:lvl w:ilvl="6" w:tplc="ADC637B8" w:tentative="1">
      <w:start w:val="1"/>
      <w:numFmt w:val="decimal"/>
      <w:lvlText w:val="%7."/>
      <w:lvlJc w:val="left"/>
      <w:pPr>
        <w:tabs>
          <w:tab w:val="num" w:pos="4968"/>
        </w:tabs>
        <w:ind w:left="4968" w:hanging="360"/>
      </w:pPr>
    </w:lvl>
    <w:lvl w:ilvl="7" w:tplc="DD405C08" w:tentative="1">
      <w:start w:val="1"/>
      <w:numFmt w:val="lowerLetter"/>
      <w:lvlText w:val="%8."/>
      <w:lvlJc w:val="left"/>
      <w:pPr>
        <w:tabs>
          <w:tab w:val="num" w:pos="5688"/>
        </w:tabs>
        <w:ind w:left="5688" w:hanging="360"/>
      </w:pPr>
    </w:lvl>
    <w:lvl w:ilvl="8" w:tplc="1BB41AEC" w:tentative="1">
      <w:start w:val="1"/>
      <w:numFmt w:val="lowerRoman"/>
      <w:lvlText w:val="%9."/>
      <w:lvlJc w:val="right"/>
      <w:pPr>
        <w:tabs>
          <w:tab w:val="num" w:pos="6408"/>
        </w:tabs>
        <w:ind w:left="6408" w:hanging="180"/>
      </w:pPr>
    </w:lvl>
  </w:abstractNum>
  <w:abstractNum w:abstractNumId="24" w15:restartNumberingAfterBreak="0">
    <w:nsid w:val="4E554AD7"/>
    <w:multiLevelType w:val="multilevel"/>
    <w:tmpl w:val="1FD47FFA"/>
    <w:lvl w:ilvl="0">
      <w:start w:val="1"/>
      <w:numFmt w:val="decimal"/>
      <w:lvlText w:val="(%1)"/>
      <w:lvlJc w:val="right"/>
      <w:pPr>
        <w:tabs>
          <w:tab w:val="num" w:pos="1008"/>
        </w:tabs>
        <w:ind w:left="100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4701EC4"/>
    <w:multiLevelType w:val="hybridMultilevel"/>
    <w:tmpl w:val="E4C62BC8"/>
    <w:lvl w:ilvl="0" w:tplc="E83026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A00F8"/>
    <w:multiLevelType w:val="hybridMultilevel"/>
    <w:tmpl w:val="9F5885AC"/>
    <w:lvl w:ilvl="0" w:tplc="43C441DA">
      <w:start w:val="1"/>
      <w:numFmt w:val="decimal"/>
      <w:lvlText w:val="%1"/>
      <w:lvlJc w:val="righ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0A3058"/>
    <w:multiLevelType w:val="hybridMultilevel"/>
    <w:tmpl w:val="A0C42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EE621C"/>
    <w:multiLevelType w:val="multilevel"/>
    <w:tmpl w:val="764CDFE0"/>
    <w:lvl w:ilvl="0">
      <w:start w:val="1"/>
      <w:numFmt w:val="decimal"/>
      <w:lvlText w:val="(%1)"/>
      <w:lvlJc w:val="right"/>
      <w:pPr>
        <w:tabs>
          <w:tab w:val="num" w:pos="-8640"/>
        </w:tabs>
        <w:ind w:left="1656" w:firstLine="69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4107AB7"/>
    <w:multiLevelType w:val="hybridMultilevel"/>
    <w:tmpl w:val="AA6A326A"/>
    <w:lvl w:ilvl="0" w:tplc="C8E2027A">
      <w:start w:val="1"/>
      <w:numFmt w:val="decimal"/>
      <w:lvlText w:val="%1"/>
      <w:lvlJc w:val="right"/>
      <w:pPr>
        <w:ind w:left="446" w:hanging="360"/>
      </w:pPr>
      <w:rPr>
        <w:rFonts w:hint="default"/>
        <w:vertAlign w:val="superscrip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0" w15:restartNumberingAfterBreak="0">
    <w:nsid w:val="673A5F97"/>
    <w:multiLevelType w:val="hybridMultilevel"/>
    <w:tmpl w:val="BAEA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944C3"/>
    <w:multiLevelType w:val="hybridMultilevel"/>
    <w:tmpl w:val="42CAA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3F3E7A"/>
    <w:multiLevelType w:val="hybridMultilevel"/>
    <w:tmpl w:val="155270E2"/>
    <w:lvl w:ilvl="0" w:tplc="C4C2B9B4">
      <w:start w:val="1"/>
      <w:numFmt w:val="decimal"/>
      <w:lvlText w:val="%1"/>
      <w:lvlJc w:val="center"/>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0B6CB9"/>
    <w:multiLevelType w:val="hybridMultilevel"/>
    <w:tmpl w:val="5776D354"/>
    <w:lvl w:ilvl="0" w:tplc="C8E2027A">
      <w:start w:val="1"/>
      <w:numFmt w:val="decimal"/>
      <w:lvlText w:val="%1"/>
      <w:lvlJc w:val="righ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E4577C"/>
    <w:multiLevelType w:val="hybridMultilevel"/>
    <w:tmpl w:val="4C188226"/>
    <w:lvl w:ilvl="0" w:tplc="B022815C">
      <w:start w:val="1"/>
      <w:numFmt w:val="decimal"/>
      <w:lvlText w:val="%1"/>
      <w:lvlJc w:val="left"/>
      <w:pPr>
        <w:ind w:left="360" w:hanging="360"/>
      </w:pPr>
      <w:rPr>
        <w:rFonts w:hint="default"/>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0"/>
  </w:num>
  <w:num w:numId="4">
    <w:abstractNumId w:val="8"/>
  </w:num>
  <w:num w:numId="5">
    <w:abstractNumId w:val="7"/>
  </w:num>
  <w:num w:numId="6">
    <w:abstractNumId w:val="6"/>
  </w:num>
  <w:num w:numId="7">
    <w:abstractNumId w:val="9"/>
  </w:num>
  <w:num w:numId="8">
    <w:abstractNumId w:val="4"/>
  </w:num>
  <w:num w:numId="9">
    <w:abstractNumId w:val="3"/>
  </w:num>
  <w:num w:numId="10">
    <w:abstractNumId w:val="2"/>
  </w:num>
  <w:num w:numId="11">
    <w:abstractNumId w:val="1"/>
  </w:num>
  <w:num w:numId="12">
    <w:abstractNumId w:val="20"/>
  </w:num>
  <w:num w:numId="13">
    <w:abstractNumId w:val="24"/>
  </w:num>
  <w:num w:numId="14">
    <w:abstractNumId w:val="15"/>
  </w:num>
  <w:num w:numId="15">
    <w:abstractNumId w:val="12"/>
  </w:num>
  <w:num w:numId="16">
    <w:abstractNumId w:val="28"/>
  </w:num>
  <w:num w:numId="17">
    <w:abstractNumId w:val="18"/>
  </w:num>
  <w:num w:numId="18">
    <w:abstractNumId w:val="23"/>
  </w:num>
  <w:num w:numId="19">
    <w:abstractNumId w:val="34"/>
  </w:num>
  <w:num w:numId="20">
    <w:abstractNumId w:val="16"/>
  </w:num>
  <w:num w:numId="21">
    <w:abstractNumId w:val="13"/>
  </w:num>
  <w:num w:numId="22">
    <w:abstractNumId w:val="11"/>
  </w:num>
  <w:num w:numId="23">
    <w:abstractNumId w:val="32"/>
  </w:num>
  <w:num w:numId="24">
    <w:abstractNumId w:val="19"/>
  </w:num>
  <w:num w:numId="25">
    <w:abstractNumId w:val="21"/>
  </w:num>
  <w:num w:numId="26">
    <w:abstractNumId w:val="26"/>
  </w:num>
  <w:num w:numId="27">
    <w:abstractNumId w:val="33"/>
  </w:num>
  <w:num w:numId="28">
    <w:abstractNumId w:val="17"/>
  </w:num>
  <w:num w:numId="29">
    <w:abstractNumId w:val="14"/>
  </w:num>
  <w:num w:numId="30">
    <w:abstractNumId w:val="29"/>
  </w:num>
  <w:num w:numId="31">
    <w:abstractNumId w:val="25"/>
  </w:num>
  <w:num w:numId="32">
    <w:abstractNumId w:val="27"/>
  </w:num>
  <w:num w:numId="33">
    <w:abstractNumId w:val="31"/>
  </w:num>
  <w:num w:numId="34">
    <w:abstractNumId w:val="2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noPunctuationKerning/>
  <w:characterSpacingControl w:val="doNotCompress"/>
  <w:footnotePr>
    <w:numFmt w:val="chicago"/>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70"/>
    <w:rsid w:val="0000020B"/>
    <w:rsid w:val="00000AD7"/>
    <w:rsid w:val="00000DD2"/>
    <w:rsid w:val="00001AF1"/>
    <w:rsid w:val="00001C1B"/>
    <w:rsid w:val="00001F5D"/>
    <w:rsid w:val="000020ED"/>
    <w:rsid w:val="00002521"/>
    <w:rsid w:val="00002704"/>
    <w:rsid w:val="00002C16"/>
    <w:rsid w:val="00002C6D"/>
    <w:rsid w:val="0000335E"/>
    <w:rsid w:val="00003529"/>
    <w:rsid w:val="000039A7"/>
    <w:rsid w:val="00003D3E"/>
    <w:rsid w:val="00004A34"/>
    <w:rsid w:val="00005FD9"/>
    <w:rsid w:val="00006013"/>
    <w:rsid w:val="00006E6F"/>
    <w:rsid w:val="00007579"/>
    <w:rsid w:val="000078AC"/>
    <w:rsid w:val="00007CB0"/>
    <w:rsid w:val="00007FFD"/>
    <w:rsid w:val="00010944"/>
    <w:rsid w:val="00010A88"/>
    <w:rsid w:val="00011295"/>
    <w:rsid w:val="000125D7"/>
    <w:rsid w:val="00012739"/>
    <w:rsid w:val="00013135"/>
    <w:rsid w:val="0001371E"/>
    <w:rsid w:val="00013980"/>
    <w:rsid w:val="000139BF"/>
    <w:rsid w:val="00014087"/>
    <w:rsid w:val="00014907"/>
    <w:rsid w:val="00014E87"/>
    <w:rsid w:val="00016645"/>
    <w:rsid w:val="00016A82"/>
    <w:rsid w:val="00017617"/>
    <w:rsid w:val="00017D7B"/>
    <w:rsid w:val="00020820"/>
    <w:rsid w:val="0002105F"/>
    <w:rsid w:val="0002143F"/>
    <w:rsid w:val="00021818"/>
    <w:rsid w:val="00021C70"/>
    <w:rsid w:val="00021D3B"/>
    <w:rsid w:val="000221D1"/>
    <w:rsid w:val="000226B2"/>
    <w:rsid w:val="000235F7"/>
    <w:rsid w:val="00023A44"/>
    <w:rsid w:val="000250E2"/>
    <w:rsid w:val="000258AD"/>
    <w:rsid w:val="00025DE8"/>
    <w:rsid w:val="000261F2"/>
    <w:rsid w:val="000262AE"/>
    <w:rsid w:val="00027AC2"/>
    <w:rsid w:val="00030B20"/>
    <w:rsid w:val="00031AA3"/>
    <w:rsid w:val="00032AA5"/>
    <w:rsid w:val="00032AD4"/>
    <w:rsid w:val="00032EA0"/>
    <w:rsid w:val="000335F0"/>
    <w:rsid w:val="00033805"/>
    <w:rsid w:val="000348F9"/>
    <w:rsid w:val="00034F72"/>
    <w:rsid w:val="00035268"/>
    <w:rsid w:val="00035BF1"/>
    <w:rsid w:val="00035DB5"/>
    <w:rsid w:val="00036F39"/>
    <w:rsid w:val="00036F80"/>
    <w:rsid w:val="0003714D"/>
    <w:rsid w:val="000374B9"/>
    <w:rsid w:val="0003791A"/>
    <w:rsid w:val="0004018A"/>
    <w:rsid w:val="0004063A"/>
    <w:rsid w:val="000407CB"/>
    <w:rsid w:val="00040BDB"/>
    <w:rsid w:val="00041440"/>
    <w:rsid w:val="000419FC"/>
    <w:rsid w:val="0004232E"/>
    <w:rsid w:val="000428A5"/>
    <w:rsid w:val="00043ABB"/>
    <w:rsid w:val="00043E73"/>
    <w:rsid w:val="00043F60"/>
    <w:rsid w:val="00044889"/>
    <w:rsid w:val="00045469"/>
    <w:rsid w:val="00045488"/>
    <w:rsid w:val="00045E48"/>
    <w:rsid w:val="00046F0A"/>
    <w:rsid w:val="0004765B"/>
    <w:rsid w:val="000476EB"/>
    <w:rsid w:val="000479D0"/>
    <w:rsid w:val="0005023A"/>
    <w:rsid w:val="00050AE9"/>
    <w:rsid w:val="000511FB"/>
    <w:rsid w:val="00051A4B"/>
    <w:rsid w:val="00051DC4"/>
    <w:rsid w:val="00052666"/>
    <w:rsid w:val="0005283A"/>
    <w:rsid w:val="000529FD"/>
    <w:rsid w:val="00052F2A"/>
    <w:rsid w:val="00052FD9"/>
    <w:rsid w:val="00053E90"/>
    <w:rsid w:val="000541CC"/>
    <w:rsid w:val="000541D8"/>
    <w:rsid w:val="0005469A"/>
    <w:rsid w:val="00054C9C"/>
    <w:rsid w:val="00054D5D"/>
    <w:rsid w:val="00054D9D"/>
    <w:rsid w:val="00056D5A"/>
    <w:rsid w:val="000572A2"/>
    <w:rsid w:val="000574A3"/>
    <w:rsid w:val="00057AEB"/>
    <w:rsid w:val="00060457"/>
    <w:rsid w:val="00060715"/>
    <w:rsid w:val="00061165"/>
    <w:rsid w:val="000615F5"/>
    <w:rsid w:val="000619B2"/>
    <w:rsid w:val="00062875"/>
    <w:rsid w:val="00063277"/>
    <w:rsid w:val="000632A6"/>
    <w:rsid w:val="000633B6"/>
    <w:rsid w:val="00063745"/>
    <w:rsid w:val="00063EBD"/>
    <w:rsid w:val="00065E16"/>
    <w:rsid w:val="00066001"/>
    <w:rsid w:val="0006619D"/>
    <w:rsid w:val="00066AE8"/>
    <w:rsid w:val="00066BB7"/>
    <w:rsid w:val="00066DE0"/>
    <w:rsid w:val="000675F1"/>
    <w:rsid w:val="00067BC9"/>
    <w:rsid w:val="000704DE"/>
    <w:rsid w:val="0007102E"/>
    <w:rsid w:val="00072098"/>
    <w:rsid w:val="00072231"/>
    <w:rsid w:val="000724DA"/>
    <w:rsid w:val="00072D11"/>
    <w:rsid w:val="00072DAA"/>
    <w:rsid w:val="00072E31"/>
    <w:rsid w:val="00073275"/>
    <w:rsid w:val="00074CF6"/>
    <w:rsid w:val="00075C7C"/>
    <w:rsid w:val="00076046"/>
    <w:rsid w:val="000766A0"/>
    <w:rsid w:val="00076872"/>
    <w:rsid w:val="00077141"/>
    <w:rsid w:val="00077660"/>
    <w:rsid w:val="0007776B"/>
    <w:rsid w:val="00077CD9"/>
    <w:rsid w:val="000801CB"/>
    <w:rsid w:val="00080222"/>
    <w:rsid w:val="00080C61"/>
    <w:rsid w:val="000811A5"/>
    <w:rsid w:val="00081892"/>
    <w:rsid w:val="00081D69"/>
    <w:rsid w:val="00082C81"/>
    <w:rsid w:val="00083668"/>
    <w:rsid w:val="0008391A"/>
    <w:rsid w:val="000839E9"/>
    <w:rsid w:val="00084078"/>
    <w:rsid w:val="0008479D"/>
    <w:rsid w:val="00085378"/>
    <w:rsid w:val="000863C4"/>
    <w:rsid w:val="0008726B"/>
    <w:rsid w:val="00087B15"/>
    <w:rsid w:val="00087FAF"/>
    <w:rsid w:val="000907A9"/>
    <w:rsid w:val="00090824"/>
    <w:rsid w:val="00091947"/>
    <w:rsid w:val="00091CE5"/>
    <w:rsid w:val="00092D03"/>
    <w:rsid w:val="000932B5"/>
    <w:rsid w:val="0009405B"/>
    <w:rsid w:val="000944B5"/>
    <w:rsid w:val="000946CD"/>
    <w:rsid w:val="00094B27"/>
    <w:rsid w:val="00095B81"/>
    <w:rsid w:val="00096415"/>
    <w:rsid w:val="00096506"/>
    <w:rsid w:val="000967EC"/>
    <w:rsid w:val="000967F7"/>
    <w:rsid w:val="00096E0A"/>
    <w:rsid w:val="000979C6"/>
    <w:rsid w:val="00097D9D"/>
    <w:rsid w:val="00097DED"/>
    <w:rsid w:val="00097E51"/>
    <w:rsid w:val="00097FB8"/>
    <w:rsid w:val="000A0AA0"/>
    <w:rsid w:val="000A1807"/>
    <w:rsid w:val="000A189B"/>
    <w:rsid w:val="000A219E"/>
    <w:rsid w:val="000A2233"/>
    <w:rsid w:val="000A2587"/>
    <w:rsid w:val="000A40A5"/>
    <w:rsid w:val="000A40F5"/>
    <w:rsid w:val="000A4342"/>
    <w:rsid w:val="000A4C71"/>
    <w:rsid w:val="000A53AC"/>
    <w:rsid w:val="000A6DEC"/>
    <w:rsid w:val="000A7DCD"/>
    <w:rsid w:val="000A7FEC"/>
    <w:rsid w:val="000B0932"/>
    <w:rsid w:val="000B1110"/>
    <w:rsid w:val="000B1208"/>
    <w:rsid w:val="000B194E"/>
    <w:rsid w:val="000B2220"/>
    <w:rsid w:val="000B240B"/>
    <w:rsid w:val="000B25A3"/>
    <w:rsid w:val="000B2829"/>
    <w:rsid w:val="000B3570"/>
    <w:rsid w:val="000B3B5E"/>
    <w:rsid w:val="000B3E4B"/>
    <w:rsid w:val="000B3E5F"/>
    <w:rsid w:val="000B4283"/>
    <w:rsid w:val="000B499A"/>
    <w:rsid w:val="000B59DF"/>
    <w:rsid w:val="000B65F4"/>
    <w:rsid w:val="000B6DD1"/>
    <w:rsid w:val="000B7528"/>
    <w:rsid w:val="000B78DA"/>
    <w:rsid w:val="000B79A3"/>
    <w:rsid w:val="000B7A30"/>
    <w:rsid w:val="000C007C"/>
    <w:rsid w:val="000C046A"/>
    <w:rsid w:val="000C0A47"/>
    <w:rsid w:val="000C0CCC"/>
    <w:rsid w:val="000C17F1"/>
    <w:rsid w:val="000C3613"/>
    <w:rsid w:val="000C36B5"/>
    <w:rsid w:val="000C3DC1"/>
    <w:rsid w:val="000C3FE6"/>
    <w:rsid w:val="000C41C8"/>
    <w:rsid w:val="000C5283"/>
    <w:rsid w:val="000C5910"/>
    <w:rsid w:val="000C61B1"/>
    <w:rsid w:val="000C6618"/>
    <w:rsid w:val="000C752D"/>
    <w:rsid w:val="000D01AF"/>
    <w:rsid w:val="000D057B"/>
    <w:rsid w:val="000D0FBE"/>
    <w:rsid w:val="000D20DF"/>
    <w:rsid w:val="000D22EC"/>
    <w:rsid w:val="000D23B1"/>
    <w:rsid w:val="000D2654"/>
    <w:rsid w:val="000D288D"/>
    <w:rsid w:val="000D2B13"/>
    <w:rsid w:val="000D39B9"/>
    <w:rsid w:val="000D3BD7"/>
    <w:rsid w:val="000D4296"/>
    <w:rsid w:val="000D45EC"/>
    <w:rsid w:val="000D47F6"/>
    <w:rsid w:val="000D4C26"/>
    <w:rsid w:val="000D5871"/>
    <w:rsid w:val="000D6125"/>
    <w:rsid w:val="000D7EC1"/>
    <w:rsid w:val="000E0A20"/>
    <w:rsid w:val="000E0AD9"/>
    <w:rsid w:val="000E3175"/>
    <w:rsid w:val="000E398D"/>
    <w:rsid w:val="000E3D74"/>
    <w:rsid w:val="000E4318"/>
    <w:rsid w:val="000E4BB8"/>
    <w:rsid w:val="000E5F61"/>
    <w:rsid w:val="000E6070"/>
    <w:rsid w:val="000E6077"/>
    <w:rsid w:val="000E7148"/>
    <w:rsid w:val="000E7388"/>
    <w:rsid w:val="000E7670"/>
    <w:rsid w:val="000E7D41"/>
    <w:rsid w:val="000F161E"/>
    <w:rsid w:val="000F1F9E"/>
    <w:rsid w:val="000F26EE"/>
    <w:rsid w:val="000F2A13"/>
    <w:rsid w:val="000F2F44"/>
    <w:rsid w:val="000F3E1F"/>
    <w:rsid w:val="000F412F"/>
    <w:rsid w:val="000F4871"/>
    <w:rsid w:val="000F5CB0"/>
    <w:rsid w:val="000F69E9"/>
    <w:rsid w:val="0010067B"/>
    <w:rsid w:val="001007DC"/>
    <w:rsid w:val="001016DF"/>
    <w:rsid w:val="00103D46"/>
    <w:rsid w:val="001042DE"/>
    <w:rsid w:val="0010457B"/>
    <w:rsid w:val="00104A4A"/>
    <w:rsid w:val="0010517C"/>
    <w:rsid w:val="001054F8"/>
    <w:rsid w:val="00105AC3"/>
    <w:rsid w:val="0010639B"/>
    <w:rsid w:val="001101E0"/>
    <w:rsid w:val="00110212"/>
    <w:rsid w:val="00111494"/>
    <w:rsid w:val="00111504"/>
    <w:rsid w:val="00111C2F"/>
    <w:rsid w:val="00112CEE"/>
    <w:rsid w:val="00113528"/>
    <w:rsid w:val="00114911"/>
    <w:rsid w:val="0011567A"/>
    <w:rsid w:val="001159B9"/>
    <w:rsid w:val="00116B7B"/>
    <w:rsid w:val="0011788F"/>
    <w:rsid w:val="00121905"/>
    <w:rsid w:val="00121C01"/>
    <w:rsid w:val="00121DCB"/>
    <w:rsid w:val="0012271E"/>
    <w:rsid w:val="00122BF5"/>
    <w:rsid w:val="00122D65"/>
    <w:rsid w:val="00123705"/>
    <w:rsid w:val="00123734"/>
    <w:rsid w:val="00123A7D"/>
    <w:rsid w:val="00123E4B"/>
    <w:rsid w:val="00124151"/>
    <w:rsid w:val="0012449F"/>
    <w:rsid w:val="00124BD8"/>
    <w:rsid w:val="001251BD"/>
    <w:rsid w:val="0012548A"/>
    <w:rsid w:val="00125B21"/>
    <w:rsid w:val="001260F4"/>
    <w:rsid w:val="0012713E"/>
    <w:rsid w:val="001277F8"/>
    <w:rsid w:val="00130FE5"/>
    <w:rsid w:val="0013191C"/>
    <w:rsid w:val="00131CE4"/>
    <w:rsid w:val="00131ED7"/>
    <w:rsid w:val="001335DA"/>
    <w:rsid w:val="001336BC"/>
    <w:rsid w:val="00133841"/>
    <w:rsid w:val="0013388D"/>
    <w:rsid w:val="00134238"/>
    <w:rsid w:val="001357C3"/>
    <w:rsid w:val="00135D55"/>
    <w:rsid w:val="00136C29"/>
    <w:rsid w:val="00137D51"/>
    <w:rsid w:val="00140ABC"/>
    <w:rsid w:val="00140B51"/>
    <w:rsid w:val="00141ABE"/>
    <w:rsid w:val="00141F41"/>
    <w:rsid w:val="00141FE5"/>
    <w:rsid w:val="00142855"/>
    <w:rsid w:val="00142B3F"/>
    <w:rsid w:val="00142E81"/>
    <w:rsid w:val="001438D9"/>
    <w:rsid w:val="00143979"/>
    <w:rsid w:val="0014460E"/>
    <w:rsid w:val="00144664"/>
    <w:rsid w:val="0014520F"/>
    <w:rsid w:val="001452B3"/>
    <w:rsid w:val="001454EF"/>
    <w:rsid w:val="00145A34"/>
    <w:rsid w:val="00146FD1"/>
    <w:rsid w:val="001476C3"/>
    <w:rsid w:val="00147AE6"/>
    <w:rsid w:val="00150E23"/>
    <w:rsid w:val="00152427"/>
    <w:rsid w:val="001524AE"/>
    <w:rsid w:val="00152AD4"/>
    <w:rsid w:val="001532DD"/>
    <w:rsid w:val="00153B61"/>
    <w:rsid w:val="00153C6C"/>
    <w:rsid w:val="00153D2F"/>
    <w:rsid w:val="0015419D"/>
    <w:rsid w:val="00154476"/>
    <w:rsid w:val="001566F4"/>
    <w:rsid w:val="00160703"/>
    <w:rsid w:val="00160CCB"/>
    <w:rsid w:val="0016150E"/>
    <w:rsid w:val="001616C3"/>
    <w:rsid w:val="00161877"/>
    <w:rsid w:val="0016269D"/>
    <w:rsid w:val="00162BDA"/>
    <w:rsid w:val="001637D1"/>
    <w:rsid w:val="00163B5A"/>
    <w:rsid w:val="00164306"/>
    <w:rsid w:val="001647ED"/>
    <w:rsid w:val="00164ACB"/>
    <w:rsid w:val="00165F02"/>
    <w:rsid w:val="001666C2"/>
    <w:rsid w:val="00166868"/>
    <w:rsid w:val="00166F9E"/>
    <w:rsid w:val="00167243"/>
    <w:rsid w:val="00167691"/>
    <w:rsid w:val="001704BB"/>
    <w:rsid w:val="001707A6"/>
    <w:rsid w:val="00170890"/>
    <w:rsid w:val="001725C7"/>
    <w:rsid w:val="00173BC9"/>
    <w:rsid w:val="00173D24"/>
    <w:rsid w:val="001758B4"/>
    <w:rsid w:val="00175B66"/>
    <w:rsid w:val="00175D2B"/>
    <w:rsid w:val="001760D1"/>
    <w:rsid w:val="001763BA"/>
    <w:rsid w:val="00176BBD"/>
    <w:rsid w:val="00176E33"/>
    <w:rsid w:val="00176ED8"/>
    <w:rsid w:val="00177E37"/>
    <w:rsid w:val="00180A48"/>
    <w:rsid w:val="00180EEC"/>
    <w:rsid w:val="0018113A"/>
    <w:rsid w:val="0018175E"/>
    <w:rsid w:val="00183382"/>
    <w:rsid w:val="00183B85"/>
    <w:rsid w:val="00184C05"/>
    <w:rsid w:val="00185973"/>
    <w:rsid w:val="00186D0C"/>
    <w:rsid w:val="00186D48"/>
    <w:rsid w:val="001877A0"/>
    <w:rsid w:val="00190EA1"/>
    <w:rsid w:val="00190F01"/>
    <w:rsid w:val="00190F76"/>
    <w:rsid w:val="00190F98"/>
    <w:rsid w:val="00191267"/>
    <w:rsid w:val="00191705"/>
    <w:rsid w:val="0019467B"/>
    <w:rsid w:val="001946ED"/>
    <w:rsid w:val="0019527D"/>
    <w:rsid w:val="001955F0"/>
    <w:rsid w:val="00195F41"/>
    <w:rsid w:val="0019620E"/>
    <w:rsid w:val="00196F2B"/>
    <w:rsid w:val="001973BB"/>
    <w:rsid w:val="00197A08"/>
    <w:rsid w:val="001A07FD"/>
    <w:rsid w:val="001A205C"/>
    <w:rsid w:val="001A24B1"/>
    <w:rsid w:val="001A2C35"/>
    <w:rsid w:val="001A49B2"/>
    <w:rsid w:val="001A78DC"/>
    <w:rsid w:val="001A7916"/>
    <w:rsid w:val="001B0783"/>
    <w:rsid w:val="001B11C5"/>
    <w:rsid w:val="001B1C85"/>
    <w:rsid w:val="001B23F0"/>
    <w:rsid w:val="001B2432"/>
    <w:rsid w:val="001B2AB2"/>
    <w:rsid w:val="001B33A0"/>
    <w:rsid w:val="001B3707"/>
    <w:rsid w:val="001B39A9"/>
    <w:rsid w:val="001B5327"/>
    <w:rsid w:val="001B56B8"/>
    <w:rsid w:val="001B6482"/>
    <w:rsid w:val="001B68E2"/>
    <w:rsid w:val="001B7071"/>
    <w:rsid w:val="001B779D"/>
    <w:rsid w:val="001B7D11"/>
    <w:rsid w:val="001C026B"/>
    <w:rsid w:val="001C11DF"/>
    <w:rsid w:val="001C126F"/>
    <w:rsid w:val="001C19A3"/>
    <w:rsid w:val="001C2591"/>
    <w:rsid w:val="001C26ED"/>
    <w:rsid w:val="001C311B"/>
    <w:rsid w:val="001C3639"/>
    <w:rsid w:val="001C3931"/>
    <w:rsid w:val="001C4CB0"/>
    <w:rsid w:val="001C539A"/>
    <w:rsid w:val="001C6493"/>
    <w:rsid w:val="001C663B"/>
    <w:rsid w:val="001C6AE2"/>
    <w:rsid w:val="001D011A"/>
    <w:rsid w:val="001D0604"/>
    <w:rsid w:val="001D16BA"/>
    <w:rsid w:val="001D2384"/>
    <w:rsid w:val="001D26DB"/>
    <w:rsid w:val="001D2894"/>
    <w:rsid w:val="001D28C5"/>
    <w:rsid w:val="001D2F8E"/>
    <w:rsid w:val="001D3A01"/>
    <w:rsid w:val="001D446F"/>
    <w:rsid w:val="001D5C62"/>
    <w:rsid w:val="001D62A0"/>
    <w:rsid w:val="001D62F7"/>
    <w:rsid w:val="001D6791"/>
    <w:rsid w:val="001D720B"/>
    <w:rsid w:val="001D74C6"/>
    <w:rsid w:val="001E0066"/>
    <w:rsid w:val="001E022C"/>
    <w:rsid w:val="001E1689"/>
    <w:rsid w:val="001E18AB"/>
    <w:rsid w:val="001E1E3C"/>
    <w:rsid w:val="001E277D"/>
    <w:rsid w:val="001E3109"/>
    <w:rsid w:val="001E3315"/>
    <w:rsid w:val="001E383A"/>
    <w:rsid w:val="001E3F5F"/>
    <w:rsid w:val="001E41EF"/>
    <w:rsid w:val="001E47EA"/>
    <w:rsid w:val="001E4D25"/>
    <w:rsid w:val="001E4DD3"/>
    <w:rsid w:val="001E4F38"/>
    <w:rsid w:val="001E5099"/>
    <w:rsid w:val="001E51DD"/>
    <w:rsid w:val="001E59A7"/>
    <w:rsid w:val="001E5BD9"/>
    <w:rsid w:val="001E66FB"/>
    <w:rsid w:val="001E6AED"/>
    <w:rsid w:val="001E70DE"/>
    <w:rsid w:val="001E7409"/>
    <w:rsid w:val="001E7B84"/>
    <w:rsid w:val="001F0A47"/>
    <w:rsid w:val="001F0DC0"/>
    <w:rsid w:val="001F11DC"/>
    <w:rsid w:val="001F1370"/>
    <w:rsid w:val="001F3084"/>
    <w:rsid w:val="001F309B"/>
    <w:rsid w:val="001F33BC"/>
    <w:rsid w:val="001F374C"/>
    <w:rsid w:val="001F41CB"/>
    <w:rsid w:val="001F4207"/>
    <w:rsid w:val="001F4270"/>
    <w:rsid w:val="001F46CA"/>
    <w:rsid w:val="001F4C93"/>
    <w:rsid w:val="001F4DF0"/>
    <w:rsid w:val="001F4E3D"/>
    <w:rsid w:val="001F4E6B"/>
    <w:rsid w:val="001F5108"/>
    <w:rsid w:val="001F5292"/>
    <w:rsid w:val="001F561D"/>
    <w:rsid w:val="001F6AF4"/>
    <w:rsid w:val="001F6B40"/>
    <w:rsid w:val="001F6F83"/>
    <w:rsid w:val="001F7493"/>
    <w:rsid w:val="001F7C81"/>
    <w:rsid w:val="00200057"/>
    <w:rsid w:val="00200068"/>
    <w:rsid w:val="00200311"/>
    <w:rsid w:val="002004B7"/>
    <w:rsid w:val="00200505"/>
    <w:rsid w:val="0020081D"/>
    <w:rsid w:val="00200D93"/>
    <w:rsid w:val="00200E2E"/>
    <w:rsid w:val="0020148D"/>
    <w:rsid w:val="002014D8"/>
    <w:rsid w:val="00202184"/>
    <w:rsid w:val="00203206"/>
    <w:rsid w:val="002042BB"/>
    <w:rsid w:val="002044BB"/>
    <w:rsid w:val="00205868"/>
    <w:rsid w:val="00205E98"/>
    <w:rsid w:val="0020672B"/>
    <w:rsid w:val="002071AA"/>
    <w:rsid w:val="00210A57"/>
    <w:rsid w:val="00211C2E"/>
    <w:rsid w:val="00211F29"/>
    <w:rsid w:val="00212911"/>
    <w:rsid w:val="00213E33"/>
    <w:rsid w:val="00215A2A"/>
    <w:rsid w:val="00216BF3"/>
    <w:rsid w:val="00216EA9"/>
    <w:rsid w:val="00217A41"/>
    <w:rsid w:val="00217BA6"/>
    <w:rsid w:val="002215E5"/>
    <w:rsid w:val="00221DDA"/>
    <w:rsid w:val="00222198"/>
    <w:rsid w:val="0022238E"/>
    <w:rsid w:val="0022274C"/>
    <w:rsid w:val="002232B1"/>
    <w:rsid w:val="00223357"/>
    <w:rsid w:val="00223904"/>
    <w:rsid w:val="0022392F"/>
    <w:rsid w:val="002242FC"/>
    <w:rsid w:val="002259A0"/>
    <w:rsid w:val="00225FA6"/>
    <w:rsid w:val="002272C5"/>
    <w:rsid w:val="00227887"/>
    <w:rsid w:val="002303F1"/>
    <w:rsid w:val="0023085D"/>
    <w:rsid w:val="00231375"/>
    <w:rsid w:val="00231464"/>
    <w:rsid w:val="00231715"/>
    <w:rsid w:val="00231B11"/>
    <w:rsid w:val="00231C4E"/>
    <w:rsid w:val="0023283F"/>
    <w:rsid w:val="00232998"/>
    <w:rsid w:val="00233100"/>
    <w:rsid w:val="0023351F"/>
    <w:rsid w:val="00233B88"/>
    <w:rsid w:val="00234F17"/>
    <w:rsid w:val="00235538"/>
    <w:rsid w:val="00235764"/>
    <w:rsid w:val="00235B42"/>
    <w:rsid w:val="002361A5"/>
    <w:rsid w:val="00236379"/>
    <w:rsid w:val="00236424"/>
    <w:rsid w:val="00236BD3"/>
    <w:rsid w:val="00237427"/>
    <w:rsid w:val="00237B17"/>
    <w:rsid w:val="00237B34"/>
    <w:rsid w:val="0024059E"/>
    <w:rsid w:val="002419F0"/>
    <w:rsid w:val="002433CF"/>
    <w:rsid w:val="00244314"/>
    <w:rsid w:val="002444DF"/>
    <w:rsid w:val="002450FD"/>
    <w:rsid w:val="00245C89"/>
    <w:rsid w:val="0024728E"/>
    <w:rsid w:val="0024742C"/>
    <w:rsid w:val="0024776F"/>
    <w:rsid w:val="00247A0A"/>
    <w:rsid w:val="002504E9"/>
    <w:rsid w:val="00251791"/>
    <w:rsid w:val="0025232A"/>
    <w:rsid w:val="0025323B"/>
    <w:rsid w:val="002544F9"/>
    <w:rsid w:val="002546C7"/>
    <w:rsid w:val="002546E1"/>
    <w:rsid w:val="00254EAC"/>
    <w:rsid w:val="00255B8F"/>
    <w:rsid w:val="00255C7B"/>
    <w:rsid w:val="00255CCF"/>
    <w:rsid w:val="00256F5A"/>
    <w:rsid w:val="00257232"/>
    <w:rsid w:val="0025749F"/>
    <w:rsid w:val="00257BFA"/>
    <w:rsid w:val="00260150"/>
    <w:rsid w:val="00260595"/>
    <w:rsid w:val="00260FC6"/>
    <w:rsid w:val="0026106C"/>
    <w:rsid w:val="00261E24"/>
    <w:rsid w:val="00261F30"/>
    <w:rsid w:val="00262BEF"/>
    <w:rsid w:val="002632B4"/>
    <w:rsid w:val="00263CD5"/>
    <w:rsid w:val="00264AD3"/>
    <w:rsid w:val="00264F95"/>
    <w:rsid w:val="00265DC1"/>
    <w:rsid w:val="002669F4"/>
    <w:rsid w:val="00266E18"/>
    <w:rsid w:val="00270C97"/>
    <w:rsid w:val="00271B5B"/>
    <w:rsid w:val="00271F98"/>
    <w:rsid w:val="00272398"/>
    <w:rsid w:val="0027287E"/>
    <w:rsid w:val="002734F5"/>
    <w:rsid w:val="00273B7E"/>
    <w:rsid w:val="002743DD"/>
    <w:rsid w:val="00274BC7"/>
    <w:rsid w:val="002758C3"/>
    <w:rsid w:val="00275FC7"/>
    <w:rsid w:val="002770D7"/>
    <w:rsid w:val="002771FF"/>
    <w:rsid w:val="00277667"/>
    <w:rsid w:val="00277A28"/>
    <w:rsid w:val="00277C30"/>
    <w:rsid w:val="00277FDD"/>
    <w:rsid w:val="00280349"/>
    <w:rsid w:val="00280B69"/>
    <w:rsid w:val="00280E69"/>
    <w:rsid w:val="00281423"/>
    <w:rsid w:val="00281546"/>
    <w:rsid w:val="00281C03"/>
    <w:rsid w:val="002823D5"/>
    <w:rsid w:val="002839B8"/>
    <w:rsid w:val="00284192"/>
    <w:rsid w:val="002862ED"/>
    <w:rsid w:val="00286850"/>
    <w:rsid w:val="00287486"/>
    <w:rsid w:val="002900DD"/>
    <w:rsid w:val="00290662"/>
    <w:rsid w:val="00290AFC"/>
    <w:rsid w:val="00290F9C"/>
    <w:rsid w:val="00291395"/>
    <w:rsid w:val="00292113"/>
    <w:rsid w:val="00292C33"/>
    <w:rsid w:val="002932A0"/>
    <w:rsid w:val="00293B70"/>
    <w:rsid w:val="00296487"/>
    <w:rsid w:val="002965C4"/>
    <w:rsid w:val="0029696D"/>
    <w:rsid w:val="00296BC3"/>
    <w:rsid w:val="00296C32"/>
    <w:rsid w:val="00296CEE"/>
    <w:rsid w:val="002974CE"/>
    <w:rsid w:val="0029786D"/>
    <w:rsid w:val="002A0F5B"/>
    <w:rsid w:val="002A1BD7"/>
    <w:rsid w:val="002A30AF"/>
    <w:rsid w:val="002A3685"/>
    <w:rsid w:val="002A3871"/>
    <w:rsid w:val="002A47EB"/>
    <w:rsid w:val="002A480B"/>
    <w:rsid w:val="002A4F28"/>
    <w:rsid w:val="002A538F"/>
    <w:rsid w:val="002A57B7"/>
    <w:rsid w:val="002A5ED9"/>
    <w:rsid w:val="002A6C5D"/>
    <w:rsid w:val="002A772D"/>
    <w:rsid w:val="002B0943"/>
    <w:rsid w:val="002B0D17"/>
    <w:rsid w:val="002B0EC3"/>
    <w:rsid w:val="002B115F"/>
    <w:rsid w:val="002B123A"/>
    <w:rsid w:val="002B1734"/>
    <w:rsid w:val="002B175A"/>
    <w:rsid w:val="002B2714"/>
    <w:rsid w:val="002B33D8"/>
    <w:rsid w:val="002B3AC8"/>
    <w:rsid w:val="002B3AD6"/>
    <w:rsid w:val="002B3D32"/>
    <w:rsid w:val="002B4CAC"/>
    <w:rsid w:val="002B506D"/>
    <w:rsid w:val="002B5E68"/>
    <w:rsid w:val="002B6983"/>
    <w:rsid w:val="002B789B"/>
    <w:rsid w:val="002C0BFE"/>
    <w:rsid w:val="002C19E2"/>
    <w:rsid w:val="002C1C4B"/>
    <w:rsid w:val="002C225C"/>
    <w:rsid w:val="002C23BD"/>
    <w:rsid w:val="002C257B"/>
    <w:rsid w:val="002C288D"/>
    <w:rsid w:val="002C2A51"/>
    <w:rsid w:val="002C330F"/>
    <w:rsid w:val="002C3595"/>
    <w:rsid w:val="002C3E84"/>
    <w:rsid w:val="002C4E4C"/>
    <w:rsid w:val="002C5A6F"/>
    <w:rsid w:val="002C77E9"/>
    <w:rsid w:val="002C79F0"/>
    <w:rsid w:val="002D0961"/>
    <w:rsid w:val="002D1615"/>
    <w:rsid w:val="002D1B9E"/>
    <w:rsid w:val="002D29AC"/>
    <w:rsid w:val="002D2B1D"/>
    <w:rsid w:val="002D357F"/>
    <w:rsid w:val="002D372E"/>
    <w:rsid w:val="002D3DE5"/>
    <w:rsid w:val="002D4BD0"/>
    <w:rsid w:val="002D4D4D"/>
    <w:rsid w:val="002D5428"/>
    <w:rsid w:val="002D5998"/>
    <w:rsid w:val="002D62C9"/>
    <w:rsid w:val="002D6599"/>
    <w:rsid w:val="002D6A5E"/>
    <w:rsid w:val="002D6F02"/>
    <w:rsid w:val="002D6F0D"/>
    <w:rsid w:val="002D71FF"/>
    <w:rsid w:val="002E0AC4"/>
    <w:rsid w:val="002E10BA"/>
    <w:rsid w:val="002E120C"/>
    <w:rsid w:val="002E149C"/>
    <w:rsid w:val="002E23D9"/>
    <w:rsid w:val="002E2AEE"/>
    <w:rsid w:val="002E2E2A"/>
    <w:rsid w:val="002E30A2"/>
    <w:rsid w:val="002E387B"/>
    <w:rsid w:val="002E3D5D"/>
    <w:rsid w:val="002E3DEC"/>
    <w:rsid w:val="002E42A1"/>
    <w:rsid w:val="002E44E3"/>
    <w:rsid w:val="002E45F0"/>
    <w:rsid w:val="002E48C0"/>
    <w:rsid w:val="002E49F3"/>
    <w:rsid w:val="002E4B14"/>
    <w:rsid w:val="002E4D49"/>
    <w:rsid w:val="002E4DF0"/>
    <w:rsid w:val="002E539F"/>
    <w:rsid w:val="002E593B"/>
    <w:rsid w:val="002E5DCF"/>
    <w:rsid w:val="002E5EB4"/>
    <w:rsid w:val="002E5ED4"/>
    <w:rsid w:val="002E7592"/>
    <w:rsid w:val="002E7B74"/>
    <w:rsid w:val="002F13F3"/>
    <w:rsid w:val="002F16E6"/>
    <w:rsid w:val="002F1C2C"/>
    <w:rsid w:val="002F1D8E"/>
    <w:rsid w:val="002F2781"/>
    <w:rsid w:val="002F356D"/>
    <w:rsid w:val="002F4242"/>
    <w:rsid w:val="002F4694"/>
    <w:rsid w:val="002F561B"/>
    <w:rsid w:val="002F5632"/>
    <w:rsid w:val="002F56C1"/>
    <w:rsid w:val="002F6B25"/>
    <w:rsid w:val="002F6D7E"/>
    <w:rsid w:val="002F7CB1"/>
    <w:rsid w:val="0030018C"/>
    <w:rsid w:val="003002B6"/>
    <w:rsid w:val="00300FA1"/>
    <w:rsid w:val="00301BA9"/>
    <w:rsid w:val="0030243C"/>
    <w:rsid w:val="00302F8F"/>
    <w:rsid w:val="003031BC"/>
    <w:rsid w:val="003063E8"/>
    <w:rsid w:val="003079C8"/>
    <w:rsid w:val="00311107"/>
    <w:rsid w:val="00311601"/>
    <w:rsid w:val="00311799"/>
    <w:rsid w:val="00311EDC"/>
    <w:rsid w:val="003122D5"/>
    <w:rsid w:val="00312ECB"/>
    <w:rsid w:val="0031332E"/>
    <w:rsid w:val="00313E56"/>
    <w:rsid w:val="0031401C"/>
    <w:rsid w:val="00314891"/>
    <w:rsid w:val="003149B3"/>
    <w:rsid w:val="00314ADC"/>
    <w:rsid w:val="00316244"/>
    <w:rsid w:val="003162CC"/>
    <w:rsid w:val="00316B50"/>
    <w:rsid w:val="00317261"/>
    <w:rsid w:val="003179BC"/>
    <w:rsid w:val="00317CB0"/>
    <w:rsid w:val="0032070F"/>
    <w:rsid w:val="00320DF1"/>
    <w:rsid w:val="003215D0"/>
    <w:rsid w:val="00321BF0"/>
    <w:rsid w:val="00322EEA"/>
    <w:rsid w:val="00322F68"/>
    <w:rsid w:val="003232C6"/>
    <w:rsid w:val="003240F5"/>
    <w:rsid w:val="00324553"/>
    <w:rsid w:val="00325910"/>
    <w:rsid w:val="00325B89"/>
    <w:rsid w:val="00326F74"/>
    <w:rsid w:val="00327831"/>
    <w:rsid w:val="003310D1"/>
    <w:rsid w:val="0033146E"/>
    <w:rsid w:val="003322D2"/>
    <w:rsid w:val="00332D6E"/>
    <w:rsid w:val="00332DF8"/>
    <w:rsid w:val="003337CE"/>
    <w:rsid w:val="0033411B"/>
    <w:rsid w:val="00334D73"/>
    <w:rsid w:val="00335668"/>
    <w:rsid w:val="00335937"/>
    <w:rsid w:val="00336E33"/>
    <w:rsid w:val="00336EFF"/>
    <w:rsid w:val="00337707"/>
    <w:rsid w:val="00340041"/>
    <w:rsid w:val="00340446"/>
    <w:rsid w:val="003407DB"/>
    <w:rsid w:val="00342047"/>
    <w:rsid w:val="003424B9"/>
    <w:rsid w:val="00342584"/>
    <w:rsid w:val="003427A9"/>
    <w:rsid w:val="00342B0D"/>
    <w:rsid w:val="0034316A"/>
    <w:rsid w:val="00343492"/>
    <w:rsid w:val="00343964"/>
    <w:rsid w:val="00343E18"/>
    <w:rsid w:val="0034493F"/>
    <w:rsid w:val="00347C23"/>
    <w:rsid w:val="00350006"/>
    <w:rsid w:val="003503F9"/>
    <w:rsid w:val="00350E1D"/>
    <w:rsid w:val="0035285F"/>
    <w:rsid w:val="00352AAE"/>
    <w:rsid w:val="00352C7C"/>
    <w:rsid w:val="003534DE"/>
    <w:rsid w:val="00353DFF"/>
    <w:rsid w:val="00354668"/>
    <w:rsid w:val="003555CA"/>
    <w:rsid w:val="003558ED"/>
    <w:rsid w:val="003576D8"/>
    <w:rsid w:val="00361C0B"/>
    <w:rsid w:val="003626E2"/>
    <w:rsid w:val="0036273E"/>
    <w:rsid w:val="00365054"/>
    <w:rsid w:val="0036546C"/>
    <w:rsid w:val="00365509"/>
    <w:rsid w:val="00370769"/>
    <w:rsid w:val="00370809"/>
    <w:rsid w:val="00370954"/>
    <w:rsid w:val="00371EBB"/>
    <w:rsid w:val="003721C5"/>
    <w:rsid w:val="0037279B"/>
    <w:rsid w:val="00372B82"/>
    <w:rsid w:val="00372C7E"/>
    <w:rsid w:val="003732B5"/>
    <w:rsid w:val="003733CB"/>
    <w:rsid w:val="00373C2D"/>
    <w:rsid w:val="00373C30"/>
    <w:rsid w:val="00373DD8"/>
    <w:rsid w:val="00374355"/>
    <w:rsid w:val="003747A6"/>
    <w:rsid w:val="00375210"/>
    <w:rsid w:val="0037796F"/>
    <w:rsid w:val="00377CE0"/>
    <w:rsid w:val="0038058E"/>
    <w:rsid w:val="00382542"/>
    <w:rsid w:val="003826E5"/>
    <w:rsid w:val="0038274C"/>
    <w:rsid w:val="00383142"/>
    <w:rsid w:val="00383388"/>
    <w:rsid w:val="00383925"/>
    <w:rsid w:val="00383C87"/>
    <w:rsid w:val="00384AAC"/>
    <w:rsid w:val="00384FFC"/>
    <w:rsid w:val="00385D26"/>
    <w:rsid w:val="00385D81"/>
    <w:rsid w:val="00385ED4"/>
    <w:rsid w:val="00386F48"/>
    <w:rsid w:val="00387462"/>
    <w:rsid w:val="00387B9A"/>
    <w:rsid w:val="00390288"/>
    <w:rsid w:val="00390F93"/>
    <w:rsid w:val="003913F3"/>
    <w:rsid w:val="003917D6"/>
    <w:rsid w:val="00391C83"/>
    <w:rsid w:val="003925BD"/>
    <w:rsid w:val="003929FA"/>
    <w:rsid w:val="003931B3"/>
    <w:rsid w:val="0039329D"/>
    <w:rsid w:val="00393D7E"/>
    <w:rsid w:val="00393F7F"/>
    <w:rsid w:val="003943D8"/>
    <w:rsid w:val="003948C6"/>
    <w:rsid w:val="00395914"/>
    <w:rsid w:val="00395F26"/>
    <w:rsid w:val="00396254"/>
    <w:rsid w:val="00396904"/>
    <w:rsid w:val="00396C73"/>
    <w:rsid w:val="00397007"/>
    <w:rsid w:val="0039717E"/>
    <w:rsid w:val="003979B0"/>
    <w:rsid w:val="00397D8D"/>
    <w:rsid w:val="003A0307"/>
    <w:rsid w:val="003A0591"/>
    <w:rsid w:val="003A0649"/>
    <w:rsid w:val="003A0EA4"/>
    <w:rsid w:val="003A1B59"/>
    <w:rsid w:val="003A2D41"/>
    <w:rsid w:val="003A2F8C"/>
    <w:rsid w:val="003A3C2C"/>
    <w:rsid w:val="003A52E3"/>
    <w:rsid w:val="003A537A"/>
    <w:rsid w:val="003A56B4"/>
    <w:rsid w:val="003A5829"/>
    <w:rsid w:val="003A5A03"/>
    <w:rsid w:val="003A6DC5"/>
    <w:rsid w:val="003B020A"/>
    <w:rsid w:val="003B04B7"/>
    <w:rsid w:val="003B08BB"/>
    <w:rsid w:val="003B1496"/>
    <w:rsid w:val="003B1A62"/>
    <w:rsid w:val="003B20A1"/>
    <w:rsid w:val="003B2AE9"/>
    <w:rsid w:val="003B2FB3"/>
    <w:rsid w:val="003B43AA"/>
    <w:rsid w:val="003B4A2D"/>
    <w:rsid w:val="003B4C36"/>
    <w:rsid w:val="003B4DFC"/>
    <w:rsid w:val="003B53C9"/>
    <w:rsid w:val="003B55A7"/>
    <w:rsid w:val="003B565B"/>
    <w:rsid w:val="003B5748"/>
    <w:rsid w:val="003B57E5"/>
    <w:rsid w:val="003B6558"/>
    <w:rsid w:val="003B6A4F"/>
    <w:rsid w:val="003B737C"/>
    <w:rsid w:val="003C01FD"/>
    <w:rsid w:val="003C0862"/>
    <w:rsid w:val="003C09C3"/>
    <w:rsid w:val="003C0C42"/>
    <w:rsid w:val="003C1761"/>
    <w:rsid w:val="003C1C89"/>
    <w:rsid w:val="003C2264"/>
    <w:rsid w:val="003C22FB"/>
    <w:rsid w:val="003C2BAF"/>
    <w:rsid w:val="003C2DFF"/>
    <w:rsid w:val="003C38F9"/>
    <w:rsid w:val="003C3B91"/>
    <w:rsid w:val="003C4458"/>
    <w:rsid w:val="003C5196"/>
    <w:rsid w:val="003C56F5"/>
    <w:rsid w:val="003C6F72"/>
    <w:rsid w:val="003C7D22"/>
    <w:rsid w:val="003C7FC7"/>
    <w:rsid w:val="003D039B"/>
    <w:rsid w:val="003D042F"/>
    <w:rsid w:val="003D12BD"/>
    <w:rsid w:val="003D1356"/>
    <w:rsid w:val="003D2291"/>
    <w:rsid w:val="003D3066"/>
    <w:rsid w:val="003D3165"/>
    <w:rsid w:val="003D3A88"/>
    <w:rsid w:val="003D3B93"/>
    <w:rsid w:val="003D3D22"/>
    <w:rsid w:val="003D4837"/>
    <w:rsid w:val="003D56A7"/>
    <w:rsid w:val="003D612B"/>
    <w:rsid w:val="003D6E1E"/>
    <w:rsid w:val="003D6E2F"/>
    <w:rsid w:val="003D76A4"/>
    <w:rsid w:val="003D7CEC"/>
    <w:rsid w:val="003E051E"/>
    <w:rsid w:val="003E162D"/>
    <w:rsid w:val="003E252F"/>
    <w:rsid w:val="003E33CE"/>
    <w:rsid w:val="003E38C2"/>
    <w:rsid w:val="003E3F2E"/>
    <w:rsid w:val="003E3FDF"/>
    <w:rsid w:val="003E3FF2"/>
    <w:rsid w:val="003E50FF"/>
    <w:rsid w:val="003E5152"/>
    <w:rsid w:val="003E59F8"/>
    <w:rsid w:val="003E5FB9"/>
    <w:rsid w:val="003E6AA9"/>
    <w:rsid w:val="003E79ED"/>
    <w:rsid w:val="003F0B56"/>
    <w:rsid w:val="003F0BED"/>
    <w:rsid w:val="003F168A"/>
    <w:rsid w:val="003F1BA5"/>
    <w:rsid w:val="003F238C"/>
    <w:rsid w:val="003F23A1"/>
    <w:rsid w:val="003F2981"/>
    <w:rsid w:val="003F33BC"/>
    <w:rsid w:val="003F3D54"/>
    <w:rsid w:val="003F482C"/>
    <w:rsid w:val="003F6519"/>
    <w:rsid w:val="003F6796"/>
    <w:rsid w:val="003F70C1"/>
    <w:rsid w:val="003F79E1"/>
    <w:rsid w:val="004007DD"/>
    <w:rsid w:val="0040140A"/>
    <w:rsid w:val="004018A6"/>
    <w:rsid w:val="00401BD2"/>
    <w:rsid w:val="00402015"/>
    <w:rsid w:val="00402DFF"/>
    <w:rsid w:val="00402E25"/>
    <w:rsid w:val="00402F51"/>
    <w:rsid w:val="00403B0D"/>
    <w:rsid w:val="0040471E"/>
    <w:rsid w:val="004056D5"/>
    <w:rsid w:val="00405974"/>
    <w:rsid w:val="00405E1C"/>
    <w:rsid w:val="00405F59"/>
    <w:rsid w:val="00405FDB"/>
    <w:rsid w:val="0040661C"/>
    <w:rsid w:val="004066B9"/>
    <w:rsid w:val="00406A2E"/>
    <w:rsid w:val="00406BA5"/>
    <w:rsid w:val="004104AF"/>
    <w:rsid w:val="004104C6"/>
    <w:rsid w:val="004105FA"/>
    <w:rsid w:val="00410BF0"/>
    <w:rsid w:val="004124FF"/>
    <w:rsid w:val="0041270B"/>
    <w:rsid w:val="004128CB"/>
    <w:rsid w:val="00412D0D"/>
    <w:rsid w:val="00413278"/>
    <w:rsid w:val="00414979"/>
    <w:rsid w:val="004152B8"/>
    <w:rsid w:val="0041598D"/>
    <w:rsid w:val="0041601E"/>
    <w:rsid w:val="004165B6"/>
    <w:rsid w:val="004166D3"/>
    <w:rsid w:val="00416DFA"/>
    <w:rsid w:val="00416E33"/>
    <w:rsid w:val="004170BD"/>
    <w:rsid w:val="004171F9"/>
    <w:rsid w:val="004174B6"/>
    <w:rsid w:val="00420732"/>
    <w:rsid w:val="004208FD"/>
    <w:rsid w:val="00421474"/>
    <w:rsid w:val="004214EF"/>
    <w:rsid w:val="004228F8"/>
    <w:rsid w:val="00422E36"/>
    <w:rsid w:val="00423C81"/>
    <w:rsid w:val="00423DF3"/>
    <w:rsid w:val="00424348"/>
    <w:rsid w:val="0042485A"/>
    <w:rsid w:val="00424EFF"/>
    <w:rsid w:val="004250D3"/>
    <w:rsid w:val="004250D6"/>
    <w:rsid w:val="00425383"/>
    <w:rsid w:val="004257B4"/>
    <w:rsid w:val="00425F57"/>
    <w:rsid w:val="0042629F"/>
    <w:rsid w:val="00427DEC"/>
    <w:rsid w:val="00427FE4"/>
    <w:rsid w:val="004301DE"/>
    <w:rsid w:val="0043088C"/>
    <w:rsid w:val="00430A5F"/>
    <w:rsid w:val="0043188A"/>
    <w:rsid w:val="00431CA9"/>
    <w:rsid w:val="004325D6"/>
    <w:rsid w:val="0043262F"/>
    <w:rsid w:val="0043298D"/>
    <w:rsid w:val="0043412E"/>
    <w:rsid w:val="0043501F"/>
    <w:rsid w:val="0043528C"/>
    <w:rsid w:val="0043548D"/>
    <w:rsid w:val="00435531"/>
    <w:rsid w:val="00435DAB"/>
    <w:rsid w:val="00436693"/>
    <w:rsid w:val="00436A2E"/>
    <w:rsid w:val="00437BA1"/>
    <w:rsid w:val="00440607"/>
    <w:rsid w:val="00440773"/>
    <w:rsid w:val="00440C14"/>
    <w:rsid w:val="00441049"/>
    <w:rsid w:val="00441353"/>
    <w:rsid w:val="004419C1"/>
    <w:rsid w:val="00441DED"/>
    <w:rsid w:val="0044217F"/>
    <w:rsid w:val="00443022"/>
    <w:rsid w:val="00443086"/>
    <w:rsid w:val="004437CD"/>
    <w:rsid w:val="0044495F"/>
    <w:rsid w:val="004456D2"/>
    <w:rsid w:val="00445A2D"/>
    <w:rsid w:val="00446547"/>
    <w:rsid w:val="00447391"/>
    <w:rsid w:val="0044751C"/>
    <w:rsid w:val="004475D9"/>
    <w:rsid w:val="00447E1E"/>
    <w:rsid w:val="0045015B"/>
    <w:rsid w:val="004503B1"/>
    <w:rsid w:val="00451052"/>
    <w:rsid w:val="004518CE"/>
    <w:rsid w:val="00451F40"/>
    <w:rsid w:val="00452134"/>
    <w:rsid w:val="0045241F"/>
    <w:rsid w:val="00452877"/>
    <w:rsid w:val="00453E8A"/>
    <w:rsid w:val="00454C11"/>
    <w:rsid w:val="0045518E"/>
    <w:rsid w:val="004556EB"/>
    <w:rsid w:val="00455969"/>
    <w:rsid w:val="0045654C"/>
    <w:rsid w:val="0045659C"/>
    <w:rsid w:val="00456D6E"/>
    <w:rsid w:val="004608C7"/>
    <w:rsid w:val="00460F9C"/>
    <w:rsid w:val="0046102E"/>
    <w:rsid w:val="004614D5"/>
    <w:rsid w:val="004614ED"/>
    <w:rsid w:val="00461D55"/>
    <w:rsid w:val="0046267C"/>
    <w:rsid w:val="0046330C"/>
    <w:rsid w:val="0046441D"/>
    <w:rsid w:val="00464B1A"/>
    <w:rsid w:val="00465DCE"/>
    <w:rsid w:val="00465DE9"/>
    <w:rsid w:val="004662EF"/>
    <w:rsid w:val="00467106"/>
    <w:rsid w:val="0046746F"/>
    <w:rsid w:val="00467A5B"/>
    <w:rsid w:val="00467BA7"/>
    <w:rsid w:val="00471310"/>
    <w:rsid w:val="00471E75"/>
    <w:rsid w:val="004721D3"/>
    <w:rsid w:val="0047240D"/>
    <w:rsid w:val="00472601"/>
    <w:rsid w:val="00472AF0"/>
    <w:rsid w:val="0047323C"/>
    <w:rsid w:val="004735C1"/>
    <w:rsid w:val="00473D35"/>
    <w:rsid w:val="00473E35"/>
    <w:rsid w:val="00476408"/>
    <w:rsid w:val="0047667B"/>
    <w:rsid w:val="00476C81"/>
    <w:rsid w:val="0047722D"/>
    <w:rsid w:val="004809B3"/>
    <w:rsid w:val="00480BEE"/>
    <w:rsid w:val="004816B7"/>
    <w:rsid w:val="00482194"/>
    <w:rsid w:val="00482BB1"/>
    <w:rsid w:val="00483697"/>
    <w:rsid w:val="00483C1F"/>
    <w:rsid w:val="004840A6"/>
    <w:rsid w:val="004841F1"/>
    <w:rsid w:val="004848A2"/>
    <w:rsid w:val="00484A8A"/>
    <w:rsid w:val="00484BCC"/>
    <w:rsid w:val="00486033"/>
    <w:rsid w:val="0048788B"/>
    <w:rsid w:val="00487DBB"/>
    <w:rsid w:val="004903B5"/>
    <w:rsid w:val="00490E8C"/>
    <w:rsid w:val="00491242"/>
    <w:rsid w:val="00492752"/>
    <w:rsid w:val="00492A97"/>
    <w:rsid w:val="00493287"/>
    <w:rsid w:val="004933F4"/>
    <w:rsid w:val="0049348B"/>
    <w:rsid w:val="00493669"/>
    <w:rsid w:val="00493B59"/>
    <w:rsid w:val="00494266"/>
    <w:rsid w:val="00494EC7"/>
    <w:rsid w:val="004954A5"/>
    <w:rsid w:val="00495DEF"/>
    <w:rsid w:val="00496468"/>
    <w:rsid w:val="004964BB"/>
    <w:rsid w:val="00496AD1"/>
    <w:rsid w:val="004A0186"/>
    <w:rsid w:val="004A05CE"/>
    <w:rsid w:val="004A0DF3"/>
    <w:rsid w:val="004A0FA8"/>
    <w:rsid w:val="004A1955"/>
    <w:rsid w:val="004A1A60"/>
    <w:rsid w:val="004A1C71"/>
    <w:rsid w:val="004A285C"/>
    <w:rsid w:val="004A356E"/>
    <w:rsid w:val="004A3C9C"/>
    <w:rsid w:val="004A44A8"/>
    <w:rsid w:val="004A4E9F"/>
    <w:rsid w:val="004A53B8"/>
    <w:rsid w:val="004A545B"/>
    <w:rsid w:val="004A6C81"/>
    <w:rsid w:val="004A7241"/>
    <w:rsid w:val="004B13E3"/>
    <w:rsid w:val="004B16EB"/>
    <w:rsid w:val="004B1FA7"/>
    <w:rsid w:val="004B26EB"/>
    <w:rsid w:val="004B2BD2"/>
    <w:rsid w:val="004B3247"/>
    <w:rsid w:val="004B3A87"/>
    <w:rsid w:val="004B3BBA"/>
    <w:rsid w:val="004B72BE"/>
    <w:rsid w:val="004B75D3"/>
    <w:rsid w:val="004B782D"/>
    <w:rsid w:val="004B7A44"/>
    <w:rsid w:val="004C0274"/>
    <w:rsid w:val="004C0A6F"/>
    <w:rsid w:val="004C0CF2"/>
    <w:rsid w:val="004C1DFE"/>
    <w:rsid w:val="004C219D"/>
    <w:rsid w:val="004C28E3"/>
    <w:rsid w:val="004C3A16"/>
    <w:rsid w:val="004C4FEA"/>
    <w:rsid w:val="004C5E08"/>
    <w:rsid w:val="004C669F"/>
    <w:rsid w:val="004C6C42"/>
    <w:rsid w:val="004C7894"/>
    <w:rsid w:val="004C7912"/>
    <w:rsid w:val="004D0F50"/>
    <w:rsid w:val="004D176A"/>
    <w:rsid w:val="004D1A81"/>
    <w:rsid w:val="004D23E1"/>
    <w:rsid w:val="004D2917"/>
    <w:rsid w:val="004D301B"/>
    <w:rsid w:val="004D3193"/>
    <w:rsid w:val="004D38C2"/>
    <w:rsid w:val="004D43C9"/>
    <w:rsid w:val="004D4843"/>
    <w:rsid w:val="004D5E26"/>
    <w:rsid w:val="004D676A"/>
    <w:rsid w:val="004E1705"/>
    <w:rsid w:val="004E1AFB"/>
    <w:rsid w:val="004E2AF9"/>
    <w:rsid w:val="004E3565"/>
    <w:rsid w:val="004E35C4"/>
    <w:rsid w:val="004E4A9E"/>
    <w:rsid w:val="004E5BAB"/>
    <w:rsid w:val="004E60CF"/>
    <w:rsid w:val="004E69E2"/>
    <w:rsid w:val="004E7444"/>
    <w:rsid w:val="004E7D13"/>
    <w:rsid w:val="004F0294"/>
    <w:rsid w:val="004F04DA"/>
    <w:rsid w:val="004F1212"/>
    <w:rsid w:val="004F29BD"/>
    <w:rsid w:val="004F2D83"/>
    <w:rsid w:val="004F4CE5"/>
    <w:rsid w:val="004F4F93"/>
    <w:rsid w:val="004F5A85"/>
    <w:rsid w:val="004F7124"/>
    <w:rsid w:val="004F7AED"/>
    <w:rsid w:val="00500F09"/>
    <w:rsid w:val="00501026"/>
    <w:rsid w:val="005011CC"/>
    <w:rsid w:val="00501C23"/>
    <w:rsid w:val="005020AE"/>
    <w:rsid w:val="00503904"/>
    <w:rsid w:val="0050428C"/>
    <w:rsid w:val="00504AB7"/>
    <w:rsid w:val="00505397"/>
    <w:rsid w:val="00505624"/>
    <w:rsid w:val="00506442"/>
    <w:rsid w:val="0050694C"/>
    <w:rsid w:val="00506BDC"/>
    <w:rsid w:val="00506D23"/>
    <w:rsid w:val="00506E6D"/>
    <w:rsid w:val="00507111"/>
    <w:rsid w:val="00507FF8"/>
    <w:rsid w:val="005111BA"/>
    <w:rsid w:val="0051175E"/>
    <w:rsid w:val="005120D4"/>
    <w:rsid w:val="00512416"/>
    <w:rsid w:val="005126AB"/>
    <w:rsid w:val="00513670"/>
    <w:rsid w:val="005137B3"/>
    <w:rsid w:val="00513B3E"/>
    <w:rsid w:val="005144DD"/>
    <w:rsid w:val="00515154"/>
    <w:rsid w:val="00515F8B"/>
    <w:rsid w:val="005162E1"/>
    <w:rsid w:val="00516806"/>
    <w:rsid w:val="00516836"/>
    <w:rsid w:val="005174C8"/>
    <w:rsid w:val="00521386"/>
    <w:rsid w:val="00521879"/>
    <w:rsid w:val="00523B6B"/>
    <w:rsid w:val="00523C74"/>
    <w:rsid w:val="00524469"/>
    <w:rsid w:val="00525252"/>
    <w:rsid w:val="0052583C"/>
    <w:rsid w:val="0052598D"/>
    <w:rsid w:val="00525E03"/>
    <w:rsid w:val="00527651"/>
    <w:rsid w:val="00527A8E"/>
    <w:rsid w:val="00530724"/>
    <w:rsid w:val="005310F5"/>
    <w:rsid w:val="0053137E"/>
    <w:rsid w:val="00531380"/>
    <w:rsid w:val="00531C46"/>
    <w:rsid w:val="00532168"/>
    <w:rsid w:val="005321EA"/>
    <w:rsid w:val="00532274"/>
    <w:rsid w:val="00532824"/>
    <w:rsid w:val="005330FD"/>
    <w:rsid w:val="0053319A"/>
    <w:rsid w:val="0053438A"/>
    <w:rsid w:val="00534934"/>
    <w:rsid w:val="0053510F"/>
    <w:rsid w:val="00535902"/>
    <w:rsid w:val="005378F3"/>
    <w:rsid w:val="00540724"/>
    <w:rsid w:val="00540743"/>
    <w:rsid w:val="00541057"/>
    <w:rsid w:val="0054163C"/>
    <w:rsid w:val="005419AE"/>
    <w:rsid w:val="00541AFA"/>
    <w:rsid w:val="00541C65"/>
    <w:rsid w:val="00542492"/>
    <w:rsid w:val="005426B9"/>
    <w:rsid w:val="005428C0"/>
    <w:rsid w:val="00542DD0"/>
    <w:rsid w:val="005452E8"/>
    <w:rsid w:val="0054577E"/>
    <w:rsid w:val="00545AA3"/>
    <w:rsid w:val="00545B28"/>
    <w:rsid w:val="00545E08"/>
    <w:rsid w:val="0054607C"/>
    <w:rsid w:val="00547C34"/>
    <w:rsid w:val="00550034"/>
    <w:rsid w:val="005502DB"/>
    <w:rsid w:val="00550841"/>
    <w:rsid w:val="00550BA2"/>
    <w:rsid w:val="00551C53"/>
    <w:rsid w:val="00551E0F"/>
    <w:rsid w:val="005522F0"/>
    <w:rsid w:val="00552962"/>
    <w:rsid w:val="00552BDB"/>
    <w:rsid w:val="00552CE4"/>
    <w:rsid w:val="005531CB"/>
    <w:rsid w:val="005534B5"/>
    <w:rsid w:val="005539A2"/>
    <w:rsid w:val="005539AB"/>
    <w:rsid w:val="00553C4D"/>
    <w:rsid w:val="00553E8E"/>
    <w:rsid w:val="005563DC"/>
    <w:rsid w:val="00557A0A"/>
    <w:rsid w:val="00557DDF"/>
    <w:rsid w:val="005608E6"/>
    <w:rsid w:val="00561E66"/>
    <w:rsid w:val="00562139"/>
    <w:rsid w:val="00562386"/>
    <w:rsid w:val="005631B4"/>
    <w:rsid w:val="00563E09"/>
    <w:rsid w:val="00564C46"/>
    <w:rsid w:val="00564F60"/>
    <w:rsid w:val="005657B9"/>
    <w:rsid w:val="00566AFD"/>
    <w:rsid w:val="00566C0E"/>
    <w:rsid w:val="00567414"/>
    <w:rsid w:val="00570145"/>
    <w:rsid w:val="005706B4"/>
    <w:rsid w:val="00570D46"/>
    <w:rsid w:val="0057138F"/>
    <w:rsid w:val="00573524"/>
    <w:rsid w:val="005735C5"/>
    <w:rsid w:val="00574296"/>
    <w:rsid w:val="00575091"/>
    <w:rsid w:val="00575F96"/>
    <w:rsid w:val="00576B7F"/>
    <w:rsid w:val="00577C0D"/>
    <w:rsid w:val="00577E62"/>
    <w:rsid w:val="00580BC7"/>
    <w:rsid w:val="005816FD"/>
    <w:rsid w:val="00582F0B"/>
    <w:rsid w:val="00584133"/>
    <w:rsid w:val="005842E6"/>
    <w:rsid w:val="00584FB6"/>
    <w:rsid w:val="00585422"/>
    <w:rsid w:val="005856B6"/>
    <w:rsid w:val="0058592C"/>
    <w:rsid w:val="00585A8F"/>
    <w:rsid w:val="00586121"/>
    <w:rsid w:val="005865C9"/>
    <w:rsid w:val="00587C2A"/>
    <w:rsid w:val="00587EF4"/>
    <w:rsid w:val="00590DA8"/>
    <w:rsid w:val="00591472"/>
    <w:rsid w:val="00592A9F"/>
    <w:rsid w:val="00593D3C"/>
    <w:rsid w:val="00594257"/>
    <w:rsid w:val="005949A7"/>
    <w:rsid w:val="00594B2E"/>
    <w:rsid w:val="00594E79"/>
    <w:rsid w:val="005956F1"/>
    <w:rsid w:val="005965E1"/>
    <w:rsid w:val="00596D4D"/>
    <w:rsid w:val="0059770F"/>
    <w:rsid w:val="00597C25"/>
    <w:rsid w:val="005A00A4"/>
    <w:rsid w:val="005A09BA"/>
    <w:rsid w:val="005A0C67"/>
    <w:rsid w:val="005A0F11"/>
    <w:rsid w:val="005A1302"/>
    <w:rsid w:val="005A1631"/>
    <w:rsid w:val="005A18B5"/>
    <w:rsid w:val="005A2000"/>
    <w:rsid w:val="005A2A66"/>
    <w:rsid w:val="005A38EE"/>
    <w:rsid w:val="005A3C31"/>
    <w:rsid w:val="005A5049"/>
    <w:rsid w:val="005A51C1"/>
    <w:rsid w:val="005A598C"/>
    <w:rsid w:val="005A61C4"/>
    <w:rsid w:val="005A6A76"/>
    <w:rsid w:val="005A7966"/>
    <w:rsid w:val="005B09E2"/>
    <w:rsid w:val="005B0FE2"/>
    <w:rsid w:val="005B17E1"/>
    <w:rsid w:val="005B1DCB"/>
    <w:rsid w:val="005B1E23"/>
    <w:rsid w:val="005B1F3D"/>
    <w:rsid w:val="005B242B"/>
    <w:rsid w:val="005B2769"/>
    <w:rsid w:val="005B28D4"/>
    <w:rsid w:val="005B2F46"/>
    <w:rsid w:val="005B3228"/>
    <w:rsid w:val="005B3932"/>
    <w:rsid w:val="005B4562"/>
    <w:rsid w:val="005B4C29"/>
    <w:rsid w:val="005B51CF"/>
    <w:rsid w:val="005B5709"/>
    <w:rsid w:val="005B5795"/>
    <w:rsid w:val="005B5CD9"/>
    <w:rsid w:val="005B6D15"/>
    <w:rsid w:val="005B6E35"/>
    <w:rsid w:val="005B735F"/>
    <w:rsid w:val="005B787E"/>
    <w:rsid w:val="005B78C0"/>
    <w:rsid w:val="005C0056"/>
    <w:rsid w:val="005C0164"/>
    <w:rsid w:val="005C0894"/>
    <w:rsid w:val="005C09FD"/>
    <w:rsid w:val="005C1E6C"/>
    <w:rsid w:val="005C29E2"/>
    <w:rsid w:val="005C2BFD"/>
    <w:rsid w:val="005C3767"/>
    <w:rsid w:val="005C3D27"/>
    <w:rsid w:val="005C4888"/>
    <w:rsid w:val="005C68D8"/>
    <w:rsid w:val="005C6BA4"/>
    <w:rsid w:val="005C6EA5"/>
    <w:rsid w:val="005C77FE"/>
    <w:rsid w:val="005D03F5"/>
    <w:rsid w:val="005D0BE1"/>
    <w:rsid w:val="005D0CAB"/>
    <w:rsid w:val="005D1598"/>
    <w:rsid w:val="005D1A3A"/>
    <w:rsid w:val="005D1A4C"/>
    <w:rsid w:val="005D38E3"/>
    <w:rsid w:val="005D39F4"/>
    <w:rsid w:val="005D42FA"/>
    <w:rsid w:val="005D459C"/>
    <w:rsid w:val="005D45F2"/>
    <w:rsid w:val="005D609A"/>
    <w:rsid w:val="005D60AD"/>
    <w:rsid w:val="005D6882"/>
    <w:rsid w:val="005D6DDA"/>
    <w:rsid w:val="005D6E4A"/>
    <w:rsid w:val="005D7070"/>
    <w:rsid w:val="005D73CA"/>
    <w:rsid w:val="005D7C51"/>
    <w:rsid w:val="005E014C"/>
    <w:rsid w:val="005E0760"/>
    <w:rsid w:val="005E0839"/>
    <w:rsid w:val="005E08F8"/>
    <w:rsid w:val="005E09D8"/>
    <w:rsid w:val="005E10F0"/>
    <w:rsid w:val="005E15A7"/>
    <w:rsid w:val="005E1704"/>
    <w:rsid w:val="005E185F"/>
    <w:rsid w:val="005E1D85"/>
    <w:rsid w:val="005E22FB"/>
    <w:rsid w:val="005E23CA"/>
    <w:rsid w:val="005E35D4"/>
    <w:rsid w:val="005E3636"/>
    <w:rsid w:val="005E40C0"/>
    <w:rsid w:val="005E49ED"/>
    <w:rsid w:val="005E5150"/>
    <w:rsid w:val="005E5BEB"/>
    <w:rsid w:val="005E63A7"/>
    <w:rsid w:val="005E6C55"/>
    <w:rsid w:val="005E6FE2"/>
    <w:rsid w:val="005E70BB"/>
    <w:rsid w:val="005F0378"/>
    <w:rsid w:val="005F05CA"/>
    <w:rsid w:val="005F14DF"/>
    <w:rsid w:val="005F16E3"/>
    <w:rsid w:val="005F1987"/>
    <w:rsid w:val="005F1BCE"/>
    <w:rsid w:val="005F2226"/>
    <w:rsid w:val="005F2AD7"/>
    <w:rsid w:val="005F3512"/>
    <w:rsid w:val="005F4166"/>
    <w:rsid w:val="005F58A0"/>
    <w:rsid w:val="005F689F"/>
    <w:rsid w:val="005F6AEF"/>
    <w:rsid w:val="005F7033"/>
    <w:rsid w:val="005F776E"/>
    <w:rsid w:val="005F7826"/>
    <w:rsid w:val="0060016F"/>
    <w:rsid w:val="006005E4"/>
    <w:rsid w:val="006014A7"/>
    <w:rsid w:val="00602E6D"/>
    <w:rsid w:val="006036B5"/>
    <w:rsid w:val="006038F6"/>
    <w:rsid w:val="00603E99"/>
    <w:rsid w:val="0060484F"/>
    <w:rsid w:val="006048D4"/>
    <w:rsid w:val="00605200"/>
    <w:rsid w:val="006059B8"/>
    <w:rsid w:val="00606142"/>
    <w:rsid w:val="00606400"/>
    <w:rsid w:val="00606BF3"/>
    <w:rsid w:val="00606C51"/>
    <w:rsid w:val="00610A9F"/>
    <w:rsid w:val="00610D1D"/>
    <w:rsid w:val="00611369"/>
    <w:rsid w:val="00611928"/>
    <w:rsid w:val="0061339B"/>
    <w:rsid w:val="00615888"/>
    <w:rsid w:val="00617544"/>
    <w:rsid w:val="006178DF"/>
    <w:rsid w:val="006209DD"/>
    <w:rsid w:val="00621196"/>
    <w:rsid w:val="006213D6"/>
    <w:rsid w:val="00622093"/>
    <w:rsid w:val="00622472"/>
    <w:rsid w:val="006225A6"/>
    <w:rsid w:val="00623627"/>
    <w:rsid w:val="00623865"/>
    <w:rsid w:val="006238A7"/>
    <w:rsid w:val="006238C0"/>
    <w:rsid w:val="00623C9A"/>
    <w:rsid w:val="00623D93"/>
    <w:rsid w:val="00623FE8"/>
    <w:rsid w:val="0062424B"/>
    <w:rsid w:val="0062454A"/>
    <w:rsid w:val="00624729"/>
    <w:rsid w:val="00624FDA"/>
    <w:rsid w:val="0062551B"/>
    <w:rsid w:val="00626DF0"/>
    <w:rsid w:val="00627496"/>
    <w:rsid w:val="00627EC3"/>
    <w:rsid w:val="006300F6"/>
    <w:rsid w:val="00630104"/>
    <w:rsid w:val="00630BAF"/>
    <w:rsid w:val="006313CF"/>
    <w:rsid w:val="00633702"/>
    <w:rsid w:val="006350F9"/>
    <w:rsid w:val="00636501"/>
    <w:rsid w:val="00637336"/>
    <w:rsid w:val="0063736E"/>
    <w:rsid w:val="00637D14"/>
    <w:rsid w:val="00637DD9"/>
    <w:rsid w:val="00637F56"/>
    <w:rsid w:val="00641BE4"/>
    <w:rsid w:val="00641C3D"/>
    <w:rsid w:val="0064262A"/>
    <w:rsid w:val="00643526"/>
    <w:rsid w:val="00643DE7"/>
    <w:rsid w:val="00644092"/>
    <w:rsid w:val="006444A7"/>
    <w:rsid w:val="00644E90"/>
    <w:rsid w:val="00645037"/>
    <w:rsid w:val="006457BE"/>
    <w:rsid w:val="00645D55"/>
    <w:rsid w:val="006466A4"/>
    <w:rsid w:val="00647F22"/>
    <w:rsid w:val="006507DC"/>
    <w:rsid w:val="006512BE"/>
    <w:rsid w:val="00651C4E"/>
    <w:rsid w:val="00651FB8"/>
    <w:rsid w:val="0065230D"/>
    <w:rsid w:val="006523FB"/>
    <w:rsid w:val="00652D84"/>
    <w:rsid w:val="00653D40"/>
    <w:rsid w:val="006546A3"/>
    <w:rsid w:val="00654844"/>
    <w:rsid w:val="00654C1B"/>
    <w:rsid w:val="00654CF7"/>
    <w:rsid w:val="00655BD9"/>
    <w:rsid w:val="00655FC6"/>
    <w:rsid w:val="00657F49"/>
    <w:rsid w:val="00660268"/>
    <w:rsid w:val="006605B0"/>
    <w:rsid w:val="006611A4"/>
    <w:rsid w:val="006612DA"/>
    <w:rsid w:val="00661AA2"/>
    <w:rsid w:val="00661C40"/>
    <w:rsid w:val="00664345"/>
    <w:rsid w:val="006643B8"/>
    <w:rsid w:val="006647F7"/>
    <w:rsid w:val="00665502"/>
    <w:rsid w:val="00665A1A"/>
    <w:rsid w:val="00666FB6"/>
    <w:rsid w:val="00667930"/>
    <w:rsid w:val="00667D25"/>
    <w:rsid w:val="00667EB1"/>
    <w:rsid w:val="00670362"/>
    <w:rsid w:val="00671387"/>
    <w:rsid w:val="0067171A"/>
    <w:rsid w:val="006719B4"/>
    <w:rsid w:val="006730C9"/>
    <w:rsid w:val="00673390"/>
    <w:rsid w:val="0067409A"/>
    <w:rsid w:val="00674742"/>
    <w:rsid w:val="00674994"/>
    <w:rsid w:val="00674D9B"/>
    <w:rsid w:val="00675407"/>
    <w:rsid w:val="00675444"/>
    <w:rsid w:val="006757B1"/>
    <w:rsid w:val="006759F4"/>
    <w:rsid w:val="00676226"/>
    <w:rsid w:val="00676639"/>
    <w:rsid w:val="0067687C"/>
    <w:rsid w:val="006769F7"/>
    <w:rsid w:val="00676E20"/>
    <w:rsid w:val="006802BA"/>
    <w:rsid w:val="006816F4"/>
    <w:rsid w:val="006818A2"/>
    <w:rsid w:val="00681F17"/>
    <w:rsid w:val="006822E1"/>
    <w:rsid w:val="0068364E"/>
    <w:rsid w:val="006836F4"/>
    <w:rsid w:val="00685502"/>
    <w:rsid w:val="006857E2"/>
    <w:rsid w:val="00685B6A"/>
    <w:rsid w:val="00685E24"/>
    <w:rsid w:val="0068613C"/>
    <w:rsid w:val="006873B8"/>
    <w:rsid w:val="00690ED9"/>
    <w:rsid w:val="0069147F"/>
    <w:rsid w:val="0069176B"/>
    <w:rsid w:val="00691C04"/>
    <w:rsid w:val="006940B7"/>
    <w:rsid w:val="006940C1"/>
    <w:rsid w:val="00694400"/>
    <w:rsid w:val="0069455F"/>
    <w:rsid w:val="00695139"/>
    <w:rsid w:val="006955A8"/>
    <w:rsid w:val="0069638A"/>
    <w:rsid w:val="00696398"/>
    <w:rsid w:val="00696470"/>
    <w:rsid w:val="006978A5"/>
    <w:rsid w:val="00697C92"/>
    <w:rsid w:val="006A04EB"/>
    <w:rsid w:val="006A09DA"/>
    <w:rsid w:val="006A0F3E"/>
    <w:rsid w:val="006A11E9"/>
    <w:rsid w:val="006A16F9"/>
    <w:rsid w:val="006A1B10"/>
    <w:rsid w:val="006A1D0C"/>
    <w:rsid w:val="006A2C3C"/>
    <w:rsid w:val="006A2CA2"/>
    <w:rsid w:val="006A3422"/>
    <w:rsid w:val="006A3449"/>
    <w:rsid w:val="006A3F32"/>
    <w:rsid w:val="006A405C"/>
    <w:rsid w:val="006A4083"/>
    <w:rsid w:val="006A4DC9"/>
    <w:rsid w:val="006A57B9"/>
    <w:rsid w:val="006A685E"/>
    <w:rsid w:val="006A6D1F"/>
    <w:rsid w:val="006A787D"/>
    <w:rsid w:val="006A7C33"/>
    <w:rsid w:val="006B0195"/>
    <w:rsid w:val="006B0248"/>
    <w:rsid w:val="006B03B6"/>
    <w:rsid w:val="006B07D2"/>
    <w:rsid w:val="006B17D0"/>
    <w:rsid w:val="006B1BDA"/>
    <w:rsid w:val="006B2161"/>
    <w:rsid w:val="006B2218"/>
    <w:rsid w:val="006B268C"/>
    <w:rsid w:val="006B29EA"/>
    <w:rsid w:val="006B2B40"/>
    <w:rsid w:val="006B2E91"/>
    <w:rsid w:val="006B3688"/>
    <w:rsid w:val="006B3F5F"/>
    <w:rsid w:val="006B553A"/>
    <w:rsid w:val="006B60CE"/>
    <w:rsid w:val="006B679A"/>
    <w:rsid w:val="006B6A40"/>
    <w:rsid w:val="006B6CB1"/>
    <w:rsid w:val="006B7250"/>
    <w:rsid w:val="006B7CBC"/>
    <w:rsid w:val="006C05A3"/>
    <w:rsid w:val="006C0BDB"/>
    <w:rsid w:val="006C0F75"/>
    <w:rsid w:val="006C1CA0"/>
    <w:rsid w:val="006C227A"/>
    <w:rsid w:val="006C22F1"/>
    <w:rsid w:val="006C35F4"/>
    <w:rsid w:val="006C37E1"/>
    <w:rsid w:val="006C3C6F"/>
    <w:rsid w:val="006C4E4C"/>
    <w:rsid w:val="006C51B8"/>
    <w:rsid w:val="006C5339"/>
    <w:rsid w:val="006C5949"/>
    <w:rsid w:val="006C5BA0"/>
    <w:rsid w:val="006C7B68"/>
    <w:rsid w:val="006C7F6A"/>
    <w:rsid w:val="006D1BAF"/>
    <w:rsid w:val="006D1C47"/>
    <w:rsid w:val="006D2056"/>
    <w:rsid w:val="006D2296"/>
    <w:rsid w:val="006D2A48"/>
    <w:rsid w:val="006D386E"/>
    <w:rsid w:val="006D3880"/>
    <w:rsid w:val="006D428E"/>
    <w:rsid w:val="006D463D"/>
    <w:rsid w:val="006D4B3F"/>
    <w:rsid w:val="006D53A3"/>
    <w:rsid w:val="006D540D"/>
    <w:rsid w:val="006D56F7"/>
    <w:rsid w:val="006D6CAB"/>
    <w:rsid w:val="006D7933"/>
    <w:rsid w:val="006E0A77"/>
    <w:rsid w:val="006E0C4E"/>
    <w:rsid w:val="006E13B3"/>
    <w:rsid w:val="006E13BC"/>
    <w:rsid w:val="006E1505"/>
    <w:rsid w:val="006E1766"/>
    <w:rsid w:val="006E1D02"/>
    <w:rsid w:val="006E1F58"/>
    <w:rsid w:val="006E38E5"/>
    <w:rsid w:val="006E3EC2"/>
    <w:rsid w:val="006E51EE"/>
    <w:rsid w:val="006E54C1"/>
    <w:rsid w:val="006E5526"/>
    <w:rsid w:val="006E6A21"/>
    <w:rsid w:val="006E722A"/>
    <w:rsid w:val="006E79ED"/>
    <w:rsid w:val="006E7DAD"/>
    <w:rsid w:val="006F0550"/>
    <w:rsid w:val="006F093D"/>
    <w:rsid w:val="006F15A2"/>
    <w:rsid w:val="006F3A99"/>
    <w:rsid w:val="006F4319"/>
    <w:rsid w:val="006F4A27"/>
    <w:rsid w:val="006F565E"/>
    <w:rsid w:val="006F7091"/>
    <w:rsid w:val="006F76B6"/>
    <w:rsid w:val="006F7897"/>
    <w:rsid w:val="006F7E6A"/>
    <w:rsid w:val="00700065"/>
    <w:rsid w:val="0070009A"/>
    <w:rsid w:val="007000C4"/>
    <w:rsid w:val="0070049D"/>
    <w:rsid w:val="00700C6C"/>
    <w:rsid w:val="00700D74"/>
    <w:rsid w:val="00700E23"/>
    <w:rsid w:val="00700E32"/>
    <w:rsid w:val="00701173"/>
    <w:rsid w:val="007029CC"/>
    <w:rsid w:val="00703010"/>
    <w:rsid w:val="007035E8"/>
    <w:rsid w:val="007036EA"/>
    <w:rsid w:val="00703833"/>
    <w:rsid w:val="007038AB"/>
    <w:rsid w:val="007041CB"/>
    <w:rsid w:val="00704B24"/>
    <w:rsid w:val="00705587"/>
    <w:rsid w:val="00705AB4"/>
    <w:rsid w:val="00705FF2"/>
    <w:rsid w:val="007069CF"/>
    <w:rsid w:val="00706B6D"/>
    <w:rsid w:val="00706C31"/>
    <w:rsid w:val="00707D10"/>
    <w:rsid w:val="00710AA8"/>
    <w:rsid w:val="00711F3B"/>
    <w:rsid w:val="00712735"/>
    <w:rsid w:val="00712E16"/>
    <w:rsid w:val="00714155"/>
    <w:rsid w:val="0071449D"/>
    <w:rsid w:val="00714A7E"/>
    <w:rsid w:val="00714EFA"/>
    <w:rsid w:val="0071598E"/>
    <w:rsid w:val="00715C85"/>
    <w:rsid w:val="0071620C"/>
    <w:rsid w:val="00716B12"/>
    <w:rsid w:val="00716C98"/>
    <w:rsid w:val="00716FB8"/>
    <w:rsid w:val="00717499"/>
    <w:rsid w:val="0071798D"/>
    <w:rsid w:val="00717EF6"/>
    <w:rsid w:val="00717F79"/>
    <w:rsid w:val="00720A26"/>
    <w:rsid w:val="00721740"/>
    <w:rsid w:val="00721E01"/>
    <w:rsid w:val="0072215B"/>
    <w:rsid w:val="00722502"/>
    <w:rsid w:val="00722E18"/>
    <w:rsid w:val="00725A10"/>
    <w:rsid w:val="00725CB6"/>
    <w:rsid w:val="00726962"/>
    <w:rsid w:val="00726C7A"/>
    <w:rsid w:val="00730010"/>
    <w:rsid w:val="007314B7"/>
    <w:rsid w:val="00732667"/>
    <w:rsid w:val="00732B6E"/>
    <w:rsid w:val="00732EE4"/>
    <w:rsid w:val="007331EA"/>
    <w:rsid w:val="00733EEE"/>
    <w:rsid w:val="007343DA"/>
    <w:rsid w:val="0073481B"/>
    <w:rsid w:val="00734966"/>
    <w:rsid w:val="00734D43"/>
    <w:rsid w:val="00735175"/>
    <w:rsid w:val="0073700B"/>
    <w:rsid w:val="00737343"/>
    <w:rsid w:val="007374C9"/>
    <w:rsid w:val="0073753D"/>
    <w:rsid w:val="00737FFE"/>
    <w:rsid w:val="007420FD"/>
    <w:rsid w:val="00742F66"/>
    <w:rsid w:val="007435AD"/>
    <w:rsid w:val="007436ED"/>
    <w:rsid w:val="00743EFF"/>
    <w:rsid w:val="00744022"/>
    <w:rsid w:val="007444BB"/>
    <w:rsid w:val="007445E6"/>
    <w:rsid w:val="007446A6"/>
    <w:rsid w:val="007447A3"/>
    <w:rsid w:val="00745E7E"/>
    <w:rsid w:val="007460BE"/>
    <w:rsid w:val="00746346"/>
    <w:rsid w:val="007475AC"/>
    <w:rsid w:val="007477E1"/>
    <w:rsid w:val="007479A8"/>
    <w:rsid w:val="00747C7E"/>
    <w:rsid w:val="0075085D"/>
    <w:rsid w:val="0075088C"/>
    <w:rsid w:val="00750FB8"/>
    <w:rsid w:val="00751A87"/>
    <w:rsid w:val="00751DC0"/>
    <w:rsid w:val="007521E0"/>
    <w:rsid w:val="007523C7"/>
    <w:rsid w:val="0075267B"/>
    <w:rsid w:val="00752D32"/>
    <w:rsid w:val="0075389F"/>
    <w:rsid w:val="00753C5F"/>
    <w:rsid w:val="00753D02"/>
    <w:rsid w:val="00754C9B"/>
    <w:rsid w:val="00755C2F"/>
    <w:rsid w:val="0075644E"/>
    <w:rsid w:val="00756F0E"/>
    <w:rsid w:val="00757791"/>
    <w:rsid w:val="00760B93"/>
    <w:rsid w:val="00760E14"/>
    <w:rsid w:val="0076175E"/>
    <w:rsid w:val="00761818"/>
    <w:rsid w:val="007622BA"/>
    <w:rsid w:val="00762DEF"/>
    <w:rsid w:val="00763049"/>
    <w:rsid w:val="007648DA"/>
    <w:rsid w:val="00764A07"/>
    <w:rsid w:val="007657FC"/>
    <w:rsid w:val="00765ED2"/>
    <w:rsid w:val="00766133"/>
    <w:rsid w:val="00766B34"/>
    <w:rsid w:val="0076723E"/>
    <w:rsid w:val="007674B6"/>
    <w:rsid w:val="00767700"/>
    <w:rsid w:val="00767852"/>
    <w:rsid w:val="0076790A"/>
    <w:rsid w:val="00770230"/>
    <w:rsid w:val="0077056C"/>
    <w:rsid w:val="007711B9"/>
    <w:rsid w:val="007716D1"/>
    <w:rsid w:val="00771C1B"/>
    <w:rsid w:val="00771EB8"/>
    <w:rsid w:val="007738EE"/>
    <w:rsid w:val="00773A56"/>
    <w:rsid w:val="00773CE3"/>
    <w:rsid w:val="00774613"/>
    <w:rsid w:val="00774756"/>
    <w:rsid w:val="00774BEA"/>
    <w:rsid w:val="0077561C"/>
    <w:rsid w:val="00776536"/>
    <w:rsid w:val="00777BB6"/>
    <w:rsid w:val="007808EE"/>
    <w:rsid w:val="007809B7"/>
    <w:rsid w:val="007809C0"/>
    <w:rsid w:val="00780DC0"/>
    <w:rsid w:val="007810D6"/>
    <w:rsid w:val="007820FD"/>
    <w:rsid w:val="00782E7A"/>
    <w:rsid w:val="00782F44"/>
    <w:rsid w:val="00783160"/>
    <w:rsid w:val="007845C3"/>
    <w:rsid w:val="00785C02"/>
    <w:rsid w:val="00786B9E"/>
    <w:rsid w:val="00786D50"/>
    <w:rsid w:val="00786D62"/>
    <w:rsid w:val="00786E09"/>
    <w:rsid w:val="007901D3"/>
    <w:rsid w:val="00791D79"/>
    <w:rsid w:val="00791F8E"/>
    <w:rsid w:val="00792190"/>
    <w:rsid w:val="007930F7"/>
    <w:rsid w:val="007937C0"/>
    <w:rsid w:val="00794E29"/>
    <w:rsid w:val="0079618F"/>
    <w:rsid w:val="00796575"/>
    <w:rsid w:val="007967E1"/>
    <w:rsid w:val="0079687E"/>
    <w:rsid w:val="00797695"/>
    <w:rsid w:val="00797A08"/>
    <w:rsid w:val="00797FFA"/>
    <w:rsid w:val="007A035E"/>
    <w:rsid w:val="007A0926"/>
    <w:rsid w:val="007A18D1"/>
    <w:rsid w:val="007A1D39"/>
    <w:rsid w:val="007A1D91"/>
    <w:rsid w:val="007A26A2"/>
    <w:rsid w:val="007A2898"/>
    <w:rsid w:val="007A351A"/>
    <w:rsid w:val="007A3A3C"/>
    <w:rsid w:val="007A580E"/>
    <w:rsid w:val="007A5A16"/>
    <w:rsid w:val="007A5C07"/>
    <w:rsid w:val="007A6034"/>
    <w:rsid w:val="007A6C0F"/>
    <w:rsid w:val="007A7E9D"/>
    <w:rsid w:val="007B08FA"/>
    <w:rsid w:val="007B0E34"/>
    <w:rsid w:val="007B2788"/>
    <w:rsid w:val="007B3140"/>
    <w:rsid w:val="007B4BC8"/>
    <w:rsid w:val="007B5D53"/>
    <w:rsid w:val="007B5D91"/>
    <w:rsid w:val="007B6515"/>
    <w:rsid w:val="007B7681"/>
    <w:rsid w:val="007B7E86"/>
    <w:rsid w:val="007C1EEA"/>
    <w:rsid w:val="007C358E"/>
    <w:rsid w:val="007C3993"/>
    <w:rsid w:val="007C3BD0"/>
    <w:rsid w:val="007C3E88"/>
    <w:rsid w:val="007C3EED"/>
    <w:rsid w:val="007C44A6"/>
    <w:rsid w:val="007C47BD"/>
    <w:rsid w:val="007C50CA"/>
    <w:rsid w:val="007C518C"/>
    <w:rsid w:val="007C52CB"/>
    <w:rsid w:val="007C5352"/>
    <w:rsid w:val="007C5C66"/>
    <w:rsid w:val="007C6AC0"/>
    <w:rsid w:val="007C7424"/>
    <w:rsid w:val="007D16A4"/>
    <w:rsid w:val="007D23E7"/>
    <w:rsid w:val="007D29BC"/>
    <w:rsid w:val="007D2F87"/>
    <w:rsid w:val="007D3C4E"/>
    <w:rsid w:val="007D3CF6"/>
    <w:rsid w:val="007D3D5D"/>
    <w:rsid w:val="007D47CD"/>
    <w:rsid w:val="007D5595"/>
    <w:rsid w:val="007D608C"/>
    <w:rsid w:val="007D61A5"/>
    <w:rsid w:val="007D6F9C"/>
    <w:rsid w:val="007D7C8F"/>
    <w:rsid w:val="007E038F"/>
    <w:rsid w:val="007E0575"/>
    <w:rsid w:val="007E16DE"/>
    <w:rsid w:val="007E1D3C"/>
    <w:rsid w:val="007E2278"/>
    <w:rsid w:val="007E27ED"/>
    <w:rsid w:val="007E27F4"/>
    <w:rsid w:val="007E3005"/>
    <w:rsid w:val="007E306B"/>
    <w:rsid w:val="007E3174"/>
    <w:rsid w:val="007E3EFF"/>
    <w:rsid w:val="007E49B0"/>
    <w:rsid w:val="007E49DD"/>
    <w:rsid w:val="007E55C5"/>
    <w:rsid w:val="007E5FB6"/>
    <w:rsid w:val="007E6072"/>
    <w:rsid w:val="007E6A0B"/>
    <w:rsid w:val="007E7A7B"/>
    <w:rsid w:val="007F144B"/>
    <w:rsid w:val="007F1979"/>
    <w:rsid w:val="007F2D34"/>
    <w:rsid w:val="007F36FB"/>
    <w:rsid w:val="007F3BEE"/>
    <w:rsid w:val="007F3F14"/>
    <w:rsid w:val="007F456E"/>
    <w:rsid w:val="007F4D19"/>
    <w:rsid w:val="007F5888"/>
    <w:rsid w:val="007F5A6A"/>
    <w:rsid w:val="007F5B0A"/>
    <w:rsid w:val="007F5DAF"/>
    <w:rsid w:val="007F6FE5"/>
    <w:rsid w:val="007F7166"/>
    <w:rsid w:val="007F7B3D"/>
    <w:rsid w:val="00801B0A"/>
    <w:rsid w:val="00801DE3"/>
    <w:rsid w:val="00801FE2"/>
    <w:rsid w:val="00803BFF"/>
    <w:rsid w:val="008052A5"/>
    <w:rsid w:val="0080569B"/>
    <w:rsid w:val="00805BA2"/>
    <w:rsid w:val="00805FCD"/>
    <w:rsid w:val="00806B67"/>
    <w:rsid w:val="00806E4B"/>
    <w:rsid w:val="00806FFF"/>
    <w:rsid w:val="008073AF"/>
    <w:rsid w:val="008115BA"/>
    <w:rsid w:val="00811809"/>
    <w:rsid w:val="00811962"/>
    <w:rsid w:val="00811C91"/>
    <w:rsid w:val="0081225F"/>
    <w:rsid w:val="00812F61"/>
    <w:rsid w:val="008130E7"/>
    <w:rsid w:val="008132E4"/>
    <w:rsid w:val="00813E92"/>
    <w:rsid w:val="008143E7"/>
    <w:rsid w:val="00814668"/>
    <w:rsid w:val="00814729"/>
    <w:rsid w:val="00814C16"/>
    <w:rsid w:val="00815059"/>
    <w:rsid w:val="008162B8"/>
    <w:rsid w:val="00816933"/>
    <w:rsid w:val="00816A9A"/>
    <w:rsid w:val="0081749C"/>
    <w:rsid w:val="00820586"/>
    <w:rsid w:val="008212D8"/>
    <w:rsid w:val="008217FE"/>
    <w:rsid w:val="00821CF3"/>
    <w:rsid w:val="00821F56"/>
    <w:rsid w:val="008225D2"/>
    <w:rsid w:val="008241DA"/>
    <w:rsid w:val="00824A40"/>
    <w:rsid w:val="00825313"/>
    <w:rsid w:val="008267DB"/>
    <w:rsid w:val="00826976"/>
    <w:rsid w:val="00826A7A"/>
    <w:rsid w:val="00826AA3"/>
    <w:rsid w:val="00826AB9"/>
    <w:rsid w:val="00827411"/>
    <w:rsid w:val="008310AB"/>
    <w:rsid w:val="008321C2"/>
    <w:rsid w:val="0083235C"/>
    <w:rsid w:val="00832764"/>
    <w:rsid w:val="008328E7"/>
    <w:rsid w:val="0083330E"/>
    <w:rsid w:val="0083359F"/>
    <w:rsid w:val="008337CD"/>
    <w:rsid w:val="008357AB"/>
    <w:rsid w:val="00835A21"/>
    <w:rsid w:val="00835A63"/>
    <w:rsid w:val="00835E2B"/>
    <w:rsid w:val="008360E3"/>
    <w:rsid w:val="008365FC"/>
    <w:rsid w:val="008372D5"/>
    <w:rsid w:val="00840F29"/>
    <w:rsid w:val="00841173"/>
    <w:rsid w:val="008414BF"/>
    <w:rsid w:val="008418A2"/>
    <w:rsid w:val="00841B3C"/>
    <w:rsid w:val="0084249E"/>
    <w:rsid w:val="00845079"/>
    <w:rsid w:val="0084589F"/>
    <w:rsid w:val="0084615C"/>
    <w:rsid w:val="00846A69"/>
    <w:rsid w:val="00847DA0"/>
    <w:rsid w:val="00850C6A"/>
    <w:rsid w:val="00850E31"/>
    <w:rsid w:val="00850E59"/>
    <w:rsid w:val="0085146A"/>
    <w:rsid w:val="00851AD0"/>
    <w:rsid w:val="00851AEE"/>
    <w:rsid w:val="00852836"/>
    <w:rsid w:val="00852B2B"/>
    <w:rsid w:val="00853107"/>
    <w:rsid w:val="00856271"/>
    <w:rsid w:val="00856989"/>
    <w:rsid w:val="0086094D"/>
    <w:rsid w:val="00860C5B"/>
    <w:rsid w:val="00861611"/>
    <w:rsid w:val="00862294"/>
    <w:rsid w:val="00862955"/>
    <w:rsid w:val="00862E91"/>
    <w:rsid w:val="00863BE9"/>
    <w:rsid w:val="0086402F"/>
    <w:rsid w:val="00864717"/>
    <w:rsid w:val="00864BA8"/>
    <w:rsid w:val="008651FA"/>
    <w:rsid w:val="00865C9C"/>
    <w:rsid w:val="008663D3"/>
    <w:rsid w:val="0086682D"/>
    <w:rsid w:val="0086763A"/>
    <w:rsid w:val="00867810"/>
    <w:rsid w:val="00867FE5"/>
    <w:rsid w:val="008707D7"/>
    <w:rsid w:val="00870B68"/>
    <w:rsid w:val="00871AFF"/>
    <w:rsid w:val="00872FD3"/>
    <w:rsid w:val="008743C2"/>
    <w:rsid w:val="008745A9"/>
    <w:rsid w:val="00874E05"/>
    <w:rsid w:val="008750AB"/>
    <w:rsid w:val="008751AA"/>
    <w:rsid w:val="008753CC"/>
    <w:rsid w:val="00876469"/>
    <w:rsid w:val="0088127D"/>
    <w:rsid w:val="00881477"/>
    <w:rsid w:val="00881D19"/>
    <w:rsid w:val="0088205F"/>
    <w:rsid w:val="008820AE"/>
    <w:rsid w:val="00882588"/>
    <w:rsid w:val="00882E9E"/>
    <w:rsid w:val="008833B1"/>
    <w:rsid w:val="00883623"/>
    <w:rsid w:val="0088398B"/>
    <w:rsid w:val="008843B2"/>
    <w:rsid w:val="00884EEF"/>
    <w:rsid w:val="008864B1"/>
    <w:rsid w:val="008864D3"/>
    <w:rsid w:val="0088655D"/>
    <w:rsid w:val="00886EBC"/>
    <w:rsid w:val="008901ED"/>
    <w:rsid w:val="00890300"/>
    <w:rsid w:val="008904C1"/>
    <w:rsid w:val="008909BE"/>
    <w:rsid w:val="00890F2C"/>
    <w:rsid w:val="00891224"/>
    <w:rsid w:val="008919CB"/>
    <w:rsid w:val="00891B7E"/>
    <w:rsid w:val="00891BD6"/>
    <w:rsid w:val="008923E0"/>
    <w:rsid w:val="008924CB"/>
    <w:rsid w:val="0089269E"/>
    <w:rsid w:val="00893712"/>
    <w:rsid w:val="00894896"/>
    <w:rsid w:val="00894A81"/>
    <w:rsid w:val="00894E19"/>
    <w:rsid w:val="00895493"/>
    <w:rsid w:val="00896340"/>
    <w:rsid w:val="00896B4F"/>
    <w:rsid w:val="0089774A"/>
    <w:rsid w:val="00897822"/>
    <w:rsid w:val="00897A40"/>
    <w:rsid w:val="008A07E9"/>
    <w:rsid w:val="008A08E6"/>
    <w:rsid w:val="008A0D05"/>
    <w:rsid w:val="008A0FEB"/>
    <w:rsid w:val="008A102E"/>
    <w:rsid w:val="008A24D9"/>
    <w:rsid w:val="008A296D"/>
    <w:rsid w:val="008A2B6F"/>
    <w:rsid w:val="008A2C89"/>
    <w:rsid w:val="008A32C0"/>
    <w:rsid w:val="008A3870"/>
    <w:rsid w:val="008A3955"/>
    <w:rsid w:val="008A3FE9"/>
    <w:rsid w:val="008A43DE"/>
    <w:rsid w:val="008A45E3"/>
    <w:rsid w:val="008A4711"/>
    <w:rsid w:val="008A4F2F"/>
    <w:rsid w:val="008A4F9F"/>
    <w:rsid w:val="008A50AC"/>
    <w:rsid w:val="008A5E64"/>
    <w:rsid w:val="008A64AE"/>
    <w:rsid w:val="008A6D49"/>
    <w:rsid w:val="008A7173"/>
    <w:rsid w:val="008A76F3"/>
    <w:rsid w:val="008A7E75"/>
    <w:rsid w:val="008B20B3"/>
    <w:rsid w:val="008B21B3"/>
    <w:rsid w:val="008B43B9"/>
    <w:rsid w:val="008B4AEA"/>
    <w:rsid w:val="008B4B28"/>
    <w:rsid w:val="008B5469"/>
    <w:rsid w:val="008B6227"/>
    <w:rsid w:val="008B6247"/>
    <w:rsid w:val="008B651B"/>
    <w:rsid w:val="008B6A2C"/>
    <w:rsid w:val="008B6C9B"/>
    <w:rsid w:val="008B6E31"/>
    <w:rsid w:val="008B6EAE"/>
    <w:rsid w:val="008B7657"/>
    <w:rsid w:val="008C02B0"/>
    <w:rsid w:val="008C02FB"/>
    <w:rsid w:val="008C03BA"/>
    <w:rsid w:val="008C3035"/>
    <w:rsid w:val="008C3A32"/>
    <w:rsid w:val="008C3DBF"/>
    <w:rsid w:val="008C4295"/>
    <w:rsid w:val="008C4914"/>
    <w:rsid w:val="008C4DF5"/>
    <w:rsid w:val="008C59BC"/>
    <w:rsid w:val="008C5A4A"/>
    <w:rsid w:val="008C606E"/>
    <w:rsid w:val="008C66E3"/>
    <w:rsid w:val="008C6B85"/>
    <w:rsid w:val="008C6FD8"/>
    <w:rsid w:val="008C73D8"/>
    <w:rsid w:val="008C78C4"/>
    <w:rsid w:val="008C7CCC"/>
    <w:rsid w:val="008D0303"/>
    <w:rsid w:val="008D0AB6"/>
    <w:rsid w:val="008D0DB7"/>
    <w:rsid w:val="008D1DAA"/>
    <w:rsid w:val="008D2C93"/>
    <w:rsid w:val="008D2E4F"/>
    <w:rsid w:val="008D389D"/>
    <w:rsid w:val="008D3C2F"/>
    <w:rsid w:val="008D3EDA"/>
    <w:rsid w:val="008D5455"/>
    <w:rsid w:val="008D5E68"/>
    <w:rsid w:val="008D5E8A"/>
    <w:rsid w:val="008D6432"/>
    <w:rsid w:val="008D6983"/>
    <w:rsid w:val="008D72F0"/>
    <w:rsid w:val="008D7C8B"/>
    <w:rsid w:val="008E0181"/>
    <w:rsid w:val="008E08F4"/>
    <w:rsid w:val="008E0A53"/>
    <w:rsid w:val="008E0B1A"/>
    <w:rsid w:val="008E1B49"/>
    <w:rsid w:val="008E2107"/>
    <w:rsid w:val="008E2EC8"/>
    <w:rsid w:val="008E377D"/>
    <w:rsid w:val="008E38B1"/>
    <w:rsid w:val="008E3CE5"/>
    <w:rsid w:val="008E5227"/>
    <w:rsid w:val="008E5F8F"/>
    <w:rsid w:val="008E67C3"/>
    <w:rsid w:val="008E75FB"/>
    <w:rsid w:val="008F0055"/>
    <w:rsid w:val="008F0AD7"/>
    <w:rsid w:val="008F0FF3"/>
    <w:rsid w:val="008F1057"/>
    <w:rsid w:val="008F153A"/>
    <w:rsid w:val="008F1C7C"/>
    <w:rsid w:val="008F2035"/>
    <w:rsid w:val="008F2546"/>
    <w:rsid w:val="008F3180"/>
    <w:rsid w:val="008F47CC"/>
    <w:rsid w:val="008F4DCE"/>
    <w:rsid w:val="008F5094"/>
    <w:rsid w:val="008F52AE"/>
    <w:rsid w:val="008F531D"/>
    <w:rsid w:val="008F5D55"/>
    <w:rsid w:val="008F6533"/>
    <w:rsid w:val="008F66E8"/>
    <w:rsid w:val="008F6BDF"/>
    <w:rsid w:val="008F6BEE"/>
    <w:rsid w:val="008F7C08"/>
    <w:rsid w:val="008F7C7F"/>
    <w:rsid w:val="009000DE"/>
    <w:rsid w:val="00900DE4"/>
    <w:rsid w:val="009014A2"/>
    <w:rsid w:val="0090233B"/>
    <w:rsid w:val="009031B6"/>
    <w:rsid w:val="009032E1"/>
    <w:rsid w:val="0090468A"/>
    <w:rsid w:val="00904EA6"/>
    <w:rsid w:val="00906B4D"/>
    <w:rsid w:val="00906CFD"/>
    <w:rsid w:val="00907754"/>
    <w:rsid w:val="00907A4B"/>
    <w:rsid w:val="00907A4E"/>
    <w:rsid w:val="009108B8"/>
    <w:rsid w:val="00910C8A"/>
    <w:rsid w:val="009114C7"/>
    <w:rsid w:val="00911A66"/>
    <w:rsid w:val="009120F8"/>
    <w:rsid w:val="009121D8"/>
    <w:rsid w:val="0091242D"/>
    <w:rsid w:val="00913C6B"/>
    <w:rsid w:val="0091509C"/>
    <w:rsid w:val="009151F1"/>
    <w:rsid w:val="0091791D"/>
    <w:rsid w:val="00920974"/>
    <w:rsid w:val="00921544"/>
    <w:rsid w:val="009220B5"/>
    <w:rsid w:val="0092363A"/>
    <w:rsid w:val="00923677"/>
    <w:rsid w:val="009249D7"/>
    <w:rsid w:val="00924C12"/>
    <w:rsid w:val="00925174"/>
    <w:rsid w:val="00925475"/>
    <w:rsid w:val="00925700"/>
    <w:rsid w:val="00925895"/>
    <w:rsid w:val="00925B27"/>
    <w:rsid w:val="00925C88"/>
    <w:rsid w:val="00926755"/>
    <w:rsid w:val="009313A4"/>
    <w:rsid w:val="00932428"/>
    <w:rsid w:val="009324DC"/>
    <w:rsid w:val="00933910"/>
    <w:rsid w:val="00933A45"/>
    <w:rsid w:val="009347F7"/>
    <w:rsid w:val="0093499C"/>
    <w:rsid w:val="00934B2D"/>
    <w:rsid w:val="00934C51"/>
    <w:rsid w:val="0093547B"/>
    <w:rsid w:val="00935E2D"/>
    <w:rsid w:val="009366BF"/>
    <w:rsid w:val="009366D5"/>
    <w:rsid w:val="009368CD"/>
    <w:rsid w:val="009369E9"/>
    <w:rsid w:val="009371A2"/>
    <w:rsid w:val="009372DA"/>
    <w:rsid w:val="00937BC1"/>
    <w:rsid w:val="00940722"/>
    <w:rsid w:val="009410CE"/>
    <w:rsid w:val="0094184B"/>
    <w:rsid w:val="00941861"/>
    <w:rsid w:val="009422BA"/>
    <w:rsid w:val="00942DB7"/>
    <w:rsid w:val="0094340C"/>
    <w:rsid w:val="00943884"/>
    <w:rsid w:val="00944343"/>
    <w:rsid w:val="00945968"/>
    <w:rsid w:val="009468BC"/>
    <w:rsid w:val="00946BA0"/>
    <w:rsid w:val="0094720D"/>
    <w:rsid w:val="00947A43"/>
    <w:rsid w:val="00947F86"/>
    <w:rsid w:val="009518D0"/>
    <w:rsid w:val="00951985"/>
    <w:rsid w:val="00951BB9"/>
    <w:rsid w:val="00952E0E"/>
    <w:rsid w:val="009534C5"/>
    <w:rsid w:val="009539FF"/>
    <w:rsid w:val="00954723"/>
    <w:rsid w:val="00954A71"/>
    <w:rsid w:val="00955087"/>
    <w:rsid w:val="00955D0E"/>
    <w:rsid w:val="00956C60"/>
    <w:rsid w:val="009572CB"/>
    <w:rsid w:val="00957884"/>
    <w:rsid w:val="0096004E"/>
    <w:rsid w:val="00960141"/>
    <w:rsid w:val="009610FB"/>
    <w:rsid w:val="00961707"/>
    <w:rsid w:val="009646A2"/>
    <w:rsid w:val="00964A4F"/>
    <w:rsid w:val="0096614F"/>
    <w:rsid w:val="00966636"/>
    <w:rsid w:val="00966C92"/>
    <w:rsid w:val="0096792C"/>
    <w:rsid w:val="00967A37"/>
    <w:rsid w:val="0097047A"/>
    <w:rsid w:val="0097098B"/>
    <w:rsid w:val="00970A94"/>
    <w:rsid w:val="009718D1"/>
    <w:rsid w:val="00971D22"/>
    <w:rsid w:val="009726A7"/>
    <w:rsid w:val="0097278E"/>
    <w:rsid w:val="009727AD"/>
    <w:rsid w:val="00972C90"/>
    <w:rsid w:val="009737A6"/>
    <w:rsid w:val="00973F16"/>
    <w:rsid w:val="009745C2"/>
    <w:rsid w:val="00974AE5"/>
    <w:rsid w:val="00974D78"/>
    <w:rsid w:val="009754F7"/>
    <w:rsid w:val="00975949"/>
    <w:rsid w:val="0097607F"/>
    <w:rsid w:val="0097624D"/>
    <w:rsid w:val="00976F9B"/>
    <w:rsid w:val="0098005E"/>
    <w:rsid w:val="00980AD3"/>
    <w:rsid w:val="00981248"/>
    <w:rsid w:val="00981D3C"/>
    <w:rsid w:val="00982176"/>
    <w:rsid w:val="009823F5"/>
    <w:rsid w:val="009825BF"/>
    <w:rsid w:val="00983044"/>
    <w:rsid w:val="0098322D"/>
    <w:rsid w:val="00983AD9"/>
    <w:rsid w:val="00984529"/>
    <w:rsid w:val="009846F7"/>
    <w:rsid w:val="0098472B"/>
    <w:rsid w:val="009867C2"/>
    <w:rsid w:val="009870E3"/>
    <w:rsid w:val="009871A6"/>
    <w:rsid w:val="00987581"/>
    <w:rsid w:val="009879A9"/>
    <w:rsid w:val="009907B5"/>
    <w:rsid w:val="00990E11"/>
    <w:rsid w:val="00990E65"/>
    <w:rsid w:val="00992371"/>
    <w:rsid w:val="009930E0"/>
    <w:rsid w:val="00993EB5"/>
    <w:rsid w:val="009945B1"/>
    <w:rsid w:val="009946CC"/>
    <w:rsid w:val="00994AA3"/>
    <w:rsid w:val="009957CA"/>
    <w:rsid w:val="0099584F"/>
    <w:rsid w:val="0099611E"/>
    <w:rsid w:val="00996775"/>
    <w:rsid w:val="0099690C"/>
    <w:rsid w:val="00997178"/>
    <w:rsid w:val="009A02D1"/>
    <w:rsid w:val="009A0346"/>
    <w:rsid w:val="009A094D"/>
    <w:rsid w:val="009A0C07"/>
    <w:rsid w:val="009A0D6B"/>
    <w:rsid w:val="009A12C4"/>
    <w:rsid w:val="009A19DF"/>
    <w:rsid w:val="009A205F"/>
    <w:rsid w:val="009A2BB1"/>
    <w:rsid w:val="009A3663"/>
    <w:rsid w:val="009A4FA5"/>
    <w:rsid w:val="009A57F3"/>
    <w:rsid w:val="009A5A35"/>
    <w:rsid w:val="009A5AC5"/>
    <w:rsid w:val="009A60E4"/>
    <w:rsid w:val="009A6E04"/>
    <w:rsid w:val="009A719E"/>
    <w:rsid w:val="009B0CDB"/>
    <w:rsid w:val="009B18CC"/>
    <w:rsid w:val="009B2B6C"/>
    <w:rsid w:val="009B2BF7"/>
    <w:rsid w:val="009B2F32"/>
    <w:rsid w:val="009B327B"/>
    <w:rsid w:val="009B3F5C"/>
    <w:rsid w:val="009B595A"/>
    <w:rsid w:val="009B5CCE"/>
    <w:rsid w:val="009B7944"/>
    <w:rsid w:val="009C02C3"/>
    <w:rsid w:val="009C0F91"/>
    <w:rsid w:val="009C14BA"/>
    <w:rsid w:val="009C3160"/>
    <w:rsid w:val="009C582D"/>
    <w:rsid w:val="009C5F19"/>
    <w:rsid w:val="009C62EA"/>
    <w:rsid w:val="009C72D4"/>
    <w:rsid w:val="009C760D"/>
    <w:rsid w:val="009D0075"/>
    <w:rsid w:val="009D01DF"/>
    <w:rsid w:val="009D0D2E"/>
    <w:rsid w:val="009D1657"/>
    <w:rsid w:val="009D177B"/>
    <w:rsid w:val="009D2331"/>
    <w:rsid w:val="009D24F6"/>
    <w:rsid w:val="009D2DA3"/>
    <w:rsid w:val="009D2EDD"/>
    <w:rsid w:val="009D32BE"/>
    <w:rsid w:val="009D3855"/>
    <w:rsid w:val="009D3A15"/>
    <w:rsid w:val="009D4D1B"/>
    <w:rsid w:val="009D54F7"/>
    <w:rsid w:val="009D622D"/>
    <w:rsid w:val="009D623A"/>
    <w:rsid w:val="009D658F"/>
    <w:rsid w:val="009D7EC4"/>
    <w:rsid w:val="009E1B67"/>
    <w:rsid w:val="009E2233"/>
    <w:rsid w:val="009E2292"/>
    <w:rsid w:val="009E2E6C"/>
    <w:rsid w:val="009E3412"/>
    <w:rsid w:val="009E38F8"/>
    <w:rsid w:val="009E40AD"/>
    <w:rsid w:val="009E42B7"/>
    <w:rsid w:val="009E4DA0"/>
    <w:rsid w:val="009E5934"/>
    <w:rsid w:val="009E593D"/>
    <w:rsid w:val="009E63D9"/>
    <w:rsid w:val="009F08ED"/>
    <w:rsid w:val="009F1F99"/>
    <w:rsid w:val="009F298D"/>
    <w:rsid w:val="009F2C27"/>
    <w:rsid w:val="009F2ED3"/>
    <w:rsid w:val="009F3D43"/>
    <w:rsid w:val="009F42BB"/>
    <w:rsid w:val="009F4D00"/>
    <w:rsid w:val="009F54C8"/>
    <w:rsid w:val="009F5505"/>
    <w:rsid w:val="009F5690"/>
    <w:rsid w:val="009F62EE"/>
    <w:rsid w:val="009F63A0"/>
    <w:rsid w:val="009F6608"/>
    <w:rsid w:val="009F68C9"/>
    <w:rsid w:val="009F7916"/>
    <w:rsid w:val="009F79B9"/>
    <w:rsid w:val="00A00ED2"/>
    <w:rsid w:val="00A019A4"/>
    <w:rsid w:val="00A02A5A"/>
    <w:rsid w:val="00A034B3"/>
    <w:rsid w:val="00A03CB1"/>
    <w:rsid w:val="00A04879"/>
    <w:rsid w:val="00A04B09"/>
    <w:rsid w:val="00A05963"/>
    <w:rsid w:val="00A05E61"/>
    <w:rsid w:val="00A0783F"/>
    <w:rsid w:val="00A10DA2"/>
    <w:rsid w:val="00A113DF"/>
    <w:rsid w:val="00A1169C"/>
    <w:rsid w:val="00A11DA3"/>
    <w:rsid w:val="00A129D6"/>
    <w:rsid w:val="00A12B2A"/>
    <w:rsid w:val="00A143D7"/>
    <w:rsid w:val="00A15458"/>
    <w:rsid w:val="00A15E22"/>
    <w:rsid w:val="00A172E0"/>
    <w:rsid w:val="00A17B42"/>
    <w:rsid w:val="00A208D9"/>
    <w:rsid w:val="00A21955"/>
    <w:rsid w:val="00A21B72"/>
    <w:rsid w:val="00A22E49"/>
    <w:rsid w:val="00A22F1B"/>
    <w:rsid w:val="00A2317F"/>
    <w:rsid w:val="00A236BC"/>
    <w:rsid w:val="00A2376C"/>
    <w:rsid w:val="00A24B10"/>
    <w:rsid w:val="00A262AC"/>
    <w:rsid w:val="00A263D1"/>
    <w:rsid w:val="00A263ED"/>
    <w:rsid w:val="00A2643B"/>
    <w:rsid w:val="00A2734A"/>
    <w:rsid w:val="00A277ED"/>
    <w:rsid w:val="00A27879"/>
    <w:rsid w:val="00A27BCE"/>
    <w:rsid w:val="00A300A6"/>
    <w:rsid w:val="00A304E9"/>
    <w:rsid w:val="00A31419"/>
    <w:rsid w:val="00A31601"/>
    <w:rsid w:val="00A33081"/>
    <w:rsid w:val="00A330E7"/>
    <w:rsid w:val="00A33453"/>
    <w:rsid w:val="00A35906"/>
    <w:rsid w:val="00A35AA1"/>
    <w:rsid w:val="00A363A0"/>
    <w:rsid w:val="00A363B9"/>
    <w:rsid w:val="00A3720D"/>
    <w:rsid w:val="00A37872"/>
    <w:rsid w:val="00A40434"/>
    <w:rsid w:val="00A408BB"/>
    <w:rsid w:val="00A40C67"/>
    <w:rsid w:val="00A41055"/>
    <w:rsid w:val="00A4126C"/>
    <w:rsid w:val="00A423F9"/>
    <w:rsid w:val="00A42B76"/>
    <w:rsid w:val="00A4318E"/>
    <w:rsid w:val="00A444D1"/>
    <w:rsid w:val="00A4626D"/>
    <w:rsid w:val="00A464DD"/>
    <w:rsid w:val="00A4653B"/>
    <w:rsid w:val="00A46F34"/>
    <w:rsid w:val="00A47236"/>
    <w:rsid w:val="00A47A94"/>
    <w:rsid w:val="00A47BC6"/>
    <w:rsid w:val="00A47FE7"/>
    <w:rsid w:val="00A50885"/>
    <w:rsid w:val="00A50A22"/>
    <w:rsid w:val="00A51981"/>
    <w:rsid w:val="00A52E7C"/>
    <w:rsid w:val="00A530D2"/>
    <w:rsid w:val="00A53215"/>
    <w:rsid w:val="00A54E0D"/>
    <w:rsid w:val="00A560DC"/>
    <w:rsid w:val="00A56AD3"/>
    <w:rsid w:val="00A57195"/>
    <w:rsid w:val="00A571D1"/>
    <w:rsid w:val="00A57F50"/>
    <w:rsid w:val="00A605D3"/>
    <w:rsid w:val="00A608FC"/>
    <w:rsid w:val="00A61766"/>
    <w:rsid w:val="00A61E2C"/>
    <w:rsid w:val="00A63411"/>
    <w:rsid w:val="00A640BC"/>
    <w:rsid w:val="00A6437F"/>
    <w:rsid w:val="00A64C0B"/>
    <w:rsid w:val="00A65015"/>
    <w:rsid w:val="00A65331"/>
    <w:rsid w:val="00A66709"/>
    <w:rsid w:val="00A66A6D"/>
    <w:rsid w:val="00A677D7"/>
    <w:rsid w:val="00A67E18"/>
    <w:rsid w:val="00A70202"/>
    <w:rsid w:val="00A7144C"/>
    <w:rsid w:val="00A71810"/>
    <w:rsid w:val="00A7246C"/>
    <w:rsid w:val="00A73AED"/>
    <w:rsid w:val="00A73E9A"/>
    <w:rsid w:val="00A744C3"/>
    <w:rsid w:val="00A766D1"/>
    <w:rsid w:val="00A80885"/>
    <w:rsid w:val="00A81536"/>
    <w:rsid w:val="00A81941"/>
    <w:rsid w:val="00A8275D"/>
    <w:rsid w:val="00A82794"/>
    <w:rsid w:val="00A8293C"/>
    <w:rsid w:val="00A84038"/>
    <w:rsid w:val="00A84052"/>
    <w:rsid w:val="00A842D9"/>
    <w:rsid w:val="00A847C0"/>
    <w:rsid w:val="00A84C47"/>
    <w:rsid w:val="00A850EF"/>
    <w:rsid w:val="00A8533E"/>
    <w:rsid w:val="00A859A0"/>
    <w:rsid w:val="00A85C37"/>
    <w:rsid w:val="00A85E32"/>
    <w:rsid w:val="00A86080"/>
    <w:rsid w:val="00A861FD"/>
    <w:rsid w:val="00A86708"/>
    <w:rsid w:val="00A86DFB"/>
    <w:rsid w:val="00A870C2"/>
    <w:rsid w:val="00A87D2B"/>
    <w:rsid w:val="00A87EB5"/>
    <w:rsid w:val="00A904B3"/>
    <w:rsid w:val="00A90543"/>
    <w:rsid w:val="00A90EF3"/>
    <w:rsid w:val="00A9177A"/>
    <w:rsid w:val="00A9246E"/>
    <w:rsid w:val="00A926E9"/>
    <w:rsid w:val="00A9361D"/>
    <w:rsid w:val="00A94E26"/>
    <w:rsid w:val="00A94E41"/>
    <w:rsid w:val="00A95A26"/>
    <w:rsid w:val="00A9685B"/>
    <w:rsid w:val="00A96C8E"/>
    <w:rsid w:val="00A96CE4"/>
    <w:rsid w:val="00A96DA2"/>
    <w:rsid w:val="00A972F9"/>
    <w:rsid w:val="00AA0264"/>
    <w:rsid w:val="00AA0856"/>
    <w:rsid w:val="00AA0C20"/>
    <w:rsid w:val="00AA0ED9"/>
    <w:rsid w:val="00AA0F46"/>
    <w:rsid w:val="00AA12E1"/>
    <w:rsid w:val="00AA2D7A"/>
    <w:rsid w:val="00AA321F"/>
    <w:rsid w:val="00AA3848"/>
    <w:rsid w:val="00AA4301"/>
    <w:rsid w:val="00AA4C6F"/>
    <w:rsid w:val="00AA545F"/>
    <w:rsid w:val="00AA5AFB"/>
    <w:rsid w:val="00AA5D50"/>
    <w:rsid w:val="00AA6326"/>
    <w:rsid w:val="00AA6843"/>
    <w:rsid w:val="00AA6ADA"/>
    <w:rsid w:val="00AA70C9"/>
    <w:rsid w:val="00AA7ED0"/>
    <w:rsid w:val="00AA7FBE"/>
    <w:rsid w:val="00AB0CB1"/>
    <w:rsid w:val="00AB228B"/>
    <w:rsid w:val="00AB27B5"/>
    <w:rsid w:val="00AB27F5"/>
    <w:rsid w:val="00AB3827"/>
    <w:rsid w:val="00AB3A46"/>
    <w:rsid w:val="00AB4844"/>
    <w:rsid w:val="00AB69D7"/>
    <w:rsid w:val="00AB74F3"/>
    <w:rsid w:val="00AB7F65"/>
    <w:rsid w:val="00AB7F69"/>
    <w:rsid w:val="00AC05E4"/>
    <w:rsid w:val="00AC08D6"/>
    <w:rsid w:val="00AC11B5"/>
    <w:rsid w:val="00AC11D7"/>
    <w:rsid w:val="00AC11FC"/>
    <w:rsid w:val="00AC1266"/>
    <w:rsid w:val="00AC1391"/>
    <w:rsid w:val="00AC1402"/>
    <w:rsid w:val="00AC197B"/>
    <w:rsid w:val="00AC20F2"/>
    <w:rsid w:val="00AC29D1"/>
    <w:rsid w:val="00AC2A8D"/>
    <w:rsid w:val="00AC2CBD"/>
    <w:rsid w:val="00AC32AD"/>
    <w:rsid w:val="00AC3C28"/>
    <w:rsid w:val="00AC443A"/>
    <w:rsid w:val="00AC48C7"/>
    <w:rsid w:val="00AC4C83"/>
    <w:rsid w:val="00AC5572"/>
    <w:rsid w:val="00AC5DB9"/>
    <w:rsid w:val="00AC5FF8"/>
    <w:rsid w:val="00AC6D1D"/>
    <w:rsid w:val="00AC7644"/>
    <w:rsid w:val="00AD19E0"/>
    <w:rsid w:val="00AD1DDC"/>
    <w:rsid w:val="00AD242B"/>
    <w:rsid w:val="00AD2F48"/>
    <w:rsid w:val="00AD338C"/>
    <w:rsid w:val="00AD44D8"/>
    <w:rsid w:val="00AD47E4"/>
    <w:rsid w:val="00AD49DC"/>
    <w:rsid w:val="00AD5992"/>
    <w:rsid w:val="00AD67E2"/>
    <w:rsid w:val="00AD7082"/>
    <w:rsid w:val="00AD7E22"/>
    <w:rsid w:val="00AD7F59"/>
    <w:rsid w:val="00AE0765"/>
    <w:rsid w:val="00AE2BA1"/>
    <w:rsid w:val="00AE3DFB"/>
    <w:rsid w:val="00AE445D"/>
    <w:rsid w:val="00AE4904"/>
    <w:rsid w:val="00AE4CC7"/>
    <w:rsid w:val="00AE5FC8"/>
    <w:rsid w:val="00AE6148"/>
    <w:rsid w:val="00AE62BC"/>
    <w:rsid w:val="00AE6439"/>
    <w:rsid w:val="00AE7097"/>
    <w:rsid w:val="00AE745D"/>
    <w:rsid w:val="00AE7D74"/>
    <w:rsid w:val="00AF00B6"/>
    <w:rsid w:val="00AF05C6"/>
    <w:rsid w:val="00AF1778"/>
    <w:rsid w:val="00AF187E"/>
    <w:rsid w:val="00AF272F"/>
    <w:rsid w:val="00AF2903"/>
    <w:rsid w:val="00AF5236"/>
    <w:rsid w:val="00AF5C25"/>
    <w:rsid w:val="00AF701F"/>
    <w:rsid w:val="00B00988"/>
    <w:rsid w:val="00B00ED4"/>
    <w:rsid w:val="00B03074"/>
    <w:rsid w:val="00B0394D"/>
    <w:rsid w:val="00B041BF"/>
    <w:rsid w:val="00B04D7F"/>
    <w:rsid w:val="00B04D9A"/>
    <w:rsid w:val="00B05489"/>
    <w:rsid w:val="00B05547"/>
    <w:rsid w:val="00B05ED5"/>
    <w:rsid w:val="00B07EE5"/>
    <w:rsid w:val="00B10419"/>
    <w:rsid w:val="00B10529"/>
    <w:rsid w:val="00B1056D"/>
    <w:rsid w:val="00B10C1F"/>
    <w:rsid w:val="00B120E5"/>
    <w:rsid w:val="00B120E6"/>
    <w:rsid w:val="00B12146"/>
    <w:rsid w:val="00B1267D"/>
    <w:rsid w:val="00B12828"/>
    <w:rsid w:val="00B129E1"/>
    <w:rsid w:val="00B12DF5"/>
    <w:rsid w:val="00B12E7A"/>
    <w:rsid w:val="00B1446D"/>
    <w:rsid w:val="00B146AE"/>
    <w:rsid w:val="00B15E65"/>
    <w:rsid w:val="00B16023"/>
    <w:rsid w:val="00B16622"/>
    <w:rsid w:val="00B170CA"/>
    <w:rsid w:val="00B200F9"/>
    <w:rsid w:val="00B20C2A"/>
    <w:rsid w:val="00B21268"/>
    <w:rsid w:val="00B215B0"/>
    <w:rsid w:val="00B21633"/>
    <w:rsid w:val="00B217AD"/>
    <w:rsid w:val="00B2293C"/>
    <w:rsid w:val="00B22BE4"/>
    <w:rsid w:val="00B234AC"/>
    <w:rsid w:val="00B23CBE"/>
    <w:rsid w:val="00B24199"/>
    <w:rsid w:val="00B241A6"/>
    <w:rsid w:val="00B24572"/>
    <w:rsid w:val="00B24EDB"/>
    <w:rsid w:val="00B25117"/>
    <w:rsid w:val="00B25585"/>
    <w:rsid w:val="00B2592A"/>
    <w:rsid w:val="00B300DE"/>
    <w:rsid w:val="00B30AD8"/>
    <w:rsid w:val="00B3143C"/>
    <w:rsid w:val="00B320FC"/>
    <w:rsid w:val="00B3278A"/>
    <w:rsid w:val="00B33706"/>
    <w:rsid w:val="00B34ED3"/>
    <w:rsid w:val="00B3537E"/>
    <w:rsid w:val="00B35830"/>
    <w:rsid w:val="00B3587E"/>
    <w:rsid w:val="00B35DCD"/>
    <w:rsid w:val="00B37F7F"/>
    <w:rsid w:val="00B40402"/>
    <w:rsid w:val="00B4048F"/>
    <w:rsid w:val="00B40504"/>
    <w:rsid w:val="00B41665"/>
    <w:rsid w:val="00B417A3"/>
    <w:rsid w:val="00B42658"/>
    <w:rsid w:val="00B42A57"/>
    <w:rsid w:val="00B42DAB"/>
    <w:rsid w:val="00B43274"/>
    <w:rsid w:val="00B44663"/>
    <w:rsid w:val="00B44EC3"/>
    <w:rsid w:val="00B4537A"/>
    <w:rsid w:val="00B4598C"/>
    <w:rsid w:val="00B460CA"/>
    <w:rsid w:val="00B46908"/>
    <w:rsid w:val="00B501AD"/>
    <w:rsid w:val="00B50488"/>
    <w:rsid w:val="00B50647"/>
    <w:rsid w:val="00B507B6"/>
    <w:rsid w:val="00B512CE"/>
    <w:rsid w:val="00B522E1"/>
    <w:rsid w:val="00B52359"/>
    <w:rsid w:val="00B52401"/>
    <w:rsid w:val="00B539FF"/>
    <w:rsid w:val="00B53AA9"/>
    <w:rsid w:val="00B54E8A"/>
    <w:rsid w:val="00B5510F"/>
    <w:rsid w:val="00B55792"/>
    <w:rsid w:val="00B557CA"/>
    <w:rsid w:val="00B55C96"/>
    <w:rsid w:val="00B5686B"/>
    <w:rsid w:val="00B57644"/>
    <w:rsid w:val="00B601BC"/>
    <w:rsid w:val="00B60247"/>
    <w:rsid w:val="00B6079B"/>
    <w:rsid w:val="00B60CBC"/>
    <w:rsid w:val="00B60D4C"/>
    <w:rsid w:val="00B61F1E"/>
    <w:rsid w:val="00B62453"/>
    <w:rsid w:val="00B624ED"/>
    <w:rsid w:val="00B6286D"/>
    <w:rsid w:val="00B632FB"/>
    <w:rsid w:val="00B63577"/>
    <w:rsid w:val="00B6476E"/>
    <w:rsid w:val="00B6479B"/>
    <w:rsid w:val="00B64877"/>
    <w:rsid w:val="00B65396"/>
    <w:rsid w:val="00B6767E"/>
    <w:rsid w:val="00B67B5E"/>
    <w:rsid w:val="00B71021"/>
    <w:rsid w:val="00B71153"/>
    <w:rsid w:val="00B722B9"/>
    <w:rsid w:val="00B7269B"/>
    <w:rsid w:val="00B7368B"/>
    <w:rsid w:val="00B74054"/>
    <w:rsid w:val="00B745D5"/>
    <w:rsid w:val="00B75015"/>
    <w:rsid w:val="00B75DEE"/>
    <w:rsid w:val="00B76A27"/>
    <w:rsid w:val="00B77221"/>
    <w:rsid w:val="00B772A5"/>
    <w:rsid w:val="00B77716"/>
    <w:rsid w:val="00B77F10"/>
    <w:rsid w:val="00B801E5"/>
    <w:rsid w:val="00B819C1"/>
    <w:rsid w:val="00B81B2B"/>
    <w:rsid w:val="00B827C3"/>
    <w:rsid w:val="00B82A99"/>
    <w:rsid w:val="00B82BA3"/>
    <w:rsid w:val="00B83773"/>
    <w:rsid w:val="00B83D46"/>
    <w:rsid w:val="00B8420D"/>
    <w:rsid w:val="00B85FF6"/>
    <w:rsid w:val="00B86192"/>
    <w:rsid w:val="00B86966"/>
    <w:rsid w:val="00B86B8D"/>
    <w:rsid w:val="00B86C51"/>
    <w:rsid w:val="00B86E6D"/>
    <w:rsid w:val="00B8744B"/>
    <w:rsid w:val="00B87512"/>
    <w:rsid w:val="00B87F79"/>
    <w:rsid w:val="00B90B78"/>
    <w:rsid w:val="00B91D78"/>
    <w:rsid w:val="00B925BA"/>
    <w:rsid w:val="00B93198"/>
    <w:rsid w:val="00B9330E"/>
    <w:rsid w:val="00B93639"/>
    <w:rsid w:val="00B93BA6"/>
    <w:rsid w:val="00B948EE"/>
    <w:rsid w:val="00B96A52"/>
    <w:rsid w:val="00B97876"/>
    <w:rsid w:val="00BA0AEC"/>
    <w:rsid w:val="00BA1110"/>
    <w:rsid w:val="00BA1A83"/>
    <w:rsid w:val="00BA1F0F"/>
    <w:rsid w:val="00BA1FCE"/>
    <w:rsid w:val="00BA21C2"/>
    <w:rsid w:val="00BA237A"/>
    <w:rsid w:val="00BA277B"/>
    <w:rsid w:val="00BA3227"/>
    <w:rsid w:val="00BA32FF"/>
    <w:rsid w:val="00BA385C"/>
    <w:rsid w:val="00BA3BA5"/>
    <w:rsid w:val="00BA433F"/>
    <w:rsid w:val="00BA51FC"/>
    <w:rsid w:val="00BA56FD"/>
    <w:rsid w:val="00BA5CFE"/>
    <w:rsid w:val="00BA67D2"/>
    <w:rsid w:val="00BA7BE0"/>
    <w:rsid w:val="00BB05EB"/>
    <w:rsid w:val="00BB0654"/>
    <w:rsid w:val="00BB0729"/>
    <w:rsid w:val="00BB17F8"/>
    <w:rsid w:val="00BB1A75"/>
    <w:rsid w:val="00BB26B5"/>
    <w:rsid w:val="00BB2A65"/>
    <w:rsid w:val="00BB3C2E"/>
    <w:rsid w:val="00BB4FA5"/>
    <w:rsid w:val="00BB61CF"/>
    <w:rsid w:val="00BB63A5"/>
    <w:rsid w:val="00BB6866"/>
    <w:rsid w:val="00BB68F6"/>
    <w:rsid w:val="00BB6C4E"/>
    <w:rsid w:val="00BB6F2D"/>
    <w:rsid w:val="00BB7F81"/>
    <w:rsid w:val="00BC01CA"/>
    <w:rsid w:val="00BC1793"/>
    <w:rsid w:val="00BC1C62"/>
    <w:rsid w:val="00BC1E50"/>
    <w:rsid w:val="00BC234D"/>
    <w:rsid w:val="00BC277F"/>
    <w:rsid w:val="00BC2D94"/>
    <w:rsid w:val="00BC36A7"/>
    <w:rsid w:val="00BC4523"/>
    <w:rsid w:val="00BC47AA"/>
    <w:rsid w:val="00BC6E36"/>
    <w:rsid w:val="00BC7522"/>
    <w:rsid w:val="00BC7C7A"/>
    <w:rsid w:val="00BC7E51"/>
    <w:rsid w:val="00BD0001"/>
    <w:rsid w:val="00BD0586"/>
    <w:rsid w:val="00BD0DBC"/>
    <w:rsid w:val="00BD1CAA"/>
    <w:rsid w:val="00BD23FB"/>
    <w:rsid w:val="00BD2C25"/>
    <w:rsid w:val="00BD34BC"/>
    <w:rsid w:val="00BD405E"/>
    <w:rsid w:val="00BD42DF"/>
    <w:rsid w:val="00BD4575"/>
    <w:rsid w:val="00BD4674"/>
    <w:rsid w:val="00BD4711"/>
    <w:rsid w:val="00BD4935"/>
    <w:rsid w:val="00BD5084"/>
    <w:rsid w:val="00BD5322"/>
    <w:rsid w:val="00BD5357"/>
    <w:rsid w:val="00BD53C8"/>
    <w:rsid w:val="00BD5C95"/>
    <w:rsid w:val="00BD5ED0"/>
    <w:rsid w:val="00BD60E7"/>
    <w:rsid w:val="00BD6A5D"/>
    <w:rsid w:val="00BE03F6"/>
    <w:rsid w:val="00BE0704"/>
    <w:rsid w:val="00BE0822"/>
    <w:rsid w:val="00BE0C40"/>
    <w:rsid w:val="00BE0F63"/>
    <w:rsid w:val="00BE1AAF"/>
    <w:rsid w:val="00BE1BFC"/>
    <w:rsid w:val="00BE3BFE"/>
    <w:rsid w:val="00BE3CCF"/>
    <w:rsid w:val="00BE3F55"/>
    <w:rsid w:val="00BE408C"/>
    <w:rsid w:val="00BE60EC"/>
    <w:rsid w:val="00BE6428"/>
    <w:rsid w:val="00BE7A5C"/>
    <w:rsid w:val="00BE7F82"/>
    <w:rsid w:val="00BF04F8"/>
    <w:rsid w:val="00BF0919"/>
    <w:rsid w:val="00BF0AFB"/>
    <w:rsid w:val="00BF0D9A"/>
    <w:rsid w:val="00BF16DD"/>
    <w:rsid w:val="00BF22A8"/>
    <w:rsid w:val="00BF2D09"/>
    <w:rsid w:val="00BF3CC8"/>
    <w:rsid w:val="00BF5B8C"/>
    <w:rsid w:val="00C004EE"/>
    <w:rsid w:val="00C007FB"/>
    <w:rsid w:val="00C023FA"/>
    <w:rsid w:val="00C03A81"/>
    <w:rsid w:val="00C03E0F"/>
    <w:rsid w:val="00C04631"/>
    <w:rsid w:val="00C04671"/>
    <w:rsid w:val="00C04729"/>
    <w:rsid w:val="00C04965"/>
    <w:rsid w:val="00C05155"/>
    <w:rsid w:val="00C05266"/>
    <w:rsid w:val="00C052B1"/>
    <w:rsid w:val="00C05781"/>
    <w:rsid w:val="00C05E9A"/>
    <w:rsid w:val="00C07844"/>
    <w:rsid w:val="00C07C63"/>
    <w:rsid w:val="00C105A5"/>
    <w:rsid w:val="00C10611"/>
    <w:rsid w:val="00C10C34"/>
    <w:rsid w:val="00C10C69"/>
    <w:rsid w:val="00C10D4D"/>
    <w:rsid w:val="00C10DF2"/>
    <w:rsid w:val="00C11207"/>
    <w:rsid w:val="00C133A3"/>
    <w:rsid w:val="00C14308"/>
    <w:rsid w:val="00C146C3"/>
    <w:rsid w:val="00C14920"/>
    <w:rsid w:val="00C14C47"/>
    <w:rsid w:val="00C14C7A"/>
    <w:rsid w:val="00C160A6"/>
    <w:rsid w:val="00C168D1"/>
    <w:rsid w:val="00C169FF"/>
    <w:rsid w:val="00C16E18"/>
    <w:rsid w:val="00C17D5C"/>
    <w:rsid w:val="00C17FB5"/>
    <w:rsid w:val="00C200D7"/>
    <w:rsid w:val="00C20142"/>
    <w:rsid w:val="00C20D01"/>
    <w:rsid w:val="00C212A9"/>
    <w:rsid w:val="00C224C1"/>
    <w:rsid w:val="00C234AC"/>
    <w:rsid w:val="00C24528"/>
    <w:rsid w:val="00C25134"/>
    <w:rsid w:val="00C2591C"/>
    <w:rsid w:val="00C25D6A"/>
    <w:rsid w:val="00C264A9"/>
    <w:rsid w:val="00C270F1"/>
    <w:rsid w:val="00C2799E"/>
    <w:rsid w:val="00C30130"/>
    <w:rsid w:val="00C30242"/>
    <w:rsid w:val="00C30695"/>
    <w:rsid w:val="00C30EB7"/>
    <w:rsid w:val="00C32269"/>
    <w:rsid w:val="00C32D56"/>
    <w:rsid w:val="00C333A5"/>
    <w:rsid w:val="00C33495"/>
    <w:rsid w:val="00C34C94"/>
    <w:rsid w:val="00C34F57"/>
    <w:rsid w:val="00C359C5"/>
    <w:rsid w:val="00C35B38"/>
    <w:rsid w:val="00C35C02"/>
    <w:rsid w:val="00C36A66"/>
    <w:rsid w:val="00C36FE4"/>
    <w:rsid w:val="00C3738C"/>
    <w:rsid w:val="00C37AD1"/>
    <w:rsid w:val="00C40410"/>
    <w:rsid w:val="00C409EA"/>
    <w:rsid w:val="00C40CE0"/>
    <w:rsid w:val="00C4138C"/>
    <w:rsid w:val="00C41B44"/>
    <w:rsid w:val="00C42529"/>
    <w:rsid w:val="00C43099"/>
    <w:rsid w:val="00C433CA"/>
    <w:rsid w:val="00C43CE3"/>
    <w:rsid w:val="00C471F3"/>
    <w:rsid w:val="00C5027E"/>
    <w:rsid w:val="00C50E2C"/>
    <w:rsid w:val="00C511E3"/>
    <w:rsid w:val="00C515A6"/>
    <w:rsid w:val="00C528A2"/>
    <w:rsid w:val="00C5378E"/>
    <w:rsid w:val="00C53858"/>
    <w:rsid w:val="00C53C6C"/>
    <w:rsid w:val="00C554EB"/>
    <w:rsid w:val="00C555CF"/>
    <w:rsid w:val="00C55C51"/>
    <w:rsid w:val="00C5638A"/>
    <w:rsid w:val="00C56A3A"/>
    <w:rsid w:val="00C56C51"/>
    <w:rsid w:val="00C573AA"/>
    <w:rsid w:val="00C575BC"/>
    <w:rsid w:val="00C57A2A"/>
    <w:rsid w:val="00C57C34"/>
    <w:rsid w:val="00C57D39"/>
    <w:rsid w:val="00C57FE1"/>
    <w:rsid w:val="00C604E5"/>
    <w:rsid w:val="00C61BEA"/>
    <w:rsid w:val="00C620E8"/>
    <w:rsid w:val="00C6233D"/>
    <w:rsid w:val="00C62445"/>
    <w:rsid w:val="00C62AD4"/>
    <w:rsid w:val="00C63926"/>
    <w:rsid w:val="00C6543C"/>
    <w:rsid w:val="00C667CD"/>
    <w:rsid w:val="00C6689C"/>
    <w:rsid w:val="00C66BC7"/>
    <w:rsid w:val="00C6724A"/>
    <w:rsid w:val="00C701A1"/>
    <w:rsid w:val="00C70C7A"/>
    <w:rsid w:val="00C71172"/>
    <w:rsid w:val="00C72F60"/>
    <w:rsid w:val="00C73C0F"/>
    <w:rsid w:val="00C73FE0"/>
    <w:rsid w:val="00C74802"/>
    <w:rsid w:val="00C74A6D"/>
    <w:rsid w:val="00C750B6"/>
    <w:rsid w:val="00C750BF"/>
    <w:rsid w:val="00C75294"/>
    <w:rsid w:val="00C75447"/>
    <w:rsid w:val="00C75A02"/>
    <w:rsid w:val="00C762BA"/>
    <w:rsid w:val="00C76A66"/>
    <w:rsid w:val="00C770F1"/>
    <w:rsid w:val="00C77327"/>
    <w:rsid w:val="00C775AF"/>
    <w:rsid w:val="00C7773E"/>
    <w:rsid w:val="00C801DD"/>
    <w:rsid w:val="00C8123A"/>
    <w:rsid w:val="00C812CF"/>
    <w:rsid w:val="00C813F7"/>
    <w:rsid w:val="00C831B1"/>
    <w:rsid w:val="00C836E4"/>
    <w:rsid w:val="00C838DA"/>
    <w:rsid w:val="00C83C4F"/>
    <w:rsid w:val="00C84079"/>
    <w:rsid w:val="00C849ED"/>
    <w:rsid w:val="00C84BA2"/>
    <w:rsid w:val="00C85067"/>
    <w:rsid w:val="00C86271"/>
    <w:rsid w:val="00C86BA5"/>
    <w:rsid w:val="00C87144"/>
    <w:rsid w:val="00C87473"/>
    <w:rsid w:val="00C87C08"/>
    <w:rsid w:val="00C904A0"/>
    <w:rsid w:val="00C90F32"/>
    <w:rsid w:val="00C91169"/>
    <w:rsid w:val="00C91426"/>
    <w:rsid w:val="00C9150E"/>
    <w:rsid w:val="00C918F5"/>
    <w:rsid w:val="00C91D3E"/>
    <w:rsid w:val="00C92966"/>
    <w:rsid w:val="00C93C90"/>
    <w:rsid w:val="00C94251"/>
    <w:rsid w:val="00C94EFE"/>
    <w:rsid w:val="00C955C7"/>
    <w:rsid w:val="00C95F02"/>
    <w:rsid w:val="00C96452"/>
    <w:rsid w:val="00C970A8"/>
    <w:rsid w:val="00CA0332"/>
    <w:rsid w:val="00CA1410"/>
    <w:rsid w:val="00CA19CA"/>
    <w:rsid w:val="00CA1B34"/>
    <w:rsid w:val="00CA290C"/>
    <w:rsid w:val="00CA2A43"/>
    <w:rsid w:val="00CA3144"/>
    <w:rsid w:val="00CA32B9"/>
    <w:rsid w:val="00CA3978"/>
    <w:rsid w:val="00CA5885"/>
    <w:rsid w:val="00CA5B0A"/>
    <w:rsid w:val="00CA5C07"/>
    <w:rsid w:val="00CA6806"/>
    <w:rsid w:val="00CA68C4"/>
    <w:rsid w:val="00CA7082"/>
    <w:rsid w:val="00CA78DC"/>
    <w:rsid w:val="00CA790F"/>
    <w:rsid w:val="00CA7CD5"/>
    <w:rsid w:val="00CB012F"/>
    <w:rsid w:val="00CB060C"/>
    <w:rsid w:val="00CB0E0A"/>
    <w:rsid w:val="00CB17D6"/>
    <w:rsid w:val="00CB1F55"/>
    <w:rsid w:val="00CB2A71"/>
    <w:rsid w:val="00CB3D46"/>
    <w:rsid w:val="00CB404C"/>
    <w:rsid w:val="00CB4421"/>
    <w:rsid w:val="00CB47B1"/>
    <w:rsid w:val="00CB48BA"/>
    <w:rsid w:val="00CB4900"/>
    <w:rsid w:val="00CB4DD9"/>
    <w:rsid w:val="00CB556A"/>
    <w:rsid w:val="00CB6104"/>
    <w:rsid w:val="00CB6875"/>
    <w:rsid w:val="00CB74AA"/>
    <w:rsid w:val="00CB777B"/>
    <w:rsid w:val="00CC03E8"/>
    <w:rsid w:val="00CC04B9"/>
    <w:rsid w:val="00CC0850"/>
    <w:rsid w:val="00CC1C4B"/>
    <w:rsid w:val="00CC3A32"/>
    <w:rsid w:val="00CC4423"/>
    <w:rsid w:val="00CC4E70"/>
    <w:rsid w:val="00CC5A47"/>
    <w:rsid w:val="00CC5BE8"/>
    <w:rsid w:val="00CC602B"/>
    <w:rsid w:val="00CC6243"/>
    <w:rsid w:val="00CC646D"/>
    <w:rsid w:val="00CC6914"/>
    <w:rsid w:val="00CC76C1"/>
    <w:rsid w:val="00CC773E"/>
    <w:rsid w:val="00CC786D"/>
    <w:rsid w:val="00CD00A7"/>
    <w:rsid w:val="00CD0268"/>
    <w:rsid w:val="00CD104C"/>
    <w:rsid w:val="00CD1847"/>
    <w:rsid w:val="00CD190D"/>
    <w:rsid w:val="00CD1CDC"/>
    <w:rsid w:val="00CD1ECE"/>
    <w:rsid w:val="00CD2061"/>
    <w:rsid w:val="00CD22D5"/>
    <w:rsid w:val="00CD238D"/>
    <w:rsid w:val="00CD486D"/>
    <w:rsid w:val="00CD4BD1"/>
    <w:rsid w:val="00CD502F"/>
    <w:rsid w:val="00CD54A8"/>
    <w:rsid w:val="00CD6317"/>
    <w:rsid w:val="00CD7D23"/>
    <w:rsid w:val="00CE1EB4"/>
    <w:rsid w:val="00CE1F72"/>
    <w:rsid w:val="00CE1F8F"/>
    <w:rsid w:val="00CE21CC"/>
    <w:rsid w:val="00CE362F"/>
    <w:rsid w:val="00CE4707"/>
    <w:rsid w:val="00CE4B25"/>
    <w:rsid w:val="00CE4B6F"/>
    <w:rsid w:val="00CE4F2B"/>
    <w:rsid w:val="00CE4FEB"/>
    <w:rsid w:val="00CE5B4E"/>
    <w:rsid w:val="00CE7C9D"/>
    <w:rsid w:val="00CE7E35"/>
    <w:rsid w:val="00CF0159"/>
    <w:rsid w:val="00CF0C69"/>
    <w:rsid w:val="00CF1BD5"/>
    <w:rsid w:val="00CF1D1A"/>
    <w:rsid w:val="00CF2483"/>
    <w:rsid w:val="00CF2919"/>
    <w:rsid w:val="00CF2C17"/>
    <w:rsid w:val="00CF34AD"/>
    <w:rsid w:val="00CF3F7C"/>
    <w:rsid w:val="00CF4CB6"/>
    <w:rsid w:val="00CF4EF2"/>
    <w:rsid w:val="00CF5217"/>
    <w:rsid w:val="00CF5BAA"/>
    <w:rsid w:val="00CF64A6"/>
    <w:rsid w:val="00CF6958"/>
    <w:rsid w:val="00CF728F"/>
    <w:rsid w:val="00D011E5"/>
    <w:rsid w:val="00D01A2D"/>
    <w:rsid w:val="00D02210"/>
    <w:rsid w:val="00D0382B"/>
    <w:rsid w:val="00D038F1"/>
    <w:rsid w:val="00D03B69"/>
    <w:rsid w:val="00D03BF3"/>
    <w:rsid w:val="00D03C14"/>
    <w:rsid w:val="00D04EC7"/>
    <w:rsid w:val="00D04FD2"/>
    <w:rsid w:val="00D05346"/>
    <w:rsid w:val="00D05D84"/>
    <w:rsid w:val="00D0612F"/>
    <w:rsid w:val="00D066BB"/>
    <w:rsid w:val="00D06875"/>
    <w:rsid w:val="00D072C2"/>
    <w:rsid w:val="00D07858"/>
    <w:rsid w:val="00D07AD2"/>
    <w:rsid w:val="00D07CB1"/>
    <w:rsid w:val="00D07F3C"/>
    <w:rsid w:val="00D1008E"/>
    <w:rsid w:val="00D104BD"/>
    <w:rsid w:val="00D1070B"/>
    <w:rsid w:val="00D108F6"/>
    <w:rsid w:val="00D11E0F"/>
    <w:rsid w:val="00D1215A"/>
    <w:rsid w:val="00D130C5"/>
    <w:rsid w:val="00D13191"/>
    <w:rsid w:val="00D139F2"/>
    <w:rsid w:val="00D13BB8"/>
    <w:rsid w:val="00D14B1D"/>
    <w:rsid w:val="00D14D54"/>
    <w:rsid w:val="00D1685E"/>
    <w:rsid w:val="00D16CE2"/>
    <w:rsid w:val="00D209E5"/>
    <w:rsid w:val="00D20D49"/>
    <w:rsid w:val="00D20FA6"/>
    <w:rsid w:val="00D21324"/>
    <w:rsid w:val="00D222C1"/>
    <w:rsid w:val="00D22D5C"/>
    <w:rsid w:val="00D23983"/>
    <w:rsid w:val="00D23CA2"/>
    <w:rsid w:val="00D242A0"/>
    <w:rsid w:val="00D25622"/>
    <w:rsid w:val="00D260F1"/>
    <w:rsid w:val="00D26982"/>
    <w:rsid w:val="00D26C1C"/>
    <w:rsid w:val="00D26C40"/>
    <w:rsid w:val="00D2702F"/>
    <w:rsid w:val="00D27159"/>
    <w:rsid w:val="00D30462"/>
    <w:rsid w:val="00D34A09"/>
    <w:rsid w:val="00D35213"/>
    <w:rsid w:val="00D3585F"/>
    <w:rsid w:val="00D35A0B"/>
    <w:rsid w:val="00D35DEC"/>
    <w:rsid w:val="00D35F2E"/>
    <w:rsid w:val="00D36C9E"/>
    <w:rsid w:val="00D36DD6"/>
    <w:rsid w:val="00D373B9"/>
    <w:rsid w:val="00D37582"/>
    <w:rsid w:val="00D37DA3"/>
    <w:rsid w:val="00D40741"/>
    <w:rsid w:val="00D4083A"/>
    <w:rsid w:val="00D40F38"/>
    <w:rsid w:val="00D41F0C"/>
    <w:rsid w:val="00D42083"/>
    <w:rsid w:val="00D42696"/>
    <w:rsid w:val="00D42B0B"/>
    <w:rsid w:val="00D42F6C"/>
    <w:rsid w:val="00D4375F"/>
    <w:rsid w:val="00D439C4"/>
    <w:rsid w:val="00D443BC"/>
    <w:rsid w:val="00D44CDC"/>
    <w:rsid w:val="00D45C1F"/>
    <w:rsid w:val="00D464C2"/>
    <w:rsid w:val="00D469BB"/>
    <w:rsid w:val="00D46A86"/>
    <w:rsid w:val="00D478EA"/>
    <w:rsid w:val="00D50B17"/>
    <w:rsid w:val="00D50E93"/>
    <w:rsid w:val="00D510DB"/>
    <w:rsid w:val="00D51144"/>
    <w:rsid w:val="00D5162F"/>
    <w:rsid w:val="00D53410"/>
    <w:rsid w:val="00D55A2B"/>
    <w:rsid w:val="00D55AD4"/>
    <w:rsid w:val="00D55CF6"/>
    <w:rsid w:val="00D55DF0"/>
    <w:rsid w:val="00D560F3"/>
    <w:rsid w:val="00D56F0C"/>
    <w:rsid w:val="00D57A1D"/>
    <w:rsid w:val="00D57EC7"/>
    <w:rsid w:val="00D6009F"/>
    <w:rsid w:val="00D602B0"/>
    <w:rsid w:val="00D610CC"/>
    <w:rsid w:val="00D612FD"/>
    <w:rsid w:val="00D613E3"/>
    <w:rsid w:val="00D618E8"/>
    <w:rsid w:val="00D6211D"/>
    <w:rsid w:val="00D62401"/>
    <w:rsid w:val="00D62C54"/>
    <w:rsid w:val="00D62E49"/>
    <w:rsid w:val="00D6372C"/>
    <w:rsid w:val="00D63952"/>
    <w:rsid w:val="00D63B9D"/>
    <w:rsid w:val="00D63C9F"/>
    <w:rsid w:val="00D64355"/>
    <w:rsid w:val="00D6460B"/>
    <w:rsid w:val="00D64D5F"/>
    <w:rsid w:val="00D64EAE"/>
    <w:rsid w:val="00D653CA"/>
    <w:rsid w:val="00D65BE9"/>
    <w:rsid w:val="00D65C1D"/>
    <w:rsid w:val="00D6600C"/>
    <w:rsid w:val="00D66422"/>
    <w:rsid w:val="00D66503"/>
    <w:rsid w:val="00D66FF1"/>
    <w:rsid w:val="00D670F7"/>
    <w:rsid w:val="00D67B11"/>
    <w:rsid w:val="00D7047C"/>
    <w:rsid w:val="00D70899"/>
    <w:rsid w:val="00D708FA"/>
    <w:rsid w:val="00D70E28"/>
    <w:rsid w:val="00D70F91"/>
    <w:rsid w:val="00D7145F"/>
    <w:rsid w:val="00D71E1D"/>
    <w:rsid w:val="00D72EAB"/>
    <w:rsid w:val="00D739FB"/>
    <w:rsid w:val="00D7427C"/>
    <w:rsid w:val="00D743D7"/>
    <w:rsid w:val="00D74616"/>
    <w:rsid w:val="00D74945"/>
    <w:rsid w:val="00D74C83"/>
    <w:rsid w:val="00D75D6F"/>
    <w:rsid w:val="00D7735A"/>
    <w:rsid w:val="00D7735E"/>
    <w:rsid w:val="00D80BEE"/>
    <w:rsid w:val="00D812F5"/>
    <w:rsid w:val="00D815AF"/>
    <w:rsid w:val="00D81A08"/>
    <w:rsid w:val="00D81F92"/>
    <w:rsid w:val="00D82089"/>
    <w:rsid w:val="00D8210B"/>
    <w:rsid w:val="00D8323C"/>
    <w:rsid w:val="00D832C1"/>
    <w:rsid w:val="00D83A5D"/>
    <w:rsid w:val="00D863ED"/>
    <w:rsid w:val="00D869A3"/>
    <w:rsid w:val="00D87704"/>
    <w:rsid w:val="00D903D9"/>
    <w:rsid w:val="00D911FF"/>
    <w:rsid w:val="00D917CA"/>
    <w:rsid w:val="00D92393"/>
    <w:rsid w:val="00D92ECA"/>
    <w:rsid w:val="00D9311E"/>
    <w:rsid w:val="00D932F6"/>
    <w:rsid w:val="00D93468"/>
    <w:rsid w:val="00D93B85"/>
    <w:rsid w:val="00D94A3D"/>
    <w:rsid w:val="00D94BE9"/>
    <w:rsid w:val="00D95BD1"/>
    <w:rsid w:val="00D96000"/>
    <w:rsid w:val="00D96305"/>
    <w:rsid w:val="00D96DCF"/>
    <w:rsid w:val="00D97146"/>
    <w:rsid w:val="00D971D0"/>
    <w:rsid w:val="00DA0F12"/>
    <w:rsid w:val="00DA1808"/>
    <w:rsid w:val="00DA234F"/>
    <w:rsid w:val="00DA27A2"/>
    <w:rsid w:val="00DA3CAF"/>
    <w:rsid w:val="00DA3CD9"/>
    <w:rsid w:val="00DA443D"/>
    <w:rsid w:val="00DA49C1"/>
    <w:rsid w:val="00DA5376"/>
    <w:rsid w:val="00DA5B93"/>
    <w:rsid w:val="00DA7626"/>
    <w:rsid w:val="00DA7838"/>
    <w:rsid w:val="00DA7A1C"/>
    <w:rsid w:val="00DB0668"/>
    <w:rsid w:val="00DB0888"/>
    <w:rsid w:val="00DB1190"/>
    <w:rsid w:val="00DB1221"/>
    <w:rsid w:val="00DB156C"/>
    <w:rsid w:val="00DB2D8A"/>
    <w:rsid w:val="00DB2F07"/>
    <w:rsid w:val="00DB324A"/>
    <w:rsid w:val="00DB3E77"/>
    <w:rsid w:val="00DB4494"/>
    <w:rsid w:val="00DB484A"/>
    <w:rsid w:val="00DB5016"/>
    <w:rsid w:val="00DB52C0"/>
    <w:rsid w:val="00DB536C"/>
    <w:rsid w:val="00DB56FD"/>
    <w:rsid w:val="00DB60B2"/>
    <w:rsid w:val="00DB635B"/>
    <w:rsid w:val="00DB658C"/>
    <w:rsid w:val="00DB7301"/>
    <w:rsid w:val="00DB7352"/>
    <w:rsid w:val="00DB74F0"/>
    <w:rsid w:val="00DC05CF"/>
    <w:rsid w:val="00DC0DF7"/>
    <w:rsid w:val="00DC1231"/>
    <w:rsid w:val="00DC1302"/>
    <w:rsid w:val="00DC1876"/>
    <w:rsid w:val="00DC1D5D"/>
    <w:rsid w:val="00DC1DEF"/>
    <w:rsid w:val="00DC3ABE"/>
    <w:rsid w:val="00DC3C91"/>
    <w:rsid w:val="00DC3CE8"/>
    <w:rsid w:val="00DC3FEF"/>
    <w:rsid w:val="00DC44A5"/>
    <w:rsid w:val="00DC4956"/>
    <w:rsid w:val="00DC5322"/>
    <w:rsid w:val="00DC54E4"/>
    <w:rsid w:val="00DC5FFE"/>
    <w:rsid w:val="00DC6BEA"/>
    <w:rsid w:val="00DC6CED"/>
    <w:rsid w:val="00DC710A"/>
    <w:rsid w:val="00DD03DE"/>
    <w:rsid w:val="00DD0470"/>
    <w:rsid w:val="00DD09A4"/>
    <w:rsid w:val="00DD2DF0"/>
    <w:rsid w:val="00DD524C"/>
    <w:rsid w:val="00DD56D6"/>
    <w:rsid w:val="00DD5972"/>
    <w:rsid w:val="00DD5E2A"/>
    <w:rsid w:val="00DD6D5A"/>
    <w:rsid w:val="00DD74DC"/>
    <w:rsid w:val="00DD7519"/>
    <w:rsid w:val="00DE03D7"/>
    <w:rsid w:val="00DE0848"/>
    <w:rsid w:val="00DE0907"/>
    <w:rsid w:val="00DE1348"/>
    <w:rsid w:val="00DE1509"/>
    <w:rsid w:val="00DE1573"/>
    <w:rsid w:val="00DE232D"/>
    <w:rsid w:val="00DE3716"/>
    <w:rsid w:val="00DE3824"/>
    <w:rsid w:val="00DE4D5B"/>
    <w:rsid w:val="00DE5B8B"/>
    <w:rsid w:val="00DE5C8F"/>
    <w:rsid w:val="00DE64E5"/>
    <w:rsid w:val="00DE671A"/>
    <w:rsid w:val="00DE72D3"/>
    <w:rsid w:val="00DE74A9"/>
    <w:rsid w:val="00DF098B"/>
    <w:rsid w:val="00DF0D05"/>
    <w:rsid w:val="00DF11E6"/>
    <w:rsid w:val="00DF121D"/>
    <w:rsid w:val="00DF1A7B"/>
    <w:rsid w:val="00DF1FBA"/>
    <w:rsid w:val="00DF25E7"/>
    <w:rsid w:val="00DF3D46"/>
    <w:rsid w:val="00DF43DA"/>
    <w:rsid w:val="00DF65EC"/>
    <w:rsid w:val="00DF700C"/>
    <w:rsid w:val="00DF708E"/>
    <w:rsid w:val="00DF71AD"/>
    <w:rsid w:val="00DF7CBC"/>
    <w:rsid w:val="00E000FD"/>
    <w:rsid w:val="00E002B6"/>
    <w:rsid w:val="00E00363"/>
    <w:rsid w:val="00E0128C"/>
    <w:rsid w:val="00E01D54"/>
    <w:rsid w:val="00E025D1"/>
    <w:rsid w:val="00E028BF"/>
    <w:rsid w:val="00E02920"/>
    <w:rsid w:val="00E041AD"/>
    <w:rsid w:val="00E048FC"/>
    <w:rsid w:val="00E04A32"/>
    <w:rsid w:val="00E04B61"/>
    <w:rsid w:val="00E04E2A"/>
    <w:rsid w:val="00E06EE5"/>
    <w:rsid w:val="00E104B8"/>
    <w:rsid w:val="00E11192"/>
    <w:rsid w:val="00E113F1"/>
    <w:rsid w:val="00E11FD7"/>
    <w:rsid w:val="00E12683"/>
    <w:rsid w:val="00E13403"/>
    <w:rsid w:val="00E13648"/>
    <w:rsid w:val="00E13CB6"/>
    <w:rsid w:val="00E147C9"/>
    <w:rsid w:val="00E14D67"/>
    <w:rsid w:val="00E14FA6"/>
    <w:rsid w:val="00E15810"/>
    <w:rsid w:val="00E16096"/>
    <w:rsid w:val="00E163CF"/>
    <w:rsid w:val="00E16AD0"/>
    <w:rsid w:val="00E16EDB"/>
    <w:rsid w:val="00E17355"/>
    <w:rsid w:val="00E17AAC"/>
    <w:rsid w:val="00E17BFE"/>
    <w:rsid w:val="00E17DA1"/>
    <w:rsid w:val="00E20981"/>
    <w:rsid w:val="00E21A87"/>
    <w:rsid w:val="00E22448"/>
    <w:rsid w:val="00E22685"/>
    <w:rsid w:val="00E22D69"/>
    <w:rsid w:val="00E230E6"/>
    <w:rsid w:val="00E2327A"/>
    <w:rsid w:val="00E236C3"/>
    <w:rsid w:val="00E26061"/>
    <w:rsid w:val="00E26E74"/>
    <w:rsid w:val="00E27057"/>
    <w:rsid w:val="00E279CB"/>
    <w:rsid w:val="00E27D24"/>
    <w:rsid w:val="00E3023F"/>
    <w:rsid w:val="00E30799"/>
    <w:rsid w:val="00E30AD7"/>
    <w:rsid w:val="00E30FA8"/>
    <w:rsid w:val="00E3221B"/>
    <w:rsid w:val="00E331E2"/>
    <w:rsid w:val="00E33357"/>
    <w:rsid w:val="00E33DD8"/>
    <w:rsid w:val="00E33FDA"/>
    <w:rsid w:val="00E34102"/>
    <w:rsid w:val="00E34350"/>
    <w:rsid w:val="00E34B9B"/>
    <w:rsid w:val="00E34BED"/>
    <w:rsid w:val="00E34CA4"/>
    <w:rsid w:val="00E34F44"/>
    <w:rsid w:val="00E35A33"/>
    <w:rsid w:val="00E36178"/>
    <w:rsid w:val="00E361AC"/>
    <w:rsid w:val="00E36315"/>
    <w:rsid w:val="00E36366"/>
    <w:rsid w:val="00E36725"/>
    <w:rsid w:val="00E36826"/>
    <w:rsid w:val="00E3683E"/>
    <w:rsid w:val="00E368EA"/>
    <w:rsid w:val="00E369D1"/>
    <w:rsid w:val="00E36C1E"/>
    <w:rsid w:val="00E375B8"/>
    <w:rsid w:val="00E40956"/>
    <w:rsid w:val="00E40B20"/>
    <w:rsid w:val="00E40F2D"/>
    <w:rsid w:val="00E41065"/>
    <w:rsid w:val="00E424A0"/>
    <w:rsid w:val="00E42651"/>
    <w:rsid w:val="00E42BAF"/>
    <w:rsid w:val="00E42E65"/>
    <w:rsid w:val="00E42EDA"/>
    <w:rsid w:val="00E436BC"/>
    <w:rsid w:val="00E43894"/>
    <w:rsid w:val="00E43D5C"/>
    <w:rsid w:val="00E4469B"/>
    <w:rsid w:val="00E449EC"/>
    <w:rsid w:val="00E451A7"/>
    <w:rsid w:val="00E452CD"/>
    <w:rsid w:val="00E456E4"/>
    <w:rsid w:val="00E45730"/>
    <w:rsid w:val="00E45790"/>
    <w:rsid w:val="00E46613"/>
    <w:rsid w:val="00E46C30"/>
    <w:rsid w:val="00E4738B"/>
    <w:rsid w:val="00E474BE"/>
    <w:rsid w:val="00E47F1D"/>
    <w:rsid w:val="00E5020C"/>
    <w:rsid w:val="00E508F3"/>
    <w:rsid w:val="00E5155D"/>
    <w:rsid w:val="00E51D7F"/>
    <w:rsid w:val="00E527F7"/>
    <w:rsid w:val="00E52A55"/>
    <w:rsid w:val="00E52BC8"/>
    <w:rsid w:val="00E5475B"/>
    <w:rsid w:val="00E54B4A"/>
    <w:rsid w:val="00E54E0B"/>
    <w:rsid w:val="00E54E65"/>
    <w:rsid w:val="00E55213"/>
    <w:rsid w:val="00E55441"/>
    <w:rsid w:val="00E56201"/>
    <w:rsid w:val="00E5688C"/>
    <w:rsid w:val="00E5697A"/>
    <w:rsid w:val="00E56CFE"/>
    <w:rsid w:val="00E579FA"/>
    <w:rsid w:val="00E600EB"/>
    <w:rsid w:val="00E6018F"/>
    <w:rsid w:val="00E61AB9"/>
    <w:rsid w:val="00E61BA9"/>
    <w:rsid w:val="00E624BF"/>
    <w:rsid w:val="00E62B0E"/>
    <w:rsid w:val="00E62E4C"/>
    <w:rsid w:val="00E63502"/>
    <w:rsid w:val="00E64A1F"/>
    <w:rsid w:val="00E64A53"/>
    <w:rsid w:val="00E64C58"/>
    <w:rsid w:val="00E65086"/>
    <w:rsid w:val="00E650B8"/>
    <w:rsid w:val="00E65100"/>
    <w:rsid w:val="00E65A49"/>
    <w:rsid w:val="00E65B90"/>
    <w:rsid w:val="00E65C1D"/>
    <w:rsid w:val="00E66EC4"/>
    <w:rsid w:val="00E66F7B"/>
    <w:rsid w:val="00E67D9B"/>
    <w:rsid w:val="00E70198"/>
    <w:rsid w:val="00E70A31"/>
    <w:rsid w:val="00E70C48"/>
    <w:rsid w:val="00E714FE"/>
    <w:rsid w:val="00E71950"/>
    <w:rsid w:val="00E71B43"/>
    <w:rsid w:val="00E725BF"/>
    <w:rsid w:val="00E73F1C"/>
    <w:rsid w:val="00E74F1D"/>
    <w:rsid w:val="00E7530E"/>
    <w:rsid w:val="00E75612"/>
    <w:rsid w:val="00E75729"/>
    <w:rsid w:val="00E770C9"/>
    <w:rsid w:val="00E774FD"/>
    <w:rsid w:val="00E77C95"/>
    <w:rsid w:val="00E8043A"/>
    <w:rsid w:val="00E8063E"/>
    <w:rsid w:val="00E80D42"/>
    <w:rsid w:val="00E823D4"/>
    <w:rsid w:val="00E83084"/>
    <w:rsid w:val="00E830D5"/>
    <w:rsid w:val="00E834EB"/>
    <w:rsid w:val="00E839AD"/>
    <w:rsid w:val="00E83D55"/>
    <w:rsid w:val="00E83EA6"/>
    <w:rsid w:val="00E86430"/>
    <w:rsid w:val="00E87CA3"/>
    <w:rsid w:val="00E87F44"/>
    <w:rsid w:val="00E90508"/>
    <w:rsid w:val="00E90CFC"/>
    <w:rsid w:val="00E9126F"/>
    <w:rsid w:val="00E9151E"/>
    <w:rsid w:val="00E915ED"/>
    <w:rsid w:val="00E92341"/>
    <w:rsid w:val="00E923E8"/>
    <w:rsid w:val="00E92531"/>
    <w:rsid w:val="00E937F8"/>
    <w:rsid w:val="00E938B1"/>
    <w:rsid w:val="00E93904"/>
    <w:rsid w:val="00E9394E"/>
    <w:rsid w:val="00E94EB9"/>
    <w:rsid w:val="00E9516B"/>
    <w:rsid w:val="00E9527D"/>
    <w:rsid w:val="00E96BDF"/>
    <w:rsid w:val="00E97CB6"/>
    <w:rsid w:val="00E97E0B"/>
    <w:rsid w:val="00EA05E6"/>
    <w:rsid w:val="00EA069F"/>
    <w:rsid w:val="00EA0D1D"/>
    <w:rsid w:val="00EA0E90"/>
    <w:rsid w:val="00EA0EEC"/>
    <w:rsid w:val="00EA0F39"/>
    <w:rsid w:val="00EA1654"/>
    <w:rsid w:val="00EA2524"/>
    <w:rsid w:val="00EA2BB3"/>
    <w:rsid w:val="00EA3950"/>
    <w:rsid w:val="00EA3C1F"/>
    <w:rsid w:val="00EA415C"/>
    <w:rsid w:val="00EA54D3"/>
    <w:rsid w:val="00EA59FD"/>
    <w:rsid w:val="00EA6653"/>
    <w:rsid w:val="00EA6699"/>
    <w:rsid w:val="00EA7883"/>
    <w:rsid w:val="00EB00E4"/>
    <w:rsid w:val="00EB070D"/>
    <w:rsid w:val="00EB14AF"/>
    <w:rsid w:val="00EB14D0"/>
    <w:rsid w:val="00EB21FF"/>
    <w:rsid w:val="00EB2F2F"/>
    <w:rsid w:val="00EB3210"/>
    <w:rsid w:val="00EB353A"/>
    <w:rsid w:val="00EB3CC8"/>
    <w:rsid w:val="00EB3F96"/>
    <w:rsid w:val="00EB45B0"/>
    <w:rsid w:val="00EB56D3"/>
    <w:rsid w:val="00EB731D"/>
    <w:rsid w:val="00EB7C85"/>
    <w:rsid w:val="00EC0668"/>
    <w:rsid w:val="00EC0C29"/>
    <w:rsid w:val="00EC17CF"/>
    <w:rsid w:val="00EC2982"/>
    <w:rsid w:val="00EC2996"/>
    <w:rsid w:val="00EC32DC"/>
    <w:rsid w:val="00EC4448"/>
    <w:rsid w:val="00EC4533"/>
    <w:rsid w:val="00EC4550"/>
    <w:rsid w:val="00EC5346"/>
    <w:rsid w:val="00EC5B5F"/>
    <w:rsid w:val="00EC7585"/>
    <w:rsid w:val="00EC75DE"/>
    <w:rsid w:val="00EC770E"/>
    <w:rsid w:val="00EC7B77"/>
    <w:rsid w:val="00EC7DCA"/>
    <w:rsid w:val="00EC7ECC"/>
    <w:rsid w:val="00ED0D9E"/>
    <w:rsid w:val="00ED1737"/>
    <w:rsid w:val="00ED1D5F"/>
    <w:rsid w:val="00ED2889"/>
    <w:rsid w:val="00ED2D5B"/>
    <w:rsid w:val="00ED32F5"/>
    <w:rsid w:val="00ED5439"/>
    <w:rsid w:val="00ED5A33"/>
    <w:rsid w:val="00ED6373"/>
    <w:rsid w:val="00ED7732"/>
    <w:rsid w:val="00ED7C67"/>
    <w:rsid w:val="00EE007F"/>
    <w:rsid w:val="00EE0422"/>
    <w:rsid w:val="00EE08BB"/>
    <w:rsid w:val="00EE0B35"/>
    <w:rsid w:val="00EE0BC0"/>
    <w:rsid w:val="00EE0CCA"/>
    <w:rsid w:val="00EE1649"/>
    <w:rsid w:val="00EE2438"/>
    <w:rsid w:val="00EE3031"/>
    <w:rsid w:val="00EE3848"/>
    <w:rsid w:val="00EE3ACF"/>
    <w:rsid w:val="00EE42FD"/>
    <w:rsid w:val="00EE4C4D"/>
    <w:rsid w:val="00EE4CA0"/>
    <w:rsid w:val="00EE4D9A"/>
    <w:rsid w:val="00EE5CDC"/>
    <w:rsid w:val="00EE69B2"/>
    <w:rsid w:val="00EE7395"/>
    <w:rsid w:val="00EF1028"/>
    <w:rsid w:val="00EF1FA9"/>
    <w:rsid w:val="00EF206E"/>
    <w:rsid w:val="00EF2934"/>
    <w:rsid w:val="00EF30DE"/>
    <w:rsid w:val="00EF342F"/>
    <w:rsid w:val="00EF3799"/>
    <w:rsid w:val="00EF3D21"/>
    <w:rsid w:val="00EF4C39"/>
    <w:rsid w:val="00EF4CB8"/>
    <w:rsid w:val="00EF554A"/>
    <w:rsid w:val="00EF6569"/>
    <w:rsid w:val="00EF6C9E"/>
    <w:rsid w:val="00EF7573"/>
    <w:rsid w:val="00EF7C11"/>
    <w:rsid w:val="00F00636"/>
    <w:rsid w:val="00F01289"/>
    <w:rsid w:val="00F012B3"/>
    <w:rsid w:val="00F015AA"/>
    <w:rsid w:val="00F01DBB"/>
    <w:rsid w:val="00F02C30"/>
    <w:rsid w:val="00F03185"/>
    <w:rsid w:val="00F039E4"/>
    <w:rsid w:val="00F039F6"/>
    <w:rsid w:val="00F048CA"/>
    <w:rsid w:val="00F04E91"/>
    <w:rsid w:val="00F05BFB"/>
    <w:rsid w:val="00F05F7D"/>
    <w:rsid w:val="00F06C2C"/>
    <w:rsid w:val="00F07415"/>
    <w:rsid w:val="00F07816"/>
    <w:rsid w:val="00F115F7"/>
    <w:rsid w:val="00F1215D"/>
    <w:rsid w:val="00F12692"/>
    <w:rsid w:val="00F13362"/>
    <w:rsid w:val="00F13DF2"/>
    <w:rsid w:val="00F171C4"/>
    <w:rsid w:val="00F207A7"/>
    <w:rsid w:val="00F21B41"/>
    <w:rsid w:val="00F21ED9"/>
    <w:rsid w:val="00F22A93"/>
    <w:rsid w:val="00F22D7E"/>
    <w:rsid w:val="00F2311D"/>
    <w:rsid w:val="00F2386F"/>
    <w:rsid w:val="00F23F3A"/>
    <w:rsid w:val="00F24180"/>
    <w:rsid w:val="00F25224"/>
    <w:rsid w:val="00F25527"/>
    <w:rsid w:val="00F2567F"/>
    <w:rsid w:val="00F25E8E"/>
    <w:rsid w:val="00F2701C"/>
    <w:rsid w:val="00F27268"/>
    <w:rsid w:val="00F2795F"/>
    <w:rsid w:val="00F27A9A"/>
    <w:rsid w:val="00F30D84"/>
    <w:rsid w:val="00F30EA2"/>
    <w:rsid w:val="00F311F8"/>
    <w:rsid w:val="00F31225"/>
    <w:rsid w:val="00F31580"/>
    <w:rsid w:val="00F316D7"/>
    <w:rsid w:val="00F32182"/>
    <w:rsid w:val="00F32258"/>
    <w:rsid w:val="00F32BBF"/>
    <w:rsid w:val="00F336B7"/>
    <w:rsid w:val="00F346EE"/>
    <w:rsid w:val="00F350AC"/>
    <w:rsid w:val="00F35A5F"/>
    <w:rsid w:val="00F35E1D"/>
    <w:rsid w:val="00F362BD"/>
    <w:rsid w:val="00F37051"/>
    <w:rsid w:val="00F4035C"/>
    <w:rsid w:val="00F4097B"/>
    <w:rsid w:val="00F4239F"/>
    <w:rsid w:val="00F42591"/>
    <w:rsid w:val="00F425C7"/>
    <w:rsid w:val="00F426BF"/>
    <w:rsid w:val="00F42EAC"/>
    <w:rsid w:val="00F437F0"/>
    <w:rsid w:val="00F43BB3"/>
    <w:rsid w:val="00F43C5D"/>
    <w:rsid w:val="00F43FD8"/>
    <w:rsid w:val="00F441DB"/>
    <w:rsid w:val="00F44DED"/>
    <w:rsid w:val="00F452D5"/>
    <w:rsid w:val="00F457CE"/>
    <w:rsid w:val="00F45F76"/>
    <w:rsid w:val="00F4617F"/>
    <w:rsid w:val="00F46C59"/>
    <w:rsid w:val="00F47333"/>
    <w:rsid w:val="00F477D1"/>
    <w:rsid w:val="00F47D14"/>
    <w:rsid w:val="00F509DE"/>
    <w:rsid w:val="00F51110"/>
    <w:rsid w:val="00F522B9"/>
    <w:rsid w:val="00F52ACF"/>
    <w:rsid w:val="00F53713"/>
    <w:rsid w:val="00F53956"/>
    <w:rsid w:val="00F53CD1"/>
    <w:rsid w:val="00F54A3E"/>
    <w:rsid w:val="00F559CD"/>
    <w:rsid w:val="00F559E3"/>
    <w:rsid w:val="00F55E67"/>
    <w:rsid w:val="00F564C5"/>
    <w:rsid w:val="00F56E86"/>
    <w:rsid w:val="00F573D2"/>
    <w:rsid w:val="00F57BA9"/>
    <w:rsid w:val="00F600F7"/>
    <w:rsid w:val="00F60352"/>
    <w:rsid w:val="00F607B9"/>
    <w:rsid w:val="00F61617"/>
    <w:rsid w:val="00F61EF2"/>
    <w:rsid w:val="00F62209"/>
    <w:rsid w:val="00F6267F"/>
    <w:rsid w:val="00F62E9B"/>
    <w:rsid w:val="00F6301B"/>
    <w:rsid w:val="00F63896"/>
    <w:rsid w:val="00F652DD"/>
    <w:rsid w:val="00F677E2"/>
    <w:rsid w:val="00F67A41"/>
    <w:rsid w:val="00F67C80"/>
    <w:rsid w:val="00F70292"/>
    <w:rsid w:val="00F708C6"/>
    <w:rsid w:val="00F70A62"/>
    <w:rsid w:val="00F70EEF"/>
    <w:rsid w:val="00F70F34"/>
    <w:rsid w:val="00F72BD2"/>
    <w:rsid w:val="00F72C77"/>
    <w:rsid w:val="00F7314D"/>
    <w:rsid w:val="00F7438A"/>
    <w:rsid w:val="00F747AF"/>
    <w:rsid w:val="00F74831"/>
    <w:rsid w:val="00F751D5"/>
    <w:rsid w:val="00F753C7"/>
    <w:rsid w:val="00F75B1E"/>
    <w:rsid w:val="00F76755"/>
    <w:rsid w:val="00F768B5"/>
    <w:rsid w:val="00F77B27"/>
    <w:rsid w:val="00F80361"/>
    <w:rsid w:val="00F80CE7"/>
    <w:rsid w:val="00F8114F"/>
    <w:rsid w:val="00F814B3"/>
    <w:rsid w:val="00F839A3"/>
    <w:rsid w:val="00F83A47"/>
    <w:rsid w:val="00F84769"/>
    <w:rsid w:val="00F85AB5"/>
    <w:rsid w:val="00F8624E"/>
    <w:rsid w:val="00F86631"/>
    <w:rsid w:val="00F8675F"/>
    <w:rsid w:val="00F86DAC"/>
    <w:rsid w:val="00F86E7A"/>
    <w:rsid w:val="00F872E0"/>
    <w:rsid w:val="00F87A8B"/>
    <w:rsid w:val="00F87CA0"/>
    <w:rsid w:val="00F904FA"/>
    <w:rsid w:val="00F90750"/>
    <w:rsid w:val="00F910A8"/>
    <w:rsid w:val="00F927BA"/>
    <w:rsid w:val="00F9281D"/>
    <w:rsid w:val="00F93EC6"/>
    <w:rsid w:val="00F9450C"/>
    <w:rsid w:val="00F9482F"/>
    <w:rsid w:val="00F94D00"/>
    <w:rsid w:val="00F94FA2"/>
    <w:rsid w:val="00F96815"/>
    <w:rsid w:val="00F971DA"/>
    <w:rsid w:val="00FA0590"/>
    <w:rsid w:val="00FA0866"/>
    <w:rsid w:val="00FA2113"/>
    <w:rsid w:val="00FA2665"/>
    <w:rsid w:val="00FA2869"/>
    <w:rsid w:val="00FA349A"/>
    <w:rsid w:val="00FA4E9A"/>
    <w:rsid w:val="00FA5232"/>
    <w:rsid w:val="00FA5354"/>
    <w:rsid w:val="00FA54E2"/>
    <w:rsid w:val="00FA5AFA"/>
    <w:rsid w:val="00FA5D30"/>
    <w:rsid w:val="00FA5D80"/>
    <w:rsid w:val="00FA639E"/>
    <w:rsid w:val="00FA680E"/>
    <w:rsid w:val="00FA6A5F"/>
    <w:rsid w:val="00FA6B79"/>
    <w:rsid w:val="00FA71F0"/>
    <w:rsid w:val="00FA7564"/>
    <w:rsid w:val="00FB124C"/>
    <w:rsid w:val="00FB1493"/>
    <w:rsid w:val="00FB1669"/>
    <w:rsid w:val="00FB17BC"/>
    <w:rsid w:val="00FB1F99"/>
    <w:rsid w:val="00FB2097"/>
    <w:rsid w:val="00FB249A"/>
    <w:rsid w:val="00FB31C2"/>
    <w:rsid w:val="00FB336C"/>
    <w:rsid w:val="00FB4144"/>
    <w:rsid w:val="00FB43AF"/>
    <w:rsid w:val="00FB47FE"/>
    <w:rsid w:val="00FB4DE6"/>
    <w:rsid w:val="00FB53B9"/>
    <w:rsid w:val="00FB5827"/>
    <w:rsid w:val="00FB586F"/>
    <w:rsid w:val="00FB5B05"/>
    <w:rsid w:val="00FB63F0"/>
    <w:rsid w:val="00FB65C1"/>
    <w:rsid w:val="00FB6FA4"/>
    <w:rsid w:val="00FB6FE4"/>
    <w:rsid w:val="00FB7BC4"/>
    <w:rsid w:val="00FC36A0"/>
    <w:rsid w:val="00FC51C9"/>
    <w:rsid w:val="00FC5C9D"/>
    <w:rsid w:val="00FC656D"/>
    <w:rsid w:val="00FC7A40"/>
    <w:rsid w:val="00FC7CCF"/>
    <w:rsid w:val="00FD0ED4"/>
    <w:rsid w:val="00FD17C1"/>
    <w:rsid w:val="00FD1B9A"/>
    <w:rsid w:val="00FD1CB1"/>
    <w:rsid w:val="00FD225D"/>
    <w:rsid w:val="00FD2757"/>
    <w:rsid w:val="00FD3085"/>
    <w:rsid w:val="00FD3848"/>
    <w:rsid w:val="00FD3AF9"/>
    <w:rsid w:val="00FD3EE4"/>
    <w:rsid w:val="00FD50A5"/>
    <w:rsid w:val="00FD5209"/>
    <w:rsid w:val="00FD5762"/>
    <w:rsid w:val="00FD598C"/>
    <w:rsid w:val="00FD71A0"/>
    <w:rsid w:val="00FD7A25"/>
    <w:rsid w:val="00FD7C01"/>
    <w:rsid w:val="00FE1215"/>
    <w:rsid w:val="00FE128D"/>
    <w:rsid w:val="00FE1909"/>
    <w:rsid w:val="00FE1B37"/>
    <w:rsid w:val="00FE1C3A"/>
    <w:rsid w:val="00FE3C6D"/>
    <w:rsid w:val="00FE43DD"/>
    <w:rsid w:val="00FE4904"/>
    <w:rsid w:val="00FE4B94"/>
    <w:rsid w:val="00FE503D"/>
    <w:rsid w:val="00FE507F"/>
    <w:rsid w:val="00FE521D"/>
    <w:rsid w:val="00FE523B"/>
    <w:rsid w:val="00FE561A"/>
    <w:rsid w:val="00FE662A"/>
    <w:rsid w:val="00FE6B34"/>
    <w:rsid w:val="00FE6B99"/>
    <w:rsid w:val="00FE78DF"/>
    <w:rsid w:val="00FE7C46"/>
    <w:rsid w:val="00FF00D8"/>
    <w:rsid w:val="00FF036F"/>
    <w:rsid w:val="00FF0FF2"/>
    <w:rsid w:val="00FF1764"/>
    <w:rsid w:val="00FF1E6E"/>
    <w:rsid w:val="00FF1EC3"/>
    <w:rsid w:val="00FF2A90"/>
    <w:rsid w:val="00FF2B8B"/>
    <w:rsid w:val="00FF2C9F"/>
    <w:rsid w:val="00FF3346"/>
    <w:rsid w:val="00FF34D4"/>
    <w:rsid w:val="00FF3FAC"/>
    <w:rsid w:val="00FF5140"/>
    <w:rsid w:val="00FF6CC3"/>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5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ind w:left="86" w:hanging="86"/>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04B7"/>
    <w:pPr>
      <w:ind w:left="0" w:firstLine="0"/>
    </w:pPr>
    <w:rPr>
      <w:sz w:val="22"/>
      <w:szCs w:val="24"/>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1440" w:after="60"/>
      <w:jc w:val="center"/>
      <w:outlineLvl w:val="0"/>
    </w:pPr>
    <w:rPr>
      <w:rFonts w:ascii="Arial" w:hAnsi="Arial"/>
      <w:b/>
      <w:caps/>
      <w:kern w:val="28"/>
      <w:sz w:val="28"/>
      <w:szCs w:val="32"/>
    </w:rPr>
  </w:style>
  <w:style w:type="paragraph" w:customStyle="1" w:styleId="Author">
    <w:name w:val="Author"/>
    <w:basedOn w:val="Normal"/>
    <w:next w:val="Abstract"/>
    <w:rsid w:val="000C1C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after="60"/>
      <w:jc w:val="center"/>
    </w:pPr>
    <w:rPr>
      <w:rFonts w:ascii="Arial" w:hAnsi="Arial"/>
      <w:b/>
      <w:sz w:val="24"/>
    </w:rPr>
  </w:style>
  <w:style w:type="paragraph" w:customStyle="1" w:styleId="Abstract">
    <w:name w:val="Abstract"/>
    <w:basedOn w:val="Normal"/>
    <w:next w:val="Normal"/>
    <w:pPr>
      <w:spacing w:before="480" w:after="480"/>
    </w:pPr>
    <w:rPr>
      <w:sz w:val="20"/>
      <w:szCs w:val="16"/>
    </w:rPr>
  </w:style>
  <w:style w:type="paragraph" w:customStyle="1" w:styleId="Section">
    <w:name w:val="Section"/>
    <w:basedOn w:val="Normal"/>
    <w:next w:val="Normal"/>
    <w:pPr>
      <w:keepNext/>
      <w:suppressAutoHyphens/>
      <w:spacing w:before="240"/>
    </w:pPr>
    <w:rPr>
      <w:b/>
      <w:caps/>
    </w:rPr>
  </w:style>
  <w:style w:type="paragraph" w:styleId="FootnoteText">
    <w:name w:val="footnote text"/>
    <w:basedOn w:val="Normal"/>
    <w:link w:val="FootnoteTextChar"/>
    <w:semiHidden/>
    <w:rsid w:val="0060016F"/>
    <w:pPr>
      <w:spacing w:after="0"/>
    </w:pPr>
    <w:rPr>
      <w:sz w:val="18"/>
    </w:rPr>
  </w:style>
  <w:style w:type="character" w:styleId="FootnoteReference">
    <w:name w:val="footnote reference"/>
    <w:semiHidden/>
    <w:rPr>
      <w:vertAlign w:val="superscript"/>
    </w:rPr>
  </w:style>
  <w:style w:type="paragraph" w:customStyle="1" w:styleId="Sub-Section">
    <w:name w:val="Sub-Section"/>
    <w:basedOn w:val="Normal"/>
    <w:next w:val="Normal"/>
    <w:pPr>
      <w:keepNext/>
      <w:suppressAutoHyphens/>
      <w:spacing w:before="120"/>
    </w:pPr>
    <w:rPr>
      <w:b/>
    </w:rPr>
  </w:style>
  <w:style w:type="paragraph" w:styleId="DocumentMap">
    <w:name w:val="Document Map"/>
    <w:basedOn w:val="Normal"/>
    <w:semiHidden/>
    <w:rsid w:val="00EF2689"/>
    <w:pPr>
      <w:shd w:val="clear" w:color="auto" w:fill="000080"/>
    </w:pPr>
    <w:rPr>
      <w:rFonts w:ascii="Tahoma" w:hAnsi="Tahoma" w:cs="Tahoma"/>
      <w:sz w:val="20"/>
      <w:szCs w:val="20"/>
    </w:rPr>
  </w:style>
  <w:style w:type="paragraph" w:customStyle="1" w:styleId="PaperNumber">
    <w:name w:val="Paper Number"/>
    <w:basedOn w:val="Normal"/>
    <w:pPr>
      <w:jc w:val="right"/>
    </w:pPr>
    <w:rPr>
      <w:rFonts w:ascii="Arial" w:hAnsi="Arial"/>
      <w:b/>
      <w:sz w:val="28"/>
    </w:rPr>
  </w:style>
  <w:style w:type="paragraph" w:customStyle="1" w:styleId="equation">
    <w:name w:val="equation"/>
    <w:basedOn w:val="Normal"/>
    <w:pPr>
      <w:spacing w:after="240"/>
      <w:jc w:val="center"/>
    </w:pPr>
  </w:style>
  <w:style w:type="paragraph" w:styleId="Caption">
    <w:name w:val="caption"/>
    <w:basedOn w:val="Normal"/>
    <w:next w:val="Normal"/>
    <w:qFormat/>
    <w:pPr>
      <w:spacing w:before="120"/>
    </w:pPr>
    <w:rPr>
      <w:b/>
    </w:rPr>
  </w:style>
  <w:style w:type="paragraph" w:customStyle="1" w:styleId="Figures">
    <w:name w:val="Figures"/>
    <w:basedOn w:val="Caption"/>
    <w:rsid w:val="00FB4DE6"/>
    <w:pPr>
      <w:keepLines/>
      <w:spacing w:after="240"/>
      <w:jc w:val="center"/>
    </w:pPr>
    <w:rPr>
      <w:sz w:val="20"/>
    </w:rPr>
  </w:style>
  <w:style w:type="paragraph" w:styleId="ListParagraph">
    <w:name w:val="List Paragraph"/>
    <w:basedOn w:val="Normal"/>
    <w:uiPriority w:val="34"/>
    <w:qFormat/>
    <w:rsid w:val="00A66A6D"/>
    <w:pPr>
      <w:ind w:left="720"/>
      <w:contextualSpacing/>
    </w:pPr>
  </w:style>
  <w:style w:type="paragraph" w:styleId="EndnoteText">
    <w:name w:val="endnote text"/>
    <w:basedOn w:val="Normal"/>
    <w:semiHidden/>
    <w:rsid w:val="0042769E"/>
    <w:rPr>
      <w:sz w:val="18"/>
    </w:rPr>
  </w:style>
  <w:style w:type="character" w:styleId="EndnoteReference">
    <w:name w:val="endnote reference"/>
    <w:semiHidden/>
    <w:rPr>
      <w:vertAlign w:val="superscript"/>
    </w:rPr>
  </w:style>
  <w:style w:type="paragraph" w:styleId="Header">
    <w:name w:val="header"/>
    <w:basedOn w:val="Normal"/>
    <w:rsid w:val="00EF2689"/>
    <w:pPr>
      <w:tabs>
        <w:tab w:val="center" w:pos="4320"/>
        <w:tab w:val="right" w:pos="8640"/>
      </w:tabs>
    </w:pPr>
  </w:style>
  <w:style w:type="paragraph" w:styleId="Footer">
    <w:name w:val="footer"/>
    <w:basedOn w:val="Normal"/>
    <w:rsid w:val="00EF2689"/>
    <w:pPr>
      <w:tabs>
        <w:tab w:val="center" w:pos="4320"/>
        <w:tab w:val="right" w:pos="8640"/>
      </w:tabs>
    </w:pPr>
  </w:style>
  <w:style w:type="paragraph" w:customStyle="1" w:styleId="StyleAbstractLeft075Right075">
    <w:name w:val="Style Abstract + Left:  0.75&quot; Right:  0.75&quot;"/>
    <w:basedOn w:val="Abstract"/>
    <w:rsid w:val="00702307"/>
    <w:pPr>
      <w:spacing w:before="360" w:after="240"/>
      <w:ind w:left="1080" w:right="1080"/>
    </w:pPr>
    <w:rPr>
      <w:szCs w:val="20"/>
    </w:rPr>
  </w:style>
  <w:style w:type="table" w:styleId="TableGrid">
    <w:name w:val="Table Grid"/>
    <w:basedOn w:val="TableNormal"/>
    <w:rsid w:val="00B13957"/>
    <w:pPr>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33FE4"/>
    <w:rPr>
      <w:rFonts w:ascii="Tahoma" w:hAnsi="Tahoma" w:cs="Tahoma"/>
      <w:sz w:val="16"/>
      <w:szCs w:val="16"/>
    </w:rPr>
  </w:style>
  <w:style w:type="character" w:styleId="CommentReference">
    <w:name w:val="annotation reference"/>
    <w:semiHidden/>
    <w:rsid w:val="00325ABE"/>
    <w:rPr>
      <w:sz w:val="18"/>
    </w:rPr>
  </w:style>
  <w:style w:type="paragraph" w:styleId="CommentText">
    <w:name w:val="annotation text"/>
    <w:basedOn w:val="Normal"/>
    <w:semiHidden/>
    <w:rsid w:val="00325ABE"/>
    <w:rPr>
      <w:sz w:val="24"/>
    </w:rPr>
  </w:style>
  <w:style w:type="paragraph" w:styleId="CommentSubject">
    <w:name w:val="annotation subject"/>
    <w:basedOn w:val="CommentText"/>
    <w:next w:val="CommentText"/>
    <w:semiHidden/>
    <w:rsid w:val="00325ABE"/>
    <w:rPr>
      <w:sz w:val="22"/>
    </w:rPr>
  </w:style>
  <w:style w:type="character" w:styleId="PageNumber">
    <w:name w:val="page number"/>
    <w:basedOn w:val="DefaultParagraphFont"/>
    <w:rsid w:val="00C34C94"/>
  </w:style>
  <w:style w:type="paragraph" w:customStyle="1" w:styleId="TableText">
    <w:name w:val="Table Text"/>
    <w:basedOn w:val="Normal"/>
    <w:rsid w:val="00110212"/>
    <w:pPr>
      <w:jc w:val="center"/>
    </w:pPr>
    <w:rPr>
      <w:sz w:val="20"/>
      <w:szCs w:val="22"/>
    </w:rPr>
  </w:style>
  <w:style w:type="character" w:styleId="Hyperlink">
    <w:name w:val="Hyperlink"/>
    <w:basedOn w:val="DefaultParagraphFont"/>
    <w:uiPriority w:val="99"/>
    <w:unhideWhenUsed/>
    <w:rsid w:val="005E014C"/>
    <w:rPr>
      <w:color w:val="0000FF"/>
      <w:u w:val="single"/>
    </w:rPr>
  </w:style>
  <w:style w:type="character" w:customStyle="1" w:styleId="st1">
    <w:name w:val="st1"/>
    <w:basedOn w:val="DefaultParagraphFont"/>
    <w:rsid w:val="00B93639"/>
  </w:style>
  <w:style w:type="table" w:customStyle="1" w:styleId="TableGridLight1">
    <w:name w:val="Table Grid Light1"/>
    <w:basedOn w:val="TableNormal"/>
    <w:uiPriority w:val="40"/>
    <w:rsid w:val="004565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6C51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B27B5"/>
    <w:rPr>
      <w:color w:val="808080"/>
    </w:rPr>
  </w:style>
  <w:style w:type="character" w:styleId="FollowedHyperlink">
    <w:name w:val="FollowedHyperlink"/>
    <w:basedOn w:val="DefaultParagraphFont"/>
    <w:semiHidden/>
    <w:unhideWhenUsed/>
    <w:rsid w:val="00DB7352"/>
    <w:rPr>
      <w:color w:val="954F72" w:themeColor="followedHyperlink"/>
      <w:u w:val="single"/>
    </w:rPr>
  </w:style>
  <w:style w:type="character" w:customStyle="1" w:styleId="UnresolvedMention1">
    <w:name w:val="Unresolved Mention1"/>
    <w:basedOn w:val="DefaultParagraphFont"/>
    <w:uiPriority w:val="99"/>
    <w:semiHidden/>
    <w:unhideWhenUsed/>
    <w:rsid w:val="00E30FA8"/>
    <w:rPr>
      <w:color w:val="605E5C"/>
      <w:shd w:val="clear" w:color="auto" w:fill="E1DFDD"/>
    </w:rPr>
  </w:style>
  <w:style w:type="paragraph" w:styleId="Revision">
    <w:name w:val="Revision"/>
    <w:hidden/>
    <w:uiPriority w:val="99"/>
    <w:semiHidden/>
    <w:rsid w:val="00F85AB5"/>
    <w:pPr>
      <w:spacing w:after="0"/>
      <w:ind w:left="0" w:firstLine="0"/>
      <w:jc w:val="left"/>
    </w:pPr>
    <w:rPr>
      <w:sz w:val="22"/>
      <w:szCs w:val="24"/>
    </w:rPr>
  </w:style>
  <w:style w:type="character" w:customStyle="1" w:styleId="FootnoteTextChar">
    <w:name w:val="Footnote Text Char"/>
    <w:basedOn w:val="DefaultParagraphFont"/>
    <w:link w:val="FootnoteText"/>
    <w:semiHidden/>
    <w:rsid w:val="00D21324"/>
    <w:rPr>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5997">
      <w:bodyDiv w:val="1"/>
      <w:marLeft w:val="0"/>
      <w:marRight w:val="0"/>
      <w:marTop w:val="0"/>
      <w:marBottom w:val="0"/>
      <w:divBdr>
        <w:top w:val="none" w:sz="0" w:space="0" w:color="auto"/>
        <w:left w:val="none" w:sz="0" w:space="0" w:color="auto"/>
        <w:bottom w:val="none" w:sz="0" w:space="0" w:color="auto"/>
        <w:right w:val="none" w:sz="0" w:space="0" w:color="auto"/>
      </w:divBdr>
    </w:div>
    <w:div w:id="305668959">
      <w:bodyDiv w:val="1"/>
      <w:marLeft w:val="0"/>
      <w:marRight w:val="0"/>
      <w:marTop w:val="0"/>
      <w:marBottom w:val="0"/>
      <w:divBdr>
        <w:top w:val="none" w:sz="0" w:space="0" w:color="auto"/>
        <w:left w:val="none" w:sz="0" w:space="0" w:color="auto"/>
        <w:bottom w:val="none" w:sz="0" w:space="0" w:color="auto"/>
        <w:right w:val="none" w:sz="0" w:space="0" w:color="auto"/>
      </w:divBdr>
    </w:div>
    <w:div w:id="350424297">
      <w:bodyDiv w:val="1"/>
      <w:marLeft w:val="0"/>
      <w:marRight w:val="0"/>
      <w:marTop w:val="0"/>
      <w:marBottom w:val="0"/>
      <w:divBdr>
        <w:top w:val="none" w:sz="0" w:space="0" w:color="auto"/>
        <w:left w:val="none" w:sz="0" w:space="0" w:color="auto"/>
        <w:bottom w:val="none" w:sz="0" w:space="0" w:color="auto"/>
        <w:right w:val="none" w:sz="0" w:space="0" w:color="auto"/>
      </w:divBdr>
    </w:div>
    <w:div w:id="358163561">
      <w:bodyDiv w:val="1"/>
      <w:marLeft w:val="0"/>
      <w:marRight w:val="0"/>
      <w:marTop w:val="0"/>
      <w:marBottom w:val="0"/>
      <w:divBdr>
        <w:top w:val="none" w:sz="0" w:space="0" w:color="auto"/>
        <w:left w:val="none" w:sz="0" w:space="0" w:color="auto"/>
        <w:bottom w:val="none" w:sz="0" w:space="0" w:color="auto"/>
        <w:right w:val="none" w:sz="0" w:space="0" w:color="auto"/>
      </w:divBdr>
    </w:div>
    <w:div w:id="570431208">
      <w:bodyDiv w:val="1"/>
      <w:marLeft w:val="0"/>
      <w:marRight w:val="0"/>
      <w:marTop w:val="0"/>
      <w:marBottom w:val="0"/>
      <w:divBdr>
        <w:top w:val="none" w:sz="0" w:space="0" w:color="auto"/>
        <w:left w:val="none" w:sz="0" w:space="0" w:color="auto"/>
        <w:bottom w:val="none" w:sz="0" w:space="0" w:color="auto"/>
        <w:right w:val="none" w:sz="0" w:space="0" w:color="auto"/>
      </w:divBdr>
    </w:div>
    <w:div w:id="806822617">
      <w:bodyDiv w:val="1"/>
      <w:marLeft w:val="0"/>
      <w:marRight w:val="0"/>
      <w:marTop w:val="0"/>
      <w:marBottom w:val="0"/>
      <w:divBdr>
        <w:top w:val="none" w:sz="0" w:space="0" w:color="auto"/>
        <w:left w:val="none" w:sz="0" w:space="0" w:color="auto"/>
        <w:bottom w:val="none" w:sz="0" w:space="0" w:color="auto"/>
        <w:right w:val="none" w:sz="0" w:space="0" w:color="auto"/>
      </w:divBdr>
    </w:div>
    <w:div w:id="1407150141">
      <w:bodyDiv w:val="1"/>
      <w:marLeft w:val="0"/>
      <w:marRight w:val="0"/>
      <w:marTop w:val="0"/>
      <w:marBottom w:val="0"/>
      <w:divBdr>
        <w:top w:val="none" w:sz="0" w:space="0" w:color="auto"/>
        <w:left w:val="none" w:sz="0" w:space="0" w:color="auto"/>
        <w:bottom w:val="none" w:sz="0" w:space="0" w:color="auto"/>
        <w:right w:val="none" w:sz="0" w:space="0" w:color="auto"/>
      </w:divBdr>
    </w:div>
    <w:div w:id="1533228732">
      <w:bodyDiv w:val="1"/>
      <w:marLeft w:val="0"/>
      <w:marRight w:val="0"/>
      <w:marTop w:val="0"/>
      <w:marBottom w:val="0"/>
      <w:divBdr>
        <w:top w:val="none" w:sz="0" w:space="0" w:color="auto"/>
        <w:left w:val="none" w:sz="0" w:space="0" w:color="auto"/>
        <w:bottom w:val="none" w:sz="0" w:space="0" w:color="auto"/>
        <w:right w:val="none" w:sz="0" w:space="0" w:color="auto"/>
      </w:divBdr>
      <w:divsChild>
        <w:div w:id="2006975244">
          <w:marLeft w:val="0"/>
          <w:marRight w:val="-1875"/>
          <w:marTop w:val="0"/>
          <w:marBottom w:val="0"/>
          <w:divBdr>
            <w:top w:val="none" w:sz="0" w:space="0" w:color="auto"/>
            <w:left w:val="none" w:sz="0" w:space="0" w:color="auto"/>
            <w:bottom w:val="none" w:sz="0" w:space="0" w:color="auto"/>
            <w:right w:val="none" w:sz="0" w:space="0" w:color="auto"/>
          </w:divBdr>
        </w:div>
      </w:divsChild>
    </w:div>
    <w:div w:id="1547717820">
      <w:bodyDiv w:val="1"/>
      <w:marLeft w:val="0"/>
      <w:marRight w:val="0"/>
      <w:marTop w:val="0"/>
      <w:marBottom w:val="0"/>
      <w:divBdr>
        <w:top w:val="none" w:sz="0" w:space="0" w:color="auto"/>
        <w:left w:val="none" w:sz="0" w:space="0" w:color="auto"/>
        <w:bottom w:val="none" w:sz="0" w:space="0" w:color="auto"/>
        <w:right w:val="none" w:sz="0" w:space="0" w:color="auto"/>
      </w:divBdr>
    </w:div>
    <w:div w:id="1564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sa.gov/mission_pages/Grace/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B3C1-48BF-4481-816C-16EBDDF6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8509</Words>
  <Characters>48502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AAS SFMC Manuscript Format Template</vt:lpstr>
    </vt:vector>
  </TitlesOfParts>
  <Manager/>
  <Company/>
  <LinksUpToDate>false</LinksUpToDate>
  <CharactersWithSpaces>56898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 SFMC Manuscript Format Template</dc:title>
  <dc:subject/>
  <dc:creator/>
  <cp:keywords/>
  <dc:description>version 2.0.6</dc:description>
  <cp:lastModifiedBy/>
  <cp:revision>1</cp:revision>
  <cp:lastPrinted>2011-03-24T20:47:00Z</cp:lastPrinted>
  <dcterms:created xsi:type="dcterms:W3CDTF">2019-05-06T20:21:00Z</dcterms:created>
  <dcterms:modified xsi:type="dcterms:W3CDTF">2019-06-10T18:34:00Z</dcterms:modified>
</cp:coreProperties>
</file>