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1E26" w14:textId="15AF6346" w:rsidR="00FE7C46" w:rsidRDefault="001F41C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5B31E0" wp14:editId="4195307F">
                <wp:simplePos x="0" y="0"/>
                <wp:positionH relativeFrom="column">
                  <wp:align>right</wp:align>
                </wp:positionH>
                <wp:positionV relativeFrom="margin">
                  <wp:align>inside</wp:align>
                </wp:positionV>
                <wp:extent cx="2348230" cy="342900"/>
                <wp:effectExtent l="4445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EDBC6" w14:textId="5E55F917" w:rsidR="00421D9E" w:rsidRDefault="00421D9E">
                            <w:pPr>
                              <w:pStyle w:val="PaperNumber"/>
                            </w:pPr>
                            <w:r>
                              <w:t>AAS 19-632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B31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7pt;margin-top:0;width:184.9pt;height:27pt;z-index:2516577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insid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" stroked="f">
                <v:textbox>
                  <w:txbxContent>
                    <w:p w14:paraId="7C6EDBC6" w14:textId="5E55F917" w:rsidR="00421D9E" w:rsidRDefault="00421D9E">
                      <w:pPr>
                        <w:pStyle w:val="PaperNumber"/>
                      </w:pPr>
                      <w:r>
                        <w:t>AAS 19-632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081892" w:rsidRPr="00081892">
        <w:t xml:space="preserve"> </w:t>
      </w:r>
      <w:r w:rsidR="00F64A24">
        <w:t>Implementation Recommendations and Usage Boundaries for the Two-Dimensional Probability of Collision Calculation</w:t>
      </w:r>
    </w:p>
    <w:p w14:paraId="39A07E15" w14:textId="6328577F" w:rsidR="00FE7C46" w:rsidRPr="000D5871" w:rsidRDefault="00E77C95" w:rsidP="004B7A44">
      <w:pPr>
        <w:pStyle w:val="Author"/>
      </w:pPr>
      <w:r w:rsidRPr="000D5871">
        <w:t xml:space="preserve">Doyle </w:t>
      </w:r>
      <w:r w:rsidR="00061165" w:rsidRPr="000D5871">
        <w:t xml:space="preserve">T. </w:t>
      </w:r>
      <w:r w:rsidR="007809B7">
        <w:t>Hall</w:t>
      </w:r>
      <w:r w:rsidR="00B637B0">
        <w:rPr>
          <w:rStyle w:val="FootnoteReference"/>
        </w:rPr>
        <w:footnoteReference w:id="2"/>
      </w:r>
    </w:p>
    <w:p w14:paraId="5D11C325" w14:textId="22EC1A20" w:rsidR="00FE7C46" w:rsidRPr="00F64A24" w:rsidRDefault="00F64A24" w:rsidP="00722502">
      <w:pPr>
        <w:pStyle w:val="StyleAbstractLeft075Right075"/>
        <w:rPr>
          <w:sz w:val="22"/>
          <w:szCs w:val="22"/>
        </w:rPr>
      </w:pPr>
      <w:r w:rsidRPr="00F64A24">
        <w:rPr>
          <w:sz w:val="22"/>
          <w:szCs w:val="22"/>
        </w:rPr>
        <w:t>The two-dimensional (2D) probability of collision 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Pr="00F64A24">
        <w:rPr>
          <w:sz w:val="22"/>
          <w:szCs w:val="22"/>
        </w:rPr>
        <w:t>) estimation method relies on several assumptions that must be satisfied for accurate results.  Monte Carlo analysis of ~44,000 conjunctions indicates that 2D-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Pr="00F64A24">
        <w:rPr>
          <w:sz w:val="22"/>
          <w:szCs w:val="22"/>
        </w:rPr>
        <w:t xml:space="preserve"> provides accurate estimates for most typical conjunctions, but occasionally underestimates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Pr="00F64A24">
        <w:rPr>
          <w:sz w:val="22"/>
          <w:szCs w:val="22"/>
        </w:rPr>
        <w:t xml:space="preserve"> significantly, indicating an assumption violation.  A test to detect large-amplitude underestimation inaccuracies can be based on how much “offset-from-TCA” 2D-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Pr="00F64A24">
        <w:rPr>
          <w:sz w:val="22"/>
          <w:szCs w:val="22"/>
        </w:rPr>
        <w:t xml:space="preserve"> values vary during a well-defined time interval bracketing closest approach. The test successfully detects all large-amplitude 2D-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Pr="00F64A24">
        <w:rPr>
          <w:sz w:val="22"/>
          <w:szCs w:val="22"/>
        </w:rPr>
        <w:t xml:space="preserve"> underestimations found to date, </w:t>
      </w:r>
      <w:r w:rsidR="00DF4FAF">
        <w:rPr>
          <w:sz w:val="22"/>
          <w:szCs w:val="22"/>
        </w:rPr>
        <w:t xml:space="preserve">but </w:t>
      </w:r>
      <w:r w:rsidRPr="00F64A24">
        <w:rPr>
          <w:sz w:val="22"/>
          <w:szCs w:val="22"/>
        </w:rPr>
        <w:t>with a high false-alarm rate. The analysis also provides implementation recommendations and usage boundaries for the 2D-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Pr="00F64A24">
        <w:rPr>
          <w:sz w:val="22"/>
          <w:szCs w:val="22"/>
        </w:rPr>
        <w:t xml:space="preserve"> method.</w:t>
      </w:r>
    </w:p>
    <w:p w14:paraId="0D784247" w14:textId="77777777" w:rsidR="00FE7C46" w:rsidRDefault="00FE7C46" w:rsidP="004B7A44">
      <w:pPr>
        <w:pStyle w:val="Section"/>
      </w:pPr>
      <w:r>
        <w:t>Introduction</w:t>
      </w:r>
    </w:p>
    <w:p w14:paraId="65FEDFEA" w14:textId="2963CBD9" w:rsidR="00F64A24" w:rsidRDefault="00F64A24" w:rsidP="00F64A24">
      <w:r>
        <w:t>The two-dimensional probability of collision approximation, which first entered the literature in 1992</w:t>
      </w:r>
      <w:r w:rsidR="00FF0C30" w:rsidRPr="00FF0C30">
        <w:rPr>
          <w:vertAlign w:val="superscript"/>
        </w:rPr>
        <w:fldChar w:fldCharType="begin"/>
      </w:r>
      <w:r w:rsidR="00FF0C30" w:rsidRPr="00FF0C30">
        <w:rPr>
          <w:vertAlign w:val="superscript"/>
        </w:rPr>
        <w:instrText xml:space="preserve"> REF _Ref514676603 \r \h  \* MERGEFORMAT </w:instrText>
      </w:r>
      <w:r w:rsidR="00FF0C30" w:rsidRPr="00FF0C30">
        <w:rPr>
          <w:vertAlign w:val="superscript"/>
        </w:rPr>
      </w:r>
      <w:r w:rsidR="00FF0C30" w:rsidRPr="00FF0C30">
        <w:rPr>
          <w:vertAlign w:val="superscript"/>
        </w:rPr>
        <w:fldChar w:fldCharType="separate"/>
      </w:r>
      <w:r w:rsidR="00620BE7">
        <w:rPr>
          <w:vertAlign w:val="superscript"/>
        </w:rPr>
        <w:t>1</w:t>
      </w:r>
      <w:r w:rsidR="00FF0C30" w:rsidRPr="00FF0C30">
        <w:rPr>
          <w:vertAlign w:val="superscript"/>
        </w:rPr>
        <w:fldChar w:fldCharType="end"/>
      </w:r>
      <w:r>
        <w:t xml:space="preserve"> and is used by many conjunction assessment practitioners, relies on several assumptions that must be satisfied in order to produce accurate results.</w:t>
      </w:r>
      <w:r w:rsidR="00FF0C30" w:rsidRPr="00FF0C30">
        <w:rPr>
          <w:vertAlign w:val="superscript"/>
        </w:rPr>
        <w:fldChar w:fldCharType="begin"/>
      </w:r>
      <w:r w:rsidR="00FF0C30" w:rsidRPr="00FF0C30">
        <w:rPr>
          <w:vertAlign w:val="superscript"/>
        </w:rPr>
        <w:instrText xml:space="preserve"> REF _Ref514676846 \r \h  \* MERGEFORMAT </w:instrText>
      </w:r>
      <w:r w:rsidR="00FF0C30" w:rsidRPr="00FF0C30">
        <w:rPr>
          <w:vertAlign w:val="superscript"/>
        </w:rPr>
      </w:r>
      <w:r w:rsidR="00FF0C30" w:rsidRPr="00FF0C30">
        <w:rPr>
          <w:vertAlign w:val="superscript"/>
        </w:rPr>
        <w:fldChar w:fldCharType="separate"/>
      </w:r>
      <w:r w:rsidR="00620BE7">
        <w:rPr>
          <w:vertAlign w:val="superscript"/>
        </w:rPr>
        <w:t>2</w:t>
      </w:r>
      <w:r w:rsidR="00FF0C30" w:rsidRPr="00FF0C30">
        <w:rPr>
          <w:vertAlign w:val="superscript"/>
        </w:rPr>
        <w:fldChar w:fldCharType="end"/>
      </w:r>
      <w:r w:rsidR="00FF0C30">
        <w:rPr>
          <w:vertAlign w:val="superscript"/>
        </w:rPr>
        <w:t>,</w:t>
      </w:r>
      <w:r w:rsidR="00FF0C30">
        <w:rPr>
          <w:vertAlign w:val="superscript"/>
        </w:rPr>
        <w:fldChar w:fldCharType="begin"/>
      </w:r>
      <w:r w:rsidR="00FF0C30">
        <w:rPr>
          <w:vertAlign w:val="superscript"/>
        </w:rPr>
        <w:instrText xml:space="preserve"> REF _Ref514676608 \r \h </w:instrText>
      </w:r>
      <w:r w:rsidR="00FF0C30">
        <w:rPr>
          <w:vertAlign w:val="superscript"/>
        </w:rPr>
      </w:r>
      <w:r w:rsidR="00FF0C30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FF0C30">
        <w:rPr>
          <w:vertAlign w:val="superscript"/>
        </w:rPr>
        <w:fldChar w:fldCharType="end"/>
      </w:r>
      <w:r>
        <w:t xml:space="preserve"> </w:t>
      </w:r>
      <w:r w:rsidR="00180961">
        <w:t>High-fidelity</w:t>
      </w:r>
      <w:r>
        <w:t xml:space="preserve"> </w:t>
      </w:r>
      <w:r w:rsidR="003373C0">
        <w:t>b</w:t>
      </w:r>
      <w:r>
        <w:t xml:space="preserve">rute </w:t>
      </w:r>
      <w:r w:rsidR="003373C0">
        <w:t>f</w:t>
      </w:r>
      <w:r>
        <w:t>orce Monte Carlo (BFMC) simulations, which do not invoke these assumptions, can be used to test the accuracy of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method.</w:t>
      </w:r>
      <w:r w:rsidR="003974BD" w:rsidRPr="003974BD">
        <w:rPr>
          <w:vertAlign w:val="superscript"/>
        </w:rPr>
        <w:fldChar w:fldCharType="begin"/>
      </w:r>
      <w:r w:rsidR="003974BD" w:rsidRPr="003974BD">
        <w:rPr>
          <w:vertAlign w:val="superscript"/>
        </w:rPr>
        <w:instrText xml:space="preserve"> REF _Ref6464558 \r \h </w:instrText>
      </w:r>
      <w:r w:rsidR="003974BD">
        <w:rPr>
          <w:vertAlign w:val="superscript"/>
        </w:rPr>
        <w:instrText xml:space="preserve"> \* MERGEFORMAT </w:instrText>
      </w:r>
      <w:r w:rsidR="003974BD" w:rsidRPr="003974BD">
        <w:rPr>
          <w:vertAlign w:val="superscript"/>
        </w:rPr>
      </w:r>
      <w:r w:rsidR="003974BD"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3974BD" w:rsidRPr="003974BD">
        <w:rPr>
          <w:vertAlign w:val="superscript"/>
        </w:rPr>
        <w:fldChar w:fldCharType="end"/>
      </w:r>
      <w:r>
        <w:t xml:space="preserve">  BFMC analysis of ~44,000 conjunctions indicates that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approximation provides sufficiently accurate estimates to enable effective</w:t>
      </w:r>
      <w:r w:rsidR="00FA6123">
        <w:t xml:space="preserve"> collision</w:t>
      </w:r>
      <w:r>
        <w:t xml:space="preserve"> </w:t>
      </w:r>
      <w:r w:rsidR="00DE4DAD">
        <w:t>risk assessment</w:t>
      </w:r>
      <w:r>
        <w:t xml:space="preserve"> for the vast majority of events processed by N</w:t>
      </w:r>
      <w:r w:rsidRPr="00FB36A2">
        <w:t>ASA</w:t>
      </w:r>
      <w:r>
        <w:t>’s</w:t>
      </w:r>
      <w:r w:rsidRPr="00FB36A2">
        <w:t xml:space="preserve"> Conjunction Assessment Risk Analysis</w:t>
      </w:r>
      <w:r>
        <w:t xml:space="preserve"> (CARA) team. This majority generally corresponds to high relative-velocity encounters between well-tracked objects.  However, for about 0.05% of the analyzed conjunctions,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5C604C">
        <w:t>underestimates</w:t>
      </w:r>
      <w:r>
        <w:t xml:space="preserve"> the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value by a factor of 2.5 or more. </w:t>
      </w:r>
      <w:r w:rsidR="00FA6123">
        <w:t>I</w:t>
      </w:r>
      <w:r>
        <w:t xml:space="preserve">n </w:t>
      </w:r>
      <w:r w:rsidR="004C68CB">
        <w:t>several</w:t>
      </w:r>
      <w:r>
        <w:t xml:space="preserve"> cases</w:t>
      </w:r>
      <w:r w:rsidR="00FA6123">
        <w:t>, the</w:t>
      </w:r>
      <w:r>
        <w:t xml:space="preserve">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182859">
        <w:t xml:space="preserve">method </w:t>
      </w:r>
      <w:r>
        <w:t>underestimates by a factor of 10 or more.  This study focuses on developing a test to detect such 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5C604C">
        <w:t>underestimat</w:t>
      </w:r>
      <w:r>
        <w:t>ion inaccuracies.</w:t>
      </w:r>
    </w:p>
    <w:p w14:paraId="305320E8" w14:textId="4CA50C5B" w:rsidR="00CD2061" w:rsidRPr="00FF51CB" w:rsidRDefault="00FF51CB" w:rsidP="00B93198">
      <w:pPr>
        <w:pStyle w:val="Section"/>
      </w:pPr>
      <w:r w:rsidRPr="00FF51CB">
        <w:t>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Coll</w:t>
      </w:r>
      <w:r w:rsidR="006462CF">
        <w:t>i</w:t>
      </w:r>
      <w:r w:rsidRPr="00FF51CB">
        <w:t>sion Probability Estimation Method</w:t>
      </w:r>
    </w:p>
    <w:p w14:paraId="2F084771" w14:textId="61F12EC0" w:rsidR="004933F4" w:rsidRDefault="00067272" w:rsidP="00C775AF">
      <w:r>
        <w:t xml:space="preserve">In 1992, </w:t>
      </w:r>
      <w:r w:rsidR="005F5F86">
        <w:t>Foster and Estes</w:t>
      </w:r>
      <w:r w:rsidR="005F5F86" w:rsidRPr="005F5F86">
        <w:rPr>
          <w:vertAlign w:val="superscript"/>
        </w:rPr>
        <w:fldChar w:fldCharType="begin"/>
      </w:r>
      <w:r w:rsidR="005F5F86" w:rsidRPr="005F5F86">
        <w:rPr>
          <w:vertAlign w:val="superscript"/>
        </w:rPr>
        <w:instrText xml:space="preserve"> REF _Ref514676603 \r \h </w:instrText>
      </w:r>
      <w:r w:rsidR="005F5F86">
        <w:rPr>
          <w:vertAlign w:val="superscript"/>
        </w:rPr>
        <w:instrText xml:space="preserve"> \* MERGEFORMAT </w:instrText>
      </w:r>
      <w:r w:rsidR="005F5F86" w:rsidRPr="005F5F86">
        <w:rPr>
          <w:vertAlign w:val="superscript"/>
        </w:rPr>
      </w:r>
      <w:r w:rsidR="005F5F86" w:rsidRPr="005F5F86">
        <w:rPr>
          <w:vertAlign w:val="superscript"/>
        </w:rPr>
        <w:fldChar w:fldCharType="separate"/>
      </w:r>
      <w:r w:rsidR="00620BE7">
        <w:rPr>
          <w:vertAlign w:val="superscript"/>
        </w:rPr>
        <w:t>1</w:t>
      </w:r>
      <w:r w:rsidR="005F5F86" w:rsidRPr="005F5F86">
        <w:rPr>
          <w:vertAlign w:val="superscript"/>
        </w:rPr>
        <w:fldChar w:fldCharType="end"/>
      </w:r>
      <w:r w:rsidR="005F5F86">
        <w:t xml:space="preserve"> originally </w:t>
      </w:r>
      <w:r w:rsidR="006D52F1">
        <w:t>developed</w:t>
      </w:r>
      <w:r w:rsidR="005F5F86">
        <w:t xml:space="preserve"> the</w:t>
      </w:r>
      <w:r w:rsidR="006D52F1">
        <w:t xml:space="preserve">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D52F1">
        <w:t xml:space="preserve"> </w:t>
      </w:r>
      <w:r w:rsidR="005F5F86">
        <w:t xml:space="preserve">method to </w:t>
      </w:r>
      <w:r w:rsidR="00FA6123">
        <w:t xml:space="preserve">quantify </w:t>
      </w:r>
      <w:r w:rsidR="005F5F86">
        <w:t xml:space="preserve">collision risks posed to the International Space Station by other cataloged Earth-orbiting </w:t>
      </w:r>
      <w:r w:rsidR="00C6523E">
        <w:t xml:space="preserve">satellites. </w:t>
      </w:r>
      <w:r w:rsidR="003641C3">
        <w:t xml:space="preserve">The </w:t>
      </w:r>
      <w:r w:rsidR="002067CC">
        <w:t>method</w:t>
      </w:r>
      <w:r w:rsidR="003641C3">
        <w:t xml:space="preserve"> </w:t>
      </w:r>
      <w:r w:rsidR="00FA6123">
        <w:t xml:space="preserve">approximates </w:t>
      </w:r>
      <w:r w:rsidR="003641C3">
        <w:rPr>
          <w:i/>
        </w:rPr>
        <w:t>P</w:t>
      </w:r>
      <w:r w:rsidR="003641C3" w:rsidRPr="00B776B6">
        <w:rPr>
          <w:i/>
          <w:vertAlign w:val="subscript"/>
        </w:rPr>
        <w:t>c</w:t>
      </w:r>
      <w:r w:rsidR="003641C3">
        <w:t xml:space="preserve"> values semi-analytically using 2-dimensional (2D) numerical integration.</w:t>
      </w:r>
      <w:r w:rsidR="00C6523E">
        <w:t xml:space="preserve"> </w:t>
      </w:r>
      <w:r w:rsidR="0055267D">
        <w:t>In 2000, Akella and Alfriend</w:t>
      </w:r>
      <w:r w:rsidR="0055267D" w:rsidRPr="00067272">
        <w:rPr>
          <w:vertAlign w:val="superscript"/>
        </w:rPr>
        <w:fldChar w:fldCharType="begin"/>
      </w:r>
      <w:r w:rsidR="0055267D" w:rsidRPr="00067272">
        <w:rPr>
          <w:vertAlign w:val="superscript"/>
        </w:rPr>
        <w:instrText xml:space="preserve"> REF _Ref514676846 \r \h </w:instrText>
      </w:r>
      <w:r w:rsidR="0055267D">
        <w:rPr>
          <w:vertAlign w:val="superscript"/>
        </w:rPr>
        <w:instrText xml:space="preserve"> \* MERGEFORMAT </w:instrText>
      </w:r>
      <w:r w:rsidR="0055267D" w:rsidRPr="00067272">
        <w:rPr>
          <w:vertAlign w:val="superscript"/>
        </w:rPr>
      </w:r>
      <w:r w:rsidR="0055267D" w:rsidRPr="00067272">
        <w:rPr>
          <w:vertAlign w:val="superscript"/>
        </w:rPr>
        <w:fldChar w:fldCharType="separate"/>
      </w:r>
      <w:r w:rsidR="00620BE7">
        <w:rPr>
          <w:vertAlign w:val="superscript"/>
        </w:rPr>
        <w:t>2</w:t>
      </w:r>
      <w:r w:rsidR="0055267D" w:rsidRPr="00067272">
        <w:rPr>
          <w:vertAlign w:val="superscript"/>
        </w:rPr>
        <w:fldChar w:fldCharType="end"/>
      </w:r>
      <w:r w:rsidR="0055267D">
        <w:t xml:space="preserve"> reformulated the theory to show how 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5267D">
        <w:t xml:space="preserve"> estimate can be </w:t>
      </w:r>
      <w:r w:rsidR="002067CC">
        <w:t xml:space="preserve">equivalently </w:t>
      </w:r>
      <w:r w:rsidR="0055267D">
        <w:t xml:space="preserve">expressed as a </w:t>
      </w:r>
      <w:r w:rsidR="000C0D8C">
        <w:t xml:space="preserve">time </w:t>
      </w:r>
      <w:r w:rsidR="0055267D">
        <w:t xml:space="preserve">integral </w:t>
      </w:r>
      <w:r w:rsidR="000C0D8C">
        <w:t xml:space="preserve">spanning the </w:t>
      </w:r>
      <w:r w:rsidR="002067CC">
        <w:t xml:space="preserve">entire </w:t>
      </w:r>
      <w:r w:rsidR="000C0D8C">
        <w:t xml:space="preserve">duration of an </w:t>
      </w:r>
      <w:r w:rsidR="0055267D">
        <w:t>on-orbit encounter.</w:t>
      </w:r>
      <w:r w:rsidR="005B4328" w:rsidRPr="005B4328">
        <w:rPr>
          <w:vertAlign w:val="superscript"/>
        </w:rPr>
        <w:fldChar w:fldCharType="begin"/>
      </w:r>
      <w:r w:rsidR="005B4328" w:rsidRPr="005B4328">
        <w:rPr>
          <w:vertAlign w:val="superscript"/>
        </w:rPr>
        <w:instrText xml:space="preserve"> REF _Ref6464558 \r \h </w:instrText>
      </w:r>
      <w:r w:rsidR="005B4328">
        <w:rPr>
          <w:vertAlign w:val="superscript"/>
        </w:rPr>
        <w:instrText xml:space="preserve"> \* MERGEFORMAT </w:instrText>
      </w:r>
      <w:r w:rsidR="005B4328" w:rsidRPr="005B4328">
        <w:rPr>
          <w:vertAlign w:val="superscript"/>
        </w:rPr>
      </w:r>
      <w:r w:rsidR="005B4328" w:rsidRPr="005B4328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5B4328" w:rsidRPr="005B4328">
        <w:rPr>
          <w:vertAlign w:val="superscript"/>
        </w:rPr>
        <w:fldChar w:fldCharType="end"/>
      </w:r>
      <w:r w:rsidR="0044375A">
        <w:t xml:space="preserve">  </w:t>
      </w:r>
      <w:r w:rsidR="002067CC">
        <w:t>A conjunction’s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60C2C">
        <w:t xml:space="preserve"> </w:t>
      </w:r>
      <w:r>
        <w:lastRenderedPageBreak/>
        <w:t xml:space="preserve">estimate </w:t>
      </w:r>
      <w:r w:rsidR="00C6523E">
        <w:t>depend</w:t>
      </w:r>
      <w:r w:rsidR="007C25DB">
        <w:t>s</w:t>
      </w:r>
      <w:r w:rsidR="00C6523E">
        <w:t xml:space="preserve"> on the combined hard-body </w:t>
      </w:r>
      <w:r w:rsidR="00960C2C">
        <w:t xml:space="preserve">radii of the </w:t>
      </w:r>
      <w:r w:rsidR="005B4328">
        <w:t xml:space="preserve">primary and secondary </w:t>
      </w:r>
      <w:r w:rsidR="00960C2C">
        <w:t>satellites</w:t>
      </w:r>
      <w:r w:rsidR="003641C3">
        <w:t xml:space="preserve"> involved in the encounter</w:t>
      </w:r>
      <w:r w:rsidR="00960C2C">
        <w:t>, as well as the</w:t>
      </w:r>
      <w:r w:rsidR="005B4328">
        <w:t>ir</w:t>
      </w:r>
      <w:r w:rsidR="00960C2C">
        <w:t xml:space="preserve"> </w:t>
      </w:r>
      <w:r w:rsidR="00DD6AED">
        <w:t>mean</w:t>
      </w:r>
      <w:r w:rsidR="005B4328">
        <w:t xml:space="preserve"> </w:t>
      </w:r>
      <w:r w:rsidR="00960C2C">
        <w:t xml:space="preserve">orbital </w:t>
      </w:r>
      <w:r w:rsidR="005B4328">
        <w:t>trajectories</w:t>
      </w:r>
      <w:r w:rsidR="00960C2C">
        <w:t xml:space="preserve"> and associated </w:t>
      </w:r>
      <w:r w:rsidR="00FA6123">
        <w:t xml:space="preserve">position </w:t>
      </w:r>
      <w:r w:rsidR="00960C2C">
        <w:t>uncertainties.</w:t>
      </w:r>
      <w:r w:rsidR="00485450" w:rsidRPr="003974BD">
        <w:rPr>
          <w:vertAlign w:val="superscript"/>
        </w:rPr>
        <w:fldChar w:fldCharType="begin"/>
      </w:r>
      <w:r w:rsidR="00485450" w:rsidRPr="003974BD">
        <w:rPr>
          <w:vertAlign w:val="superscript"/>
        </w:rPr>
        <w:instrText xml:space="preserve"> REF _Ref514676603 \r \h </w:instrText>
      </w:r>
      <w:r w:rsidR="00485450">
        <w:rPr>
          <w:vertAlign w:val="superscript"/>
        </w:rPr>
        <w:instrText xml:space="preserve"> \* MERGEFORMAT </w:instrText>
      </w:r>
      <w:r w:rsidR="00485450" w:rsidRPr="003974BD">
        <w:rPr>
          <w:vertAlign w:val="superscript"/>
        </w:rPr>
      </w:r>
      <w:r w:rsidR="00485450"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1</w:t>
      </w:r>
      <w:r w:rsidR="00485450" w:rsidRPr="003974BD">
        <w:rPr>
          <w:vertAlign w:val="superscript"/>
        </w:rPr>
        <w:fldChar w:fldCharType="end"/>
      </w:r>
      <w:r w:rsidR="00485450" w:rsidRPr="003974BD">
        <w:rPr>
          <w:vertAlign w:val="superscript"/>
        </w:rPr>
        <w:t>-</w:t>
      </w:r>
      <w:r w:rsidR="00485450" w:rsidRPr="003974BD">
        <w:rPr>
          <w:vertAlign w:val="superscript"/>
        </w:rPr>
        <w:fldChar w:fldCharType="begin"/>
      </w:r>
      <w:r w:rsidR="00485450" w:rsidRPr="003974BD">
        <w:rPr>
          <w:vertAlign w:val="superscript"/>
        </w:rPr>
        <w:instrText xml:space="preserve"> REF _Ref514676608 \r \h </w:instrText>
      </w:r>
      <w:r w:rsidR="00485450">
        <w:rPr>
          <w:vertAlign w:val="superscript"/>
        </w:rPr>
        <w:instrText xml:space="preserve"> \* MERGEFORMAT </w:instrText>
      </w:r>
      <w:r w:rsidR="00485450" w:rsidRPr="003974BD">
        <w:rPr>
          <w:vertAlign w:val="superscript"/>
        </w:rPr>
      </w:r>
      <w:r w:rsidR="00485450"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485450" w:rsidRPr="003974BD">
        <w:rPr>
          <w:vertAlign w:val="superscript"/>
        </w:rPr>
        <w:fldChar w:fldCharType="end"/>
      </w:r>
      <w:r w:rsidR="00485450" w:rsidRPr="003974BD">
        <w:rPr>
          <w:vertAlign w:val="superscript"/>
        </w:rPr>
        <w:t>,</w:t>
      </w:r>
      <w:r w:rsidR="00485450" w:rsidRPr="003974BD">
        <w:rPr>
          <w:vertAlign w:val="superscript"/>
        </w:rPr>
        <w:fldChar w:fldCharType="begin"/>
      </w:r>
      <w:r w:rsidR="00485450" w:rsidRPr="003974BD">
        <w:rPr>
          <w:vertAlign w:val="superscript"/>
        </w:rPr>
        <w:instrText xml:space="preserve"> REF _Ref459723484 \r \h </w:instrText>
      </w:r>
      <w:r w:rsidR="00485450">
        <w:rPr>
          <w:vertAlign w:val="superscript"/>
        </w:rPr>
        <w:instrText xml:space="preserve"> \* MERGEFORMAT </w:instrText>
      </w:r>
      <w:r w:rsidR="00485450" w:rsidRPr="003974BD">
        <w:rPr>
          <w:vertAlign w:val="superscript"/>
        </w:rPr>
      </w:r>
      <w:r w:rsidR="00485450"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="00485450" w:rsidRPr="003974BD">
        <w:rPr>
          <w:vertAlign w:val="superscript"/>
        </w:rPr>
        <w:fldChar w:fldCharType="end"/>
      </w:r>
      <w:r w:rsidR="003641C3">
        <w:t xml:space="preserve">  As discussed in detail by Chan</w:t>
      </w:r>
      <w:r w:rsidR="003641C3" w:rsidRPr="00C12AAC">
        <w:rPr>
          <w:vertAlign w:val="superscript"/>
        </w:rPr>
        <w:fldChar w:fldCharType="begin"/>
      </w:r>
      <w:r w:rsidR="003641C3" w:rsidRPr="00C12AAC">
        <w:rPr>
          <w:vertAlign w:val="superscript"/>
        </w:rPr>
        <w:instrText xml:space="preserve"> REF _Ref514676608 \r \h </w:instrText>
      </w:r>
      <w:r w:rsidR="003641C3">
        <w:rPr>
          <w:vertAlign w:val="superscript"/>
        </w:rPr>
        <w:instrText xml:space="preserve"> \* MERGEFORMAT </w:instrText>
      </w:r>
      <w:r w:rsidR="003641C3" w:rsidRPr="00C12AAC">
        <w:rPr>
          <w:vertAlign w:val="superscript"/>
        </w:rPr>
      </w:r>
      <w:r w:rsidR="003641C3" w:rsidRPr="00C12AAC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3641C3" w:rsidRPr="00C12AAC">
        <w:rPr>
          <w:vertAlign w:val="superscript"/>
        </w:rPr>
        <w:fldChar w:fldCharType="end"/>
      </w:r>
      <w:r w:rsidR="003641C3">
        <w:t xml:space="preserve"> and Coppola</w:t>
      </w:r>
      <w:r w:rsidR="003641C3" w:rsidRPr="00C12AAC">
        <w:rPr>
          <w:vertAlign w:val="superscript"/>
        </w:rPr>
        <w:fldChar w:fldCharType="begin"/>
      </w:r>
      <w:r w:rsidR="003641C3" w:rsidRPr="00C12AAC">
        <w:rPr>
          <w:vertAlign w:val="superscript"/>
        </w:rPr>
        <w:instrText xml:space="preserve"> REF _Ref459723484 \r \h </w:instrText>
      </w:r>
      <w:r w:rsidR="003641C3">
        <w:rPr>
          <w:vertAlign w:val="superscript"/>
        </w:rPr>
        <w:instrText xml:space="preserve"> \* MERGEFORMAT </w:instrText>
      </w:r>
      <w:r w:rsidR="003641C3" w:rsidRPr="00C12AAC">
        <w:rPr>
          <w:vertAlign w:val="superscript"/>
        </w:rPr>
      </w:r>
      <w:r w:rsidR="003641C3" w:rsidRPr="00C12AAC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="003641C3" w:rsidRPr="00C12AAC">
        <w:rPr>
          <w:vertAlign w:val="superscript"/>
        </w:rPr>
        <w:fldChar w:fldCharType="end"/>
      </w:r>
      <w:r w:rsidR="003641C3">
        <w:t>, t</w:t>
      </w:r>
      <w:r>
        <w:t xml:space="preserve">he </w:t>
      </w:r>
      <w:r w:rsidR="003641C3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641C3">
        <w:t xml:space="preserve"> </w:t>
      </w:r>
      <w:r>
        <w:t xml:space="preserve">method </w:t>
      </w:r>
      <w:r w:rsidR="00485450">
        <w:t>also relies on</w:t>
      </w:r>
      <w:r>
        <w:t xml:space="preserve"> </w:t>
      </w:r>
      <w:r w:rsidR="00C12AAC">
        <w:t xml:space="preserve">several </w:t>
      </w:r>
      <w:r>
        <w:t>assumptions that must be</w:t>
      </w:r>
      <w:r w:rsidR="0098471C">
        <w:t xml:space="preserve"> sufficiently</w:t>
      </w:r>
      <w:r>
        <w:t xml:space="preserve"> satisfied</w:t>
      </w:r>
      <w:r w:rsidR="003641C3">
        <w:t xml:space="preserve"> in order to provide </w:t>
      </w:r>
      <w:r>
        <w:t>accurate</w:t>
      </w:r>
      <w:r w:rsidR="005526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5267D">
        <w:t xml:space="preserve"> </w:t>
      </w:r>
      <w:r>
        <w:t>estimat</w:t>
      </w:r>
      <w:r w:rsidR="003641C3">
        <w:t>es.</w:t>
      </w:r>
    </w:p>
    <w:p w14:paraId="25650777" w14:textId="17B20B54" w:rsidR="004933F4" w:rsidRDefault="0084747F" w:rsidP="004933F4">
      <w:pPr>
        <w:pStyle w:val="Sub-Section"/>
      </w:pP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 w:rsidR="003641C3">
        <w:t>Estimation Method</w:t>
      </w:r>
      <w:r w:rsidR="006462CF">
        <w:t xml:space="preserve"> Assumptions</w:t>
      </w:r>
    </w:p>
    <w:p w14:paraId="080C63A6" w14:textId="3C9528E2" w:rsidR="00FA6123" w:rsidRDefault="00DE4DAD" w:rsidP="00DE4DAD">
      <w:r>
        <w:t>Three important assumptions</w:t>
      </w:r>
      <w:r w:rsidRPr="003974BD">
        <w:rPr>
          <w:vertAlign w:val="superscript"/>
        </w:rPr>
        <w:fldChar w:fldCharType="begin"/>
      </w:r>
      <w:r w:rsidRPr="003974BD">
        <w:rPr>
          <w:vertAlign w:val="superscript"/>
        </w:rPr>
        <w:instrText xml:space="preserve"> REF _Ref514676603 \r \h </w:instrText>
      </w:r>
      <w:r>
        <w:rPr>
          <w:vertAlign w:val="superscript"/>
        </w:rPr>
        <w:instrText xml:space="preserve"> \* MERGEFORMAT </w:instrText>
      </w:r>
      <w:r w:rsidRPr="003974BD">
        <w:rPr>
          <w:vertAlign w:val="superscript"/>
        </w:rPr>
      </w:r>
      <w:r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1</w:t>
      </w:r>
      <w:r w:rsidRPr="003974BD">
        <w:rPr>
          <w:vertAlign w:val="superscript"/>
        </w:rPr>
        <w:fldChar w:fldCharType="end"/>
      </w:r>
      <w:r w:rsidRPr="003974BD">
        <w:rPr>
          <w:vertAlign w:val="superscript"/>
        </w:rPr>
        <w:t>-</w:t>
      </w:r>
      <w:r w:rsidRPr="003974BD">
        <w:rPr>
          <w:vertAlign w:val="superscript"/>
        </w:rPr>
        <w:fldChar w:fldCharType="begin"/>
      </w:r>
      <w:r w:rsidRPr="003974BD">
        <w:rPr>
          <w:vertAlign w:val="superscript"/>
        </w:rPr>
        <w:instrText xml:space="preserve"> REF _Ref514676608 \r \h </w:instrText>
      </w:r>
      <w:r>
        <w:rPr>
          <w:vertAlign w:val="superscript"/>
        </w:rPr>
        <w:instrText xml:space="preserve"> \* MERGEFORMAT </w:instrText>
      </w:r>
      <w:r w:rsidRPr="003974BD">
        <w:rPr>
          <w:vertAlign w:val="superscript"/>
        </w:rPr>
      </w:r>
      <w:r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Pr="003974BD">
        <w:rPr>
          <w:vertAlign w:val="superscript"/>
        </w:rPr>
        <w:fldChar w:fldCharType="end"/>
      </w:r>
      <w:r w:rsidRPr="003974BD">
        <w:rPr>
          <w:vertAlign w:val="superscript"/>
        </w:rPr>
        <w:t>,</w:t>
      </w:r>
      <w:r w:rsidRPr="003974BD">
        <w:rPr>
          <w:vertAlign w:val="superscript"/>
        </w:rPr>
        <w:fldChar w:fldCharType="begin"/>
      </w:r>
      <w:r w:rsidRPr="003974BD">
        <w:rPr>
          <w:vertAlign w:val="superscript"/>
        </w:rPr>
        <w:instrText xml:space="preserve"> REF _Ref459723484 \r \h </w:instrText>
      </w:r>
      <w:r>
        <w:rPr>
          <w:vertAlign w:val="superscript"/>
        </w:rPr>
        <w:instrText xml:space="preserve"> \* MERGEFORMAT </w:instrText>
      </w:r>
      <w:r w:rsidRPr="003974BD">
        <w:rPr>
          <w:vertAlign w:val="superscript"/>
        </w:rPr>
      </w:r>
      <w:r w:rsidRPr="003974BD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Pr="003974BD">
        <w:rPr>
          <w:vertAlign w:val="superscript"/>
        </w:rPr>
        <w:fldChar w:fldCharType="end"/>
      </w:r>
      <w:r>
        <w:t xml:space="preserve"> </w:t>
      </w:r>
      <w:r w:rsidR="0098471C">
        <w:t>underlie</w:t>
      </w:r>
      <w:r>
        <w:t xml:space="preserve">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formulation: </w:t>
      </w:r>
    </w:p>
    <w:p w14:paraId="62650A71" w14:textId="7B771DE9" w:rsidR="00FA6123" w:rsidRDefault="00DE4DAD" w:rsidP="00182859">
      <w:pPr>
        <w:ind w:left="270" w:hanging="270"/>
      </w:pPr>
      <w:r>
        <w:t xml:space="preserve">1) </w:t>
      </w:r>
      <w:r w:rsidR="00BB1F4E">
        <w:t>A</w:t>
      </w:r>
      <w:r>
        <w:t xml:space="preserve">t the </w:t>
      </w:r>
      <w:r w:rsidR="0047206B">
        <w:t xml:space="preserve">conjunction’s </w:t>
      </w:r>
      <w:r>
        <w:t xml:space="preserve">nominal time of closest approach (TCA), the relative primary-to-secondary position uncertainty distribution can be approximated as </w:t>
      </w:r>
      <w:r w:rsidR="00F77E6E">
        <w:t xml:space="preserve">a </w:t>
      </w:r>
      <w:r w:rsidR="00B512EA">
        <w:t xml:space="preserve">single </w:t>
      </w:r>
      <w:r>
        <w:t>Gaussian</w:t>
      </w:r>
      <w:r w:rsidR="00F86EE6">
        <w:t xml:space="preserve"> </w:t>
      </w:r>
      <w:r w:rsidR="00B512EA">
        <w:sym w:font="Symbol" w:char="F0BE"/>
      </w:r>
      <w:r w:rsidR="00B512EA">
        <w:t xml:space="preserve"> </w:t>
      </w:r>
      <w:r>
        <w:t>i.e., a multivariate normal distribution calculated using a single 3</w:t>
      </w:r>
      <w:r w:rsidR="007C25DB">
        <w:sym w:font="Symbol" w:char="F0B4"/>
      </w:r>
      <w:r>
        <w:t>3 covariance matrix</w:t>
      </w:r>
      <w:r w:rsidR="009F6729">
        <w:t>.</w:t>
      </w:r>
    </w:p>
    <w:p w14:paraId="243F7EA8" w14:textId="2D571B33" w:rsidR="00FA6123" w:rsidRDefault="00DE4DAD" w:rsidP="00182859">
      <w:pPr>
        <w:ind w:left="270" w:hanging="270"/>
      </w:pPr>
      <w:r>
        <w:t xml:space="preserve">2) </w:t>
      </w:r>
      <w:r w:rsidR="00BB1F4E">
        <w:t xml:space="preserve">During </w:t>
      </w:r>
      <w:r>
        <w:t xml:space="preserve">the </w:t>
      </w:r>
      <w:r w:rsidR="00F77E6E">
        <w:t>event</w:t>
      </w:r>
      <w:r>
        <w:t xml:space="preserve">, the relative satellite trajectories can be approximated as </w:t>
      </w:r>
      <w:r w:rsidR="0098471C">
        <w:t>recti</w:t>
      </w:r>
      <w:r>
        <w:t>linear</w:t>
      </w:r>
      <w:r w:rsidR="009F6729">
        <w:t>.</w:t>
      </w:r>
    </w:p>
    <w:p w14:paraId="7446BE3E" w14:textId="1A4CE15D" w:rsidR="00FA6123" w:rsidRDefault="00DE4DAD" w:rsidP="00182859">
      <w:pPr>
        <w:ind w:left="270" w:hanging="270"/>
      </w:pPr>
      <w:r>
        <w:t xml:space="preserve">3) </w:t>
      </w:r>
      <w:r w:rsidR="00BB1F4E">
        <w:t xml:space="preserve">During </w:t>
      </w:r>
      <w:r>
        <w:t xml:space="preserve">the </w:t>
      </w:r>
      <w:r w:rsidR="00F77E6E">
        <w:t>event</w:t>
      </w:r>
      <w:r>
        <w:t xml:space="preserve">, the relative position covariance matrix </w:t>
      </w:r>
      <w:r w:rsidR="009F6729">
        <w:t>can be approximated as</w:t>
      </w:r>
      <w:r w:rsidR="00DD6AED">
        <w:t xml:space="preserve"> </w:t>
      </w:r>
      <w:r w:rsidR="009F6729">
        <w:t xml:space="preserve">unchanging, or </w:t>
      </w:r>
      <w:r>
        <w:t>constant</w:t>
      </w:r>
      <w:r w:rsidR="006E5005">
        <w:t xml:space="preserve"> in time</w:t>
      </w:r>
      <w:r>
        <w:t xml:space="preserve">.  </w:t>
      </w:r>
    </w:p>
    <w:p w14:paraId="07127308" w14:textId="49A441EA" w:rsidR="00DE4DAD" w:rsidRDefault="00DE4DAD" w:rsidP="00FA6123">
      <w:r>
        <w:t xml:space="preserve">If any of these three assumptions are violated, </w:t>
      </w:r>
      <w:r w:rsidR="005C2ED9">
        <w:t xml:space="preserve">then </w:t>
      </w:r>
      <w:r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can be inaccurate.  Assumption 1 relies on both objects having high quality, recent tracking data and orbital determination </w:t>
      </w:r>
      <w:r w:rsidR="0003674F">
        <w:t xml:space="preserve">(OD) </w:t>
      </w:r>
      <w:r>
        <w:t>solutions</w:t>
      </w:r>
      <w:r w:rsidRPr="00660B95">
        <w:rPr>
          <w:vertAlign w:val="superscript"/>
        </w:rPr>
        <w:fldChar w:fldCharType="begin"/>
      </w:r>
      <w:r w:rsidRPr="00660B95">
        <w:rPr>
          <w:vertAlign w:val="superscript"/>
        </w:rPr>
        <w:instrText xml:space="preserve"> REF _Ref514676578 \r \h </w:instrText>
      </w:r>
      <w:r>
        <w:rPr>
          <w:vertAlign w:val="superscript"/>
        </w:rPr>
        <w:instrText xml:space="preserve"> \* MERGEFORMAT </w:instrText>
      </w:r>
      <w:r w:rsidRPr="00660B95">
        <w:rPr>
          <w:vertAlign w:val="superscript"/>
        </w:rPr>
      </w:r>
      <w:r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6</w:t>
      </w:r>
      <w:r w:rsidRPr="00660B95">
        <w:rPr>
          <w:vertAlign w:val="superscript"/>
        </w:rPr>
        <w:fldChar w:fldCharType="end"/>
      </w:r>
      <w:r w:rsidRPr="00660B95">
        <w:rPr>
          <w:vertAlign w:val="superscript"/>
        </w:rPr>
        <w:t>,</w:t>
      </w:r>
      <w:r w:rsidRPr="00660B95">
        <w:rPr>
          <w:vertAlign w:val="superscript"/>
        </w:rPr>
        <w:fldChar w:fldCharType="begin"/>
      </w:r>
      <w:r w:rsidRPr="00660B95">
        <w:rPr>
          <w:vertAlign w:val="superscript"/>
        </w:rPr>
        <w:instrText xml:space="preserve"> REF _Ref514676675 \r \h </w:instrText>
      </w:r>
      <w:r>
        <w:rPr>
          <w:vertAlign w:val="superscript"/>
        </w:rPr>
        <w:instrText xml:space="preserve"> \* MERGEFORMAT </w:instrText>
      </w:r>
      <w:r w:rsidRPr="00660B95">
        <w:rPr>
          <w:vertAlign w:val="superscript"/>
        </w:rPr>
      </w:r>
      <w:r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7</w:t>
      </w:r>
      <w:r w:rsidRPr="00660B95">
        <w:rPr>
          <w:vertAlign w:val="superscript"/>
        </w:rPr>
        <w:fldChar w:fldCharType="end"/>
      </w:r>
      <w:r>
        <w:t xml:space="preserve"> for which the relative position covariance provides an accurate approximation of the actual uncertainty.</w:t>
      </w:r>
      <w:r w:rsidR="00F10C95">
        <w:t xml:space="preserve">  The existence of a non-positive definite (NPD) state covariance matrix</w:t>
      </w:r>
      <w:r w:rsidR="00F10C95" w:rsidRPr="00F10C95">
        <w:rPr>
          <w:vertAlign w:val="superscript"/>
        </w:rPr>
        <w:fldChar w:fldCharType="begin"/>
      </w:r>
      <w:r w:rsidR="00F10C95" w:rsidRPr="00F10C95">
        <w:rPr>
          <w:vertAlign w:val="superscript"/>
        </w:rPr>
        <w:instrText xml:space="preserve"> REF _Ref514746819 \r \h </w:instrText>
      </w:r>
      <w:r w:rsidR="00F10C95">
        <w:rPr>
          <w:vertAlign w:val="superscript"/>
        </w:rPr>
        <w:instrText xml:space="preserve"> \* MERGEFORMAT </w:instrText>
      </w:r>
      <w:r w:rsidR="00F10C95" w:rsidRPr="00F10C95">
        <w:rPr>
          <w:vertAlign w:val="superscript"/>
        </w:rPr>
      </w:r>
      <w:r w:rsidR="00F10C95" w:rsidRPr="00F10C95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F10C95" w:rsidRPr="00F10C95">
        <w:rPr>
          <w:vertAlign w:val="superscript"/>
        </w:rPr>
        <w:fldChar w:fldCharType="end"/>
      </w:r>
      <w:r w:rsidR="00F10C95">
        <w:t xml:space="preserve"> </w:t>
      </w:r>
      <w:r w:rsidR="009D37DD">
        <w:t xml:space="preserve">provides one example of a violation of </w:t>
      </w:r>
      <w:r w:rsidR="00293C75">
        <w:t>a</w:t>
      </w:r>
      <w:r w:rsidR="00DD6AED">
        <w:t xml:space="preserve">ssumption </w:t>
      </w:r>
      <w:r w:rsidR="009D37DD">
        <w:t>1.</w:t>
      </w:r>
      <w:r>
        <w:t xml:space="preserve"> </w:t>
      </w:r>
      <w:r w:rsidR="001C272E">
        <w:t xml:space="preserve">The linear-encounter </w:t>
      </w:r>
      <w:r w:rsidR="00293C75">
        <w:t>a</w:t>
      </w:r>
      <w:r w:rsidR="006E5005">
        <w:t xml:space="preserve">ssumption </w:t>
      </w:r>
      <w:r>
        <w:t xml:space="preserve">2 and </w:t>
      </w:r>
      <w:r w:rsidR="001C272E">
        <w:t xml:space="preserve">constant-covariance assumption </w:t>
      </w:r>
      <w:r>
        <w:t xml:space="preserve">3 </w:t>
      </w:r>
      <w:r w:rsidR="001C272E">
        <w:t xml:space="preserve">both </w:t>
      </w:r>
      <w:r>
        <w:t>rely on the event being a “short-encounter” interaction</w:t>
      </w:r>
      <w:r w:rsidRPr="00660B95">
        <w:rPr>
          <w:vertAlign w:val="superscript"/>
        </w:rPr>
        <w:fldChar w:fldCharType="begin"/>
      </w:r>
      <w:r w:rsidRPr="00660B95">
        <w:rPr>
          <w:vertAlign w:val="superscript"/>
        </w:rPr>
        <w:instrText xml:space="preserve"> REF _Ref459723484 \r \h </w:instrText>
      </w:r>
      <w:r>
        <w:rPr>
          <w:vertAlign w:val="superscript"/>
        </w:rPr>
        <w:instrText xml:space="preserve"> \* MERGEFORMAT </w:instrText>
      </w:r>
      <w:r w:rsidRPr="00660B95">
        <w:rPr>
          <w:vertAlign w:val="superscript"/>
        </w:rPr>
      </w:r>
      <w:r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Pr="00660B95">
        <w:rPr>
          <w:vertAlign w:val="superscript"/>
        </w:rPr>
        <w:fldChar w:fldCharType="end"/>
      </w:r>
      <w:r w:rsidR="00377417">
        <w:t>, which</w:t>
      </w:r>
      <w:r>
        <w:t xml:space="preserve"> is naturally satisfied for high relative-velocity events, but </w:t>
      </w:r>
      <w:r w:rsidR="001C272E">
        <w:t xml:space="preserve">not necessarily </w:t>
      </w:r>
      <w:r>
        <w:t>for slower interactions such as encounters between</w:t>
      </w:r>
      <w:r w:rsidR="001C272E">
        <w:t xml:space="preserve"> </w:t>
      </w:r>
      <w:r>
        <w:t>closely-spaced</w:t>
      </w:r>
      <w:r w:rsidR="001C272E">
        <w:t>, nearly co-orbiting</w:t>
      </w:r>
      <w:r>
        <w:t xml:space="preserve"> objects.</w:t>
      </w:r>
    </w:p>
    <w:p w14:paraId="08CEF211" w14:textId="08523A6C" w:rsidR="006462CF" w:rsidRDefault="006462CF" w:rsidP="006462CF">
      <w:pPr>
        <w:pStyle w:val="Sub-Section"/>
      </w:pPr>
      <w:r>
        <w:t>Short-Term Encounter Validity Interval</w:t>
      </w:r>
    </w:p>
    <w:p w14:paraId="77F4790A" w14:textId="4D466219" w:rsidR="00D27F50" w:rsidRDefault="00D27F50" w:rsidP="00D27F50">
      <w:r w:rsidRPr="00D27F50">
        <w:t>As mentioned previously, Akella and Alfriend</w:t>
      </w:r>
      <w:r w:rsidRPr="00D27F50">
        <w:rPr>
          <w:vertAlign w:val="superscript"/>
        </w:rPr>
        <w:fldChar w:fldCharType="begin"/>
      </w:r>
      <w:r w:rsidRPr="00D27F50">
        <w:rPr>
          <w:vertAlign w:val="superscript"/>
        </w:rPr>
        <w:instrText xml:space="preserve"> REF _Ref514676846 \r \h  \* MERGEFORMAT </w:instrText>
      </w:r>
      <w:r w:rsidRPr="00D27F50">
        <w:rPr>
          <w:vertAlign w:val="superscript"/>
        </w:rPr>
      </w:r>
      <w:r w:rsidRPr="00D27F50">
        <w:rPr>
          <w:vertAlign w:val="superscript"/>
        </w:rPr>
        <w:fldChar w:fldCharType="separate"/>
      </w:r>
      <w:r w:rsidR="00620BE7">
        <w:rPr>
          <w:vertAlign w:val="superscript"/>
        </w:rPr>
        <w:t>2</w:t>
      </w:r>
      <w:r w:rsidRPr="00D27F50">
        <w:rPr>
          <w:vertAlign w:val="superscript"/>
        </w:rPr>
        <w:fldChar w:fldCharType="end"/>
      </w:r>
      <w:r w:rsidRPr="00D27F50">
        <w:t xml:space="preserve"> show that </w:t>
      </w:r>
      <w:r w:rsidR="005E0F7A">
        <w:t>a</w:t>
      </w:r>
      <w:r w:rsidR="00421221">
        <w:t xml:space="preserve"> </w:t>
      </w:r>
      <w:r w:rsidRPr="00D27F50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27F50">
        <w:t xml:space="preserve"> estimate can be expressed using a time integral, indicat</w:t>
      </w:r>
      <w:r w:rsidR="00F86EE6">
        <w:t>ing</w:t>
      </w:r>
      <w:r w:rsidR="00043812">
        <w:t xml:space="preserve"> that</w:t>
      </w:r>
      <w:r w:rsidRPr="00D27F50">
        <w:t xml:space="preserve"> collision probability accumulates </w:t>
      </w:r>
      <w:r w:rsidR="007D08DB">
        <w:t xml:space="preserve">over a finite period of time </w:t>
      </w:r>
      <w:r w:rsidRPr="00D27F50">
        <w:t xml:space="preserve">during </w:t>
      </w:r>
      <w:r w:rsidR="00421221">
        <w:t xml:space="preserve">an encounter between </w:t>
      </w:r>
      <w:r w:rsidR="001C272E">
        <w:t xml:space="preserve">two </w:t>
      </w:r>
      <w:r w:rsidR="00421221">
        <w:t>tracked objects</w:t>
      </w:r>
      <w:r w:rsidR="00F86EE6">
        <w:t xml:space="preserve"> </w:t>
      </w:r>
      <w:r w:rsidR="00F86EE6">
        <w:sym w:font="Symbol" w:char="F0BE"/>
      </w:r>
      <w:r w:rsidR="00F86EE6">
        <w:t xml:space="preserve"> which can also be demonstrated using Monte Carlo methods</w:t>
      </w:r>
      <w:r w:rsidRPr="00D27F50">
        <w:t>.</w:t>
      </w:r>
      <w:r w:rsidR="005E0F7A" w:rsidRPr="005E0F7A">
        <w:rPr>
          <w:vertAlign w:val="superscript"/>
        </w:rPr>
        <w:fldChar w:fldCharType="begin"/>
      </w:r>
      <w:r w:rsidR="005E0F7A" w:rsidRPr="005E0F7A">
        <w:rPr>
          <w:vertAlign w:val="superscript"/>
        </w:rPr>
        <w:instrText xml:space="preserve"> REF _Ref6464558 \r \h </w:instrText>
      </w:r>
      <w:r w:rsidR="005E0F7A">
        <w:rPr>
          <w:vertAlign w:val="superscript"/>
        </w:rPr>
        <w:instrText xml:space="preserve"> \* MERGEFORMAT </w:instrText>
      </w:r>
      <w:r w:rsidR="005E0F7A" w:rsidRPr="005E0F7A">
        <w:rPr>
          <w:vertAlign w:val="superscript"/>
        </w:rPr>
      </w:r>
      <w:r w:rsidR="005E0F7A" w:rsidRPr="005E0F7A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5E0F7A" w:rsidRPr="005E0F7A">
        <w:rPr>
          <w:vertAlign w:val="superscript"/>
        </w:rPr>
        <w:fldChar w:fldCharType="end"/>
      </w:r>
      <w:r w:rsidRPr="00D27F50">
        <w:t xml:space="preserve">  </w:t>
      </w:r>
      <w:r w:rsidR="004E15F3">
        <w:t xml:space="preserve">A conjunction’s </w:t>
      </w:r>
      <w:r w:rsidRPr="00D27F50">
        <w:t xml:space="preserve">effective duration </w:t>
      </w:r>
      <w:r w:rsidR="00DB1296">
        <w:t>can be considered to be</w:t>
      </w:r>
      <w:r w:rsidRPr="00D27F50">
        <w:t xml:space="preserve"> the period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D27F50">
        <w:t xml:space="preserve"> </w:t>
      </w:r>
      <w:r w:rsidR="00421221">
        <w:t>increases</w:t>
      </w:r>
      <w:r w:rsidRPr="00D27F50">
        <w:t xml:space="preserve"> from zero </w:t>
      </w:r>
      <w:r w:rsidR="00421221">
        <w:t xml:space="preserve">up </w:t>
      </w:r>
      <w:r w:rsidRPr="00D27F50">
        <w:t xml:space="preserve">to a final value to within some </w:t>
      </w:r>
      <w:r>
        <w:t>precision tolerance</w:t>
      </w:r>
      <w:r w:rsidR="00403BFE">
        <w:t xml:space="preserve"> level (corresponding to ~</w:t>
      </w:r>
      <w:r w:rsidRPr="00D27F50">
        <w:t>10</w:t>
      </w:r>
      <w:r w:rsidRPr="00D27F50">
        <w:rPr>
          <w:vertAlign w:val="superscript"/>
        </w:rPr>
        <w:t>-16</w:t>
      </w:r>
      <w:r w:rsidRPr="00D27F50">
        <w:t xml:space="preserve"> for double-precision numerical processing</w:t>
      </w:r>
      <w:r w:rsidR="00403BFE">
        <w:t>)</w:t>
      </w:r>
      <w:r w:rsidRPr="00D27F50">
        <w:t>.</w:t>
      </w:r>
      <w:r w:rsidR="00F77E6E" w:rsidRPr="00F77E6E">
        <w:rPr>
          <w:vertAlign w:val="superscript"/>
        </w:rPr>
        <w:fldChar w:fldCharType="begin"/>
      </w:r>
      <w:r w:rsidR="00F77E6E" w:rsidRPr="00F77E6E">
        <w:rPr>
          <w:vertAlign w:val="superscript"/>
        </w:rPr>
        <w:instrText xml:space="preserve"> REF _Ref514676608 \r \h </w:instrText>
      </w:r>
      <w:r w:rsidR="00F77E6E">
        <w:rPr>
          <w:vertAlign w:val="superscript"/>
        </w:rPr>
        <w:instrText xml:space="preserve"> \* MERGEFORMAT </w:instrText>
      </w:r>
      <w:r w:rsidR="00F77E6E" w:rsidRPr="00F77E6E">
        <w:rPr>
          <w:vertAlign w:val="superscript"/>
        </w:rPr>
      </w:r>
      <w:r w:rsidR="00F77E6E" w:rsidRPr="00F77E6E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F77E6E" w:rsidRPr="00F77E6E">
        <w:rPr>
          <w:vertAlign w:val="superscript"/>
        </w:rPr>
        <w:fldChar w:fldCharType="end"/>
      </w:r>
      <w:r w:rsidR="00F77E6E" w:rsidRPr="00F77E6E">
        <w:rPr>
          <w:vertAlign w:val="superscript"/>
        </w:rPr>
        <w:t>,</w:t>
      </w:r>
      <w:r w:rsidRPr="00D27F50">
        <w:rPr>
          <w:vertAlign w:val="superscript"/>
        </w:rPr>
        <w:fldChar w:fldCharType="begin"/>
      </w:r>
      <w:r w:rsidRPr="00D27F50">
        <w:rPr>
          <w:vertAlign w:val="superscript"/>
        </w:rPr>
        <w:instrText xml:space="preserve"> REF _Ref459723484 \r \h  \* MERGEFORMAT </w:instrText>
      </w:r>
      <w:r w:rsidRPr="00D27F50">
        <w:rPr>
          <w:vertAlign w:val="superscript"/>
        </w:rPr>
      </w:r>
      <w:r w:rsidRPr="00D27F50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Pr="00D27F50">
        <w:rPr>
          <w:vertAlign w:val="superscript"/>
        </w:rPr>
        <w:fldChar w:fldCharType="end"/>
      </w:r>
      <w:r w:rsidRPr="00D27F50">
        <w:t xml:space="preserve">  </w:t>
      </w:r>
      <w:r>
        <w:t xml:space="preserve"> </w:t>
      </w:r>
      <w:r w:rsidR="00DB1296">
        <w:t>In addition</w:t>
      </w:r>
      <w:r w:rsidR="00043812">
        <w:t>, Chan’s</w:t>
      </w:r>
      <w:r>
        <w:t xml:space="preserve"> analys</w:t>
      </w:r>
      <w:r w:rsidR="00043812">
        <w:t>i</w:t>
      </w:r>
      <w:r>
        <w:t>s</w:t>
      </w:r>
      <w:r w:rsidR="00043812" w:rsidRPr="00660B95">
        <w:rPr>
          <w:vertAlign w:val="superscript"/>
        </w:rPr>
        <w:fldChar w:fldCharType="begin"/>
      </w:r>
      <w:r w:rsidR="00043812" w:rsidRPr="00660B95">
        <w:rPr>
          <w:vertAlign w:val="superscript"/>
        </w:rPr>
        <w:instrText xml:space="preserve"> REF _Ref514676608 \r \h </w:instrText>
      </w:r>
      <w:r w:rsidR="00043812">
        <w:rPr>
          <w:vertAlign w:val="superscript"/>
        </w:rPr>
        <w:instrText xml:space="preserve"> \* MERGEFORMAT </w:instrText>
      </w:r>
      <w:r w:rsidR="00043812" w:rsidRPr="00660B95">
        <w:rPr>
          <w:vertAlign w:val="superscript"/>
        </w:rPr>
      </w:r>
      <w:r w:rsidR="00043812"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043812" w:rsidRPr="00660B95">
        <w:rPr>
          <w:vertAlign w:val="superscript"/>
        </w:rPr>
        <w:fldChar w:fldCharType="end"/>
      </w:r>
      <w:r>
        <w:t xml:space="preserve"> of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validity requirements </w:t>
      </w:r>
      <w:r w:rsidR="00182859">
        <w:t>indicates</w:t>
      </w:r>
      <w:r w:rsidR="00BB1F4E">
        <w:t xml:space="preserve"> </w:t>
      </w:r>
      <w:r>
        <w:t xml:space="preserve">that the </w:t>
      </w:r>
      <w:r w:rsidR="00043812">
        <w:t>linear</w:t>
      </w:r>
      <w:r>
        <w:t>-encounter assumption</w:t>
      </w:r>
      <w:r w:rsidR="001C272E">
        <w:t xml:space="preserve"> </w:t>
      </w:r>
      <w:r>
        <w:t xml:space="preserve">must be satisfied </w:t>
      </w:r>
      <w:r w:rsidR="002C7A38">
        <w:t>throughout an</w:t>
      </w:r>
      <w:r>
        <w:t xml:space="preserve"> encounter region spanning 17 relative position uncertainty standard deviations (i.e., within </w:t>
      </w:r>
      <w:r>
        <w:sym w:font="Symbol" w:char="F0B1"/>
      </w:r>
      <w:r>
        <w:t>8.5</w:t>
      </w:r>
      <w:r>
        <w:sym w:font="Symbol" w:char="F073"/>
      </w:r>
      <w:r>
        <w:t xml:space="preserve"> of the point of closest approach)</w:t>
      </w:r>
      <w:r w:rsidR="00421221">
        <w:t>.</w:t>
      </w:r>
      <w:r>
        <w:t xml:space="preserve"> </w:t>
      </w:r>
      <w:r w:rsidR="00421221">
        <w:t xml:space="preserve"> </w:t>
      </w:r>
      <w:r w:rsidR="00043812">
        <w:t>Coppola’s analysis</w:t>
      </w:r>
      <w:r w:rsidR="00043812" w:rsidRPr="00660B95">
        <w:rPr>
          <w:vertAlign w:val="superscript"/>
        </w:rPr>
        <w:fldChar w:fldCharType="begin"/>
      </w:r>
      <w:r w:rsidR="00043812" w:rsidRPr="00660B95">
        <w:rPr>
          <w:vertAlign w:val="superscript"/>
        </w:rPr>
        <w:instrText xml:space="preserve"> REF _Ref459723484 \r \h </w:instrText>
      </w:r>
      <w:r w:rsidR="00043812">
        <w:rPr>
          <w:vertAlign w:val="superscript"/>
        </w:rPr>
        <w:instrText xml:space="preserve"> \* MERGEFORMAT </w:instrText>
      </w:r>
      <w:r w:rsidR="00043812" w:rsidRPr="00660B95">
        <w:rPr>
          <w:vertAlign w:val="superscript"/>
        </w:rPr>
      </w:r>
      <w:r w:rsidR="00043812"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="00043812" w:rsidRPr="00660B95">
        <w:rPr>
          <w:vertAlign w:val="superscript"/>
        </w:rPr>
        <w:fldChar w:fldCharType="end"/>
      </w:r>
      <w:r>
        <w:t xml:space="preserve"> </w:t>
      </w:r>
      <w:r w:rsidR="00644AA9">
        <w:t xml:space="preserve">extends this concept even further, </w:t>
      </w:r>
      <w:r w:rsidR="00043812">
        <w:t>indicat</w:t>
      </w:r>
      <w:r w:rsidR="00DB1296">
        <w:t>ing</w:t>
      </w:r>
      <w:r w:rsidR="00043812">
        <w:t xml:space="preserve"> </w:t>
      </w:r>
      <w:r w:rsidR="00421221">
        <w:t>th</w:t>
      </w:r>
      <w:r w:rsidR="00043812">
        <w:t>at both</w:t>
      </w:r>
      <w:r w:rsidR="00644AA9">
        <w:t xml:space="preserve"> </w:t>
      </w:r>
      <w:r w:rsidR="001C272E">
        <w:t xml:space="preserve">the linear-encounter and constant-covariance </w:t>
      </w:r>
      <w:r w:rsidR="00D5382C">
        <w:t xml:space="preserve">assumptions </w:t>
      </w:r>
      <w:r w:rsidR="00421221">
        <w:t xml:space="preserve">must be satisfied </w:t>
      </w:r>
      <w:r w:rsidR="00644AA9">
        <w:t>throughout</w:t>
      </w:r>
      <w:r>
        <w:t xml:space="preserve"> a well-defined time span, TCA </w:t>
      </w:r>
      <w:r>
        <w:sym w:font="Symbol" w:char="F0B1"/>
      </w:r>
      <w:r>
        <w:t xml:space="preserve"> </w:t>
      </w:r>
      <w:r>
        <w:sym w:font="Symbol" w:char="F044"/>
      </w:r>
      <w:r w:rsidRPr="009A788C">
        <w:rPr>
          <w:i/>
        </w:rPr>
        <w:t>t</w:t>
      </w:r>
      <w:r>
        <w:t xml:space="preserve">, known as the </w:t>
      </w:r>
      <w:r w:rsidRPr="00240D85">
        <w:rPr>
          <w:i/>
        </w:rPr>
        <w:t>short-term encounter validity interval</w:t>
      </w:r>
      <w:r w:rsidR="00043812">
        <w:rPr>
          <w:i/>
        </w:rPr>
        <w:t>,</w:t>
      </w:r>
      <w:r>
        <w:t xml:space="preserve"> </w:t>
      </w:r>
      <w:r w:rsidR="003C4441">
        <w:t>w</w:t>
      </w:r>
      <w:r w:rsidR="00043812">
        <w:t xml:space="preserve">hich has </w:t>
      </w:r>
      <w:r w:rsidR="00C113A6">
        <w:t>half</w:t>
      </w:r>
      <w:r w:rsidR="00DB1296">
        <w:t xml:space="preserve"> </w:t>
      </w:r>
      <w:r w:rsidR="00C113A6">
        <w:t>width</w:t>
      </w:r>
    </w:p>
    <w:p w14:paraId="11920282" w14:textId="6FC62E41" w:rsidR="00C113A6" w:rsidRDefault="00C113A6" w:rsidP="00C113A6">
      <w:pPr>
        <w:jc w:val="right"/>
      </w:pPr>
      <m:oMath>
        <m:r>
          <m:rPr>
            <m:sty m:val="p"/>
          </m:rPr>
          <w:rPr>
            <w:rFonts w:ascii="Cambria Math" w:hAnsi="Cambria Math"/>
          </w:rPr>
          <w:sym w:font="Symbol" w:char="F044"/>
        </m:r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</w:t>
      </w:r>
      <w:r w:rsidR="003C4441">
        <w:t xml:space="preserve">  </w:t>
      </w:r>
      <w:r>
        <w:t xml:space="preserve">                                     (1)</w:t>
      </w:r>
    </w:p>
    <w:p w14:paraId="6AA24201" w14:textId="58B6A65B" w:rsidR="001C750B" w:rsidRDefault="00043812" w:rsidP="006462CF">
      <w:r>
        <w:t>H</w:t>
      </w:r>
      <w:r w:rsidR="00C113A6">
        <w:t xml:space="preserve">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3A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113A6">
        <w:t xml:space="preserve"> denote the beginning and ending of the conjunction duration,</w:t>
      </w:r>
      <w:r w:rsidR="00DB1296" w:rsidRPr="00660B95">
        <w:rPr>
          <w:vertAlign w:val="superscript"/>
        </w:rPr>
        <w:fldChar w:fldCharType="begin"/>
      </w:r>
      <w:r w:rsidR="00DB1296" w:rsidRPr="00660B95">
        <w:rPr>
          <w:vertAlign w:val="superscript"/>
        </w:rPr>
        <w:instrText xml:space="preserve"> REF _Ref459723484 \r \h </w:instrText>
      </w:r>
      <w:r w:rsidR="00DB1296">
        <w:rPr>
          <w:vertAlign w:val="superscript"/>
        </w:rPr>
        <w:instrText xml:space="preserve"> \* MERGEFORMAT </w:instrText>
      </w:r>
      <w:r w:rsidR="00DB1296" w:rsidRPr="00660B95">
        <w:rPr>
          <w:vertAlign w:val="superscript"/>
        </w:rPr>
      </w:r>
      <w:r w:rsidR="00DB1296"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="00DB1296" w:rsidRPr="00660B95">
        <w:rPr>
          <w:vertAlign w:val="superscript"/>
        </w:rPr>
        <w:fldChar w:fldCharType="end"/>
      </w:r>
      <w:r w:rsidR="00C113A6">
        <w:t xml:space="preserve"> measured relative to TCA, which depend on the precision tolerance </w:t>
      </w:r>
      <w:r w:rsidR="00033C12">
        <w:t>(</w:t>
      </w:r>
      <w:r w:rsidR="00C113A6">
        <w:t xml:space="preserve">taken to be </w:t>
      </w:r>
      <m:oMath>
        <m:r>
          <w:rPr>
            <w:rFonts w:ascii="Cambria Math" w:hAnsi="Cambria Math"/>
          </w:rPr>
          <m:t>γ=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033C12">
        <w:t xml:space="preserve"> for </w:t>
      </w:r>
      <w:r>
        <w:t>all</w:t>
      </w:r>
      <w:r w:rsidR="00033C12">
        <w:t xml:space="preserve"> analyses presented here), as well as the TCA primary-to-secondary relative position vector and associated covariance matrix</w:t>
      </w:r>
      <w:r w:rsidR="003C4441">
        <w:t>.  (Coppola</w:t>
      </w:r>
      <w:r w:rsidR="003C4441" w:rsidRPr="00660B95">
        <w:rPr>
          <w:vertAlign w:val="superscript"/>
        </w:rPr>
        <w:fldChar w:fldCharType="begin"/>
      </w:r>
      <w:r w:rsidR="003C4441" w:rsidRPr="00660B95">
        <w:rPr>
          <w:vertAlign w:val="superscript"/>
        </w:rPr>
        <w:instrText xml:space="preserve"> REF _Ref459723484 \r \h </w:instrText>
      </w:r>
      <w:r w:rsidR="003C4441">
        <w:rPr>
          <w:vertAlign w:val="superscript"/>
        </w:rPr>
        <w:instrText xml:space="preserve"> \* MERGEFORMAT </w:instrText>
      </w:r>
      <w:r w:rsidR="003C4441" w:rsidRPr="00660B95">
        <w:rPr>
          <w:vertAlign w:val="superscript"/>
        </w:rPr>
      </w:r>
      <w:r w:rsidR="003C4441" w:rsidRPr="00660B95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="003C4441" w:rsidRPr="00660B95">
        <w:rPr>
          <w:vertAlign w:val="superscript"/>
        </w:rPr>
        <w:fldChar w:fldCharType="end"/>
      </w:r>
      <w:r w:rsidR="003C4441">
        <w:t xml:space="preserve"> pr</w:t>
      </w:r>
      <w:r w:rsidR="004D2006">
        <w:t>ovide</w:t>
      </w:r>
      <w:r w:rsidR="003C4441">
        <w:t xml:space="preserve">s detailed expressions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C444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5BB5">
        <w:t xml:space="preserve"> </w:t>
      </w:r>
      <w:r>
        <w:t xml:space="preserve">that are </w:t>
      </w:r>
      <w:r w:rsidR="00775BB5">
        <w:t>not reproduced here.</w:t>
      </w:r>
      <w:r w:rsidR="003C4441">
        <w:t>)</w:t>
      </w:r>
      <w:r w:rsidR="006D2809">
        <w:t xml:space="preserve">  </w:t>
      </w:r>
      <w:r w:rsidR="00C8085F">
        <w:t>S</w:t>
      </w:r>
      <w:r w:rsidR="00C8085F" w:rsidRPr="00374472">
        <w:t>hort-term encounter validity interval</w:t>
      </w:r>
      <w:r w:rsidR="00C8085F">
        <w:t>s vary from conjunction to conjunction</w:t>
      </w:r>
      <w:r w:rsidR="00F521C1">
        <w:t xml:space="preserve">, with </w:t>
      </w:r>
      <w:r w:rsidR="001C750B">
        <w:t xml:space="preserve">high relative-velocity events having shorter </w:t>
      </w:r>
      <m:oMath>
        <m:r>
          <m:rPr>
            <m:sty m:val="p"/>
          </m:rPr>
          <w:rPr>
            <w:rFonts w:ascii="Cambria Math" w:hAnsi="Cambria Math"/>
          </w:rPr>
          <w:sym w:font="Symbol" w:char="F044"/>
        </m:r>
        <m:r>
          <w:rPr>
            <w:rFonts w:ascii="Cambria Math" w:hAnsi="Cambria Math"/>
          </w:rPr>
          <m:t>t</m:t>
        </m:r>
      </m:oMath>
      <w:r w:rsidR="001C750B">
        <w:t xml:space="preserve"> values than slower interactions.</w:t>
      </w:r>
    </w:p>
    <w:p w14:paraId="2125E71A" w14:textId="268F98D9" w:rsidR="006462CF" w:rsidRDefault="006462CF" w:rsidP="006462CF">
      <w:pPr>
        <w:pStyle w:val="Sub-Section"/>
      </w:pPr>
      <w:r>
        <w:t xml:space="preserve">Offset-from-TCA </w:t>
      </w: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Estimate Variations</w:t>
      </w:r>
    </w:p>
    <w:p w14:paraId="09417007" w14:textId="3E577244" w:rsidR="003D7682" w:rsidRDefault="00DE4DAD" w:rsidP="00DE4DAD">
      <w:r>
        <w:t>Normally,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employ relative positions and covariances estimated precisely at </w:t>
      </w:r>
      <w:r w:rsidR="00C60E0E">
        <w:t xml:space="preserve">a conjunction’s nominal </w:t>
      </w:r>
      <w:r>
        <w:t>TCA</w:t>
      </w:r>
      <w:r w:rsidR="00C60E0E">
        <w:t xml:space="preserve"> </w:t>
      </w:r>
      <w:r w:rsidR="00C60E0E">
        <w:sym w:font="Symbol" w:char="F0BE"/>
      </w:r>
      <w:r w:rsidR="00C60E0E">
        <w:t xml:space="preserve"> the time </w:t>
      </w:r>
      <w:r w:rsidR="00644AA9">
        <w:t>when</w:t>
      </w:r>
      <w:r w:rsidR="00C60E0E">
        <w:t xml:space="preserve"> the</w:t>
      </w:r>
      <w:r w:rsidR="00750319">
        <w:t xml:space="preserve"> distance between</w:t>
      </w:r>
      <w:r w:rsidR="00C60E0E">
        <w:t xml:space="preserve"> </w:t>
      </w:r>
      <w:r w:rsidR="00750319">
        <w:t>the best-estimate</w:t>
      </w:r>
      <w:r w:rsidR="006E5005">
        <w:t xml:space="preserve"> (mean)</w:t>
      </w:r>
      <w:r w:rsidR="00C60E0E">
        <w:t xml:space="preserve"> </w:t>
      </w:r>
      <w:r w:rsidR="00750319">
        <w:t>positions</w:t>
      </w:r>
      <w:r w:rsidR="00C60E0E">
        <w:t xml:space="preserve"> </w:t>
      </w:r>
      <w:r w:rsidR="00750319">
        <w:lastRenderedPageBreak/>
        <w:t>of</w:t>
      </w:r>
      <w:r w:rsidR="00C60E0E">
        <w:t xml:space="preserve"> the primary and secondary satellites is minimized</w:t>
      </w:r>
      <w:r>
        <w:t xml:space="preserve">.  </w:t>
      </w:r>
      <w:r w:rsidR="003D7682">
        <w:t>CARA generally calculates and employs s</w:t>
      </w:r>
      <w:r w:rsidR="00F7638F">
        <w:t>uch “at-TCA”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7638F">
        <w:t xml:space="preserve"> estimates</w:t>
      </w:r>
      <w:r w:rsidR="003D7682">
        <w:t xml:space="preserve"> for </w:t>
      </w:r>
      <w:r w:rsidR="00F50E2B">
        <w:t xml:space="preserve">initial conjunction </w:t>
      </w:r>
      <w:r w:rsidR="003D7682">
        <w:t>risk assessment</w:t>
      </w:r>
      <w:r w:rsidR="00F50E2B">
        <w:t>s</w:t>
      </w:r>
      <w:r w:rsidR="003D7682">
        <w:t xml:space="preserve">.  </w:t>
      </w:r>
      <w:r w:rsidR="007D08DB">
        <w:t xml:space="preserve">However, </w:t>
      </w:r>
      <w:r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can also be calculated using states and covariances defined at times offset from TCA</w:t>
      </w:r>
      <w:r w:rsidR="004B2CA3">
        <w:t>.</w:t>
      </w:r>
      <w:r w:rsidR="00453B78">
        <w:t xml:space="preserve">  </w:t>
      </w:r>
      <w:r w:rsidR="004B2CA3">
        <w:t>If the</w:t>
      </w:r>
      <w:r>
        <w:t xml:space="preserve"> offset time is </w:t>
      </w:r>
      <w:r w:rsidR="00C60E0E">
        <w:t xml:space="preserve">sufficiently </w:t>
      </w:r>
      <w:r w:rsidR="00083304">
        <w:t>short</w:t>
      </w:r>
      <w:r w:rsidR="00123048">
        <w:t xml:space="preserve"> (</w:t>
      </w:r>
      <w:r w:rsidR="001540CE">
        <w:t>e</w:t>
      </w:r>
      <w:r w:rsidR="00123048">
        <w:t>.</w:t>
      </w:r>
      <w:r w:rsidR="001540CE">
        <w:t>g</w:t>
      </w:r>
      <w:r w:rsidR="00123048">
        <w:t xml:space="preserve">., &lt;&lt; </w:t>
      </w:r>
      <m:oMath>
        <m:r>
          <w:rPr>
            <w:rFonts w:ascii="Cambria Math" w:hAnsi="Cambria Math"/>
          </w:rPr>
          <m:t>∆t</m:t>
        </m:r>
      </m:oMath>
      <w:r w:rsidR="00123048">
        <w:t>)</w:t>
      </w:r>
      <w:r w:rsidR="00182859">
        <w:t xml:space="preserve"> </w:t>
      </w:r>
      <w:r w:rsidR="00C60E0E">
        <w:t>,</w:t>
      </w:r>
      <w:r w:rsidR="004B2CA3">
        <w:t xml:space="preserve"> </w:t>
      </w:r>
      <w:r w:rsidR="00C60E0E">
        <w:t>such</w:t>
      </w:r>
      <w:r w:rsidR="004B2CA3">
        <w:t xml:space="preserve"> </w:t>
      </w:r>
      <w:r w:rsidR="003D7682">
        <w:t>“</w:t>
      </w:r>
      <w:r w:rsidR="004B2CA3">
        <w:t>offset-from-TCA</w:t>
      </w:r>
      <w:r w:rsidR="003D7682">
        <w:t>”</w:t>
      </w:r>
      <w:r w:rsidR="004B2CA3">
        <w:t xml:space="preserve">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B2CA3">
        <w:t xml:space="preserve"> estimates will not differ appreciably from the at-TCA estimate.</w:t>
      </w:r>
      <w:r w:rsidR="00C60E0E" w:rsidRPr="003D7682">
        <w:rPr>
          <w:vertAlign w:val="superscript"/>
        </w:rPr>
        <w:fldChar w:fldCharType="begin"/>
      </w:r>
      <w:r w:rsidR="00C60E0E" w:rsidRPr="003D7682">
        <w:rPr>
          <w:vertAlign w:val="superscript"/>
        </w:rPr>
        <w:instrText xml:space="preserve"> REF _Ref514676608 \r \h  \* MERGEFORMAT </w:instrText>
      </w:r>
      <w:r w:rsidR="00C60E0E" w:rsidRPr="003D7682">
        <w:rPr>
          <w:vertAlign w:val="superscript"/>
        </w:rPr>
      </w:r>
      <w:r w:rsidR="00C60E0E" w:rsidRPr="003D7682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C60E0E" w:rsidRPr="003D7682">
        <w:rPr>
          <w:vertAlign w:val="superscript"/>
        </w:rPr>
        <w:fldChar w:fldCharType="end"/>
      </w:r>
      <w:r w:rsidR="003D7682">
        <w:t xml:space="preserve">  In fact, f</w:t>
      </w:r>
      <w:r w:rsidR="00487BB4" w:rsidRPr="003D7682">
        <w:t>or</w:t>
      </w:r>
      <w:r w:rsidR="00487BB4">
        <w:t xml:space="preserve"> most </w:t>
      </w:r>
      <w:r w:rsidR="00C8085F">
        <w:t>events</w:t>
      </w:r>
      <w:r w:rsidR="00487BB4">
        <w:t xml:space="preserve"> analyzed by </w:t>
      </w:r>
      <w:r w:rsidR="00487BB4" w:rsidRPr="00374472">
        <w:t xml:space="preserve">CARA, </w:t>
      </w:r>
      <w:r w:rsidR="00487BB4">
        <w:t>the</w:t>
      </w:r>
      <w:r w:rsidR="00487BB4" w:rsidRPr="00374472">
        <w:t xml:space="preserve"> offset </w:t>
      </w:r>
      <w:r w:rsidR="00451F49">
        <w:t xml:space="preserve">time </w:t>
      </w:r>
      <w:r w:rsidR="00487BB4" w:rsidRPr="00374472">
        <w:t>can span the entire short-term encounter validity interval</w:t>
      </w:r>
      <w:r w:rsidR="00487BB4">
        <w:t xml:space="preserve"> and still yield approximately the same </w:t>
      </w:r>
      <w:bookmarkStart w:id="0" w:name="_Hlk8128406"/>
      <w:r w:rsidR="00487BB4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87BB4">
        <w:t xml:space="preserve"> </w:t>
      </w:r>
      <w:bookmarkEnd w:id="0"/>
      <w:r w:rsidR="003D7682">
        <w:t>value</w:t>
      </w:r>
      <w:r w:rsidR="00644AA9">
        <w:t xml:space="preserve"> (as will be demonstrated later)</w:t>
      </w:r>
      <w:r w:rsidR="00487BB4">
        <w:t>.  Some conjunctions, however, show large offset-from-TCA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87BB4">
        <w:t xml:space="preserve"> variations</w:t>
      </w:r>
      <w:r w:rsidR="00CD0888">
        <w:t xml:space="preserve"> over the</w:t>
      </w:r>
      <w:r w:rsidR="00F50E2B">
        <w:t>ir</w:t>
      </w:r>
      <w:r w:rsidR="00CD0888">
        <w:t xml:space="preserve"> </w:t>
      </w:r>
      <w:r w:rsidR="00F50E2B" w:rsidRPr="00374472">
        <w:t xml:space="preserve">short-term encounter </w:t>
      </w:r>
      <w:r w:rsidR="00CD0888">
        <w:t>validity interval</w:t>
      </w:r>
      <w:r w:rsidR="00F50E2B">
        <w:t>s</w:t>
      </w:r>
      <w:r w:rsidR="00CD0888">
        <w:t>.</w:t>
      </w:r>
    </w:p>
    <w:p w14:paraId="1DC6F39A" w14:textId="2DF81A44" w:rsidR="001E7F74" w:rsidRDefault="00083304" w:rsidP="00DE4DAD">
      <w:r>
        <w:t xml:space="preserve">The CARA system receives data similar to that contained in a standard </w:t>
      </w:r>
      <w:r w:rsidRPr="00152671">
        <w:rPr>
          <w:i/>
        </w:rPr>
        <w:t>conjunction data messag</w:t>
      </w:r>
      <w:r>
        <w:t>e (CDM) f</w:t>
      </w:r>
      <w:r w:rsidR="00152671">
        <w:t xml:space="preserve">or each </w:t>
      </w:r>
      <w:r w:rsidR="00754E99">
        <w:t xml:space="preserve">processed </w:t>
      </w:r>
      <w:r w:rsidR="00152671">
        <w:t>conjunction</w:t>
      </w:r>
      <w:r>
        <w:t>.</w:t>
      </w:r>
      <w:r w:rsidR="00644AA9" w:rsidRPr="00754E99">
        <w:rPr>
          <w:vertAlign w:val="superscript"/>
        </w:rPr>
        <w:fldChar w:fldCharType="begin"/>
      </w:r>
      <w:r w:rsidR="00644AA9" w:rsidRPr="00754E99">
        <w:rPr>
          <w:vertAlign w:val="superscript"/>
        </w:rPr>
        <w:instrText xml:space="preserve"> REF _Ref6464558 \r \h </w:instrText>
      </w:r>
      <w:r w:rsidR="00644AA9">
        <w:rPr>
          <w:vertAlign w:val="superscript"/>
        </w:rPr>
        <w:instrText xml:space="preserve"> \* MERGEFORMAT </w:instrText>
      </w:r>
      <w:r w:rsidR="00644AA9" w:rsidRPr="00754E99">
        <w:rPr>
          <w:vertAlign w:val="superscript"/>
        </w:rPr>
      </w:r>
      <w:r w:rsidR="00644AA9" w:rsidRPr="00754E99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644AA9" w:rsidRPr="00754E99">
        <w:rPr>
          <w:vertAlign w:val="superscript"/>
        </w:rPr>
        <w:fldChar w:fldCharType="end"/>
      </w:r>
      <w:r w:rsidR="00644AA9" w:rsidRPr="00754E99">
        <w:rPr>
          <w:vertAlign w:val="superscript"/>
        </w:rPr>
        <w:t>,</w:t>
      </w:r>
      <w:r w:rsidR="00644AA9" w:rsidRPr="00754E99">
        <w:rPr>
          <w:vertAlign w:val="superscript"/>
        </w:rPr>
        <w:fldChar w:fldCharType="begin"/>
      </w:r>
      <w:r w:rsidR="00644AA9" w:rsidRPr="00754E99">
        <w:rPr>
          <w:vertAlign w:val="superscript"/>
        </w:rPr>
        <w:instrText xml:space="preserve"> REF _Ref514746819 \r \h </w:instrText>
      </w:r>
      <w:r w:rsidR="00644AA9">
        <w:rPr>
          <w:vertAlign w:val="superscript"/>
        </w:rPr>
        <w:instrText xml:space="preserve"> \* MERGEFORMAT </w:instrText>
      </w:r>
      <w:r w:rsidR="00644AA9" w:rsidRPr="00754E99">
        <w:rPr>
          <w:vertAlign w:val="superscript"/>
        </w:rPr>
      </w:r>
      <w:r w:rsidR="00644AA9" w:rsidRPr="00754E99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644AA9" w:rsidRPr="00754E99">
        <w:rPr>
          <w:vertAlign w:val="superscript"/>
        </w:rPr>
        <w:fldChar w:fldCharType="end"/>
      </w:r>
      <w:r w:rsidR="00644AA9">
        <w:t xml:space="preserve">  </w:t>
      </w:r>
      <w:r w:rsidR="00754E99">
        <w:t xml:space="preserve">In addition to a conjunction’s </w:t>
      </w:r>
      <w:r w:rsidR="00152671">
        <w:t>nominal TCA</w:t>
      </w:r>
      <w:r w:rsidR="00754E99">
        <w:t>, CDMs also contain data for both the primary and secondary satellites that can be converted into</w:t>
      </w:r>
      <w:r w:rsidR="00152671">
        <w:t xml:space="preserve"> </w:t>
      </w:r>
      <w:r w:rsidR="00754E99">
        <w:t xml:space="preserve">at-TCA inertial-frame cartesian </w:t>
      </w:r>
      <w:r w:rsidR="00152671">
        <w:t xml:space="preserve">orbital states and associated </w:t>
      </w:r>
      <w:r w:rsidR="00754E99">
        <w:t>covariance matrices</w:t>
      </w:r>
      <w:r w:rsidR="00152671">
        <w:t>.</w:t>
      </w:r>
      <w:r w:rsidR="00487BB4" w:rsidRPr="00754E99">
        <w:rPr>
          <w:vertAlign w:val="superscript"/>
        </w:rPr>
        <w:fldChar w:fldCharType="begin"/>
      </w:r>
      <w:r w:rsidR="00487BB4" w:rsidRPr="00754E99">
        <w:rPr>
          <w:vertAlign w:val="superscript"/>
        </w:rPr>
        <w:instrText xml:space="preserve"> REF _Ref514746819 \r \h </w:instrText>
      </w:r>
      <w:r w:rsidR="00487BB4">
        <w:rPr>
          <w:vertAlign w:val="superscript"/>
        </w:rPr>
        <w:instrText xml:space="preserve"> \* MERGEFORMAT </w:instrText>
      </w:r>
      <w:r w:rsidR="00487BB4" w:rsidRPr="00754E99">
        <w:rPr>
          <w:vertAlign w:val="superscript"/>
        </w:rPr>
      </w:r>
      <w:r w:rsidR="00487BB4" w:rsidRPr="00754E99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487BB4" w:rsidRPr="00754E99">
        <w:rPr>
          <w:vertAlign w:val="superscript"/>
        </w:rPr>
        <w:fldChar w:fldCharType="end"/>
      </w:r>
      <w:r>
        <w:t xml:space="preserve">  </w:t>
      </w:r>
      <w:r w:rsidR="00750319">
        <w:t xml:space="preserve">Offset-from-TCA </w:t>
      </w:r>
      <w:r w:rsidR="009C0982">
        <w:t>states and covariances can be estimated</w:t>
      </w:r>
      <w:r>
        <w:t xml:space="preserve"> </w:t>
      </w:r>
      <w:r w:rsidR="00750319">
        <w:t xml:space="preserve">by </w:t>
      </w:r>
      <w:r w:rsidR="009C0982">
        <w:t xml:space="preserve">propagating </w:t>
      </w:r>
      <w:r w:rsidR="00872986">
        <w:t xml:space="preserve">these at-TCA quantities </w:t>
      </w:r>
      <w:r w:rsidR="009C0982">
        <w:t>both</w:t>
      </w:r>
      <w:r w:rsidR="00750319">
        <w:t xml:space="preserve"> forward and backward in time over the short-term encounter validity interval, </w:t>
      </w:r>
      <m:oMath>
        <m:r>
          <w:rPr>
            <w:rFonts w:ascii="Cambria Math" w:hAnsi="Cambria Math"/>
          </w:rPr>
          <m:t>-∆t≤t≤∆t</m:t>
        </m:r>
      </m:oMath>
      <w:r w:rsidR="00750319">
        <w:t xml:space="preserve">, where </w:t>
      </w:r>
      <m:oMath>
        <m:r>
          <w:rPr>
            <w:rFonts w:ascii="Cambria Math" w:hAnsi="Cambria Math"/>
          </w:rPr>
          <m:t>t</m:t>
        </m:r>
      </m:oMath>
      <w:r w:rsidR="00750319">
        <w:t xml:space="preserve"> indicates</w:t>
      </w:r>
      <w:r w:rsidR="007D08DB">
        <w:t xml:space="preserve"> the offset</w:t>
      </w:r>
      <w:r w:rsidR="00750319">
        <w:t xml:space="preserve"> time measured </w:t>
      </w:r>
      <w:r w:rsidR="00266854">
        <w:t>relative to</w:t>
      </w:r>
      <w:r w:rsidR="00152671">
        <w:t xml:space="preserve"> </w:t>
      </w:r>
      <w:r w:rsidR="00750319">
        <w:t>nominal TCA.</w:t>
      </w:r>
      <w:r w:rsidR="007F7784">
        <w:t xml:space="preserve">  </w:t>
      </w:r>
      <w:r w:rsidR="00152671">
        <w:t xml:space="preserve">This analysis employs </w:t>
      </w:r>
      <w:r w:rsidR="00D07FB3">
        <w:t xml:space="preserve">Keplerian </w:t>
      </w:r>
      <w:r w:rsidR="00152671">
        <w:t xml:space="preserve">2-body </w:t>
      </w:r>
      <w:r>
        <w:t xml:space="preserve">equations of </w:t>
      </w:r>
      <w:r w:rsidR="00152671">
        <w:t xml:space="preserve">motion </w:t>
      </w:r>
      <w:r>
        <w:t xml:space="preserve">and transition matrices for these </w:t>
      </w:r>
      <w:r w:rsidR="003A1BFE">
        <w:t xml:space="preserve">state/covariance </w:t>
      </w:r>
      <w:r>
        <w:t>propagations</w:t>
      </w:r>
      <w:r w:rsidR="00C16D9E">
        <w:t xml:space="preserve">, which </w:t>
      </w:r>
      <w:r w:rsidR="007B6CAD">
        <w:t xml:space="preserve">approximate </w:t>
      </w:r>
      <w:r w:rsidR="00C16D9E">
        <w:t xml:space="preserve">the effects of both curvilinear trajectories and </w:t>
      </w:r>
      <w:r w:rsidR="00487395">
        <w:t xml:space="preserve">temporally </w:t>
      </w:r>
      <w:r w:rsidR="00C16D9E">
        <w:t>changing covariances</w:t>
      </w:r>
      <w:r>
        <w:t>.</w:t>
      </w:r>
      <w:r w:rsidR="001540CE">
        <w:t xml:space="preserve">  These 2-body propagations can be performed </w:t>
      </w:r>
      <w:r w:rsidR="007B6CAD">
        <w:t xml:space="preserve">directly </w:t>
      </w:r>
      <w:r w:rsidR="001540CE">
        <w:t xml:space="preserve">using a cartesian position/velocity </w:t>
      </w:r>
      <w:r w:rsidR="007B6CAD">
        <w:t xml:space="preserve">orbital </w:t>
      </w:r>
      <w:r w:rsidR="001540CE">
        <w:t>state representation</w:t>
      </w:r>
      <w:r w:rsidR="001540CE" w:rsidRPr="007B6CAD">
        <w:rPr>
          <w:vertAlign w:val="superscript"/>
        </w:rPr>
        <w:fldChar w:fldCharType="begin"/>
      </w:r>
      <w:r w:rsidR="001540CE" w:rsidRPr="007B6CAD">
        <w:rPr>
          <w:vertAlign w:val="superscript"/>
        </w:rPr>
        <w:instrText xml:space="preserve"> REF _Ref459798960 \r \h </w:instrText>
      </w:r>
      <w:r w:rsidR="007B6CAD">
        <w:rPr>
          <w:vertAlign w:val="superscript"/>
        </w:rPr>
        <w:instrText xml:space="preserve"> \* MERGEFORMAT </w:instrText>
      </w:r>
      <w:r w:rsidR="001540CE" w:rsidRPr="007B6CAD">
        <w:rPr>
          <w:vertAlign w:val="superscript"/>
        </w:rPr>
      </w:r>
      <w:r w:rsidR="001540CE" w:rsidRPr="007B6CAD">
        <w:rPr>
          <w:vertAlign w:val="superscript"/>
        </w:rPr>
        <w:fldChar w:fldCharType="separate"/>
      </w:r>
      <w:r w:rsidR="00620BE7">
        <w:rPr>
          <w:vertAlign w:val="superscript"/>
        </w:rPr>
        <w:t>9</w:t>
      </w:r>
      <w:r w:rsidR="001540CE" w:rsidRPr="007B6CAD">
        <w:rPr>
          <w:vertAlign w:val="superscript"/>
        </w:rPr>
        <w:fldChar w:fldCharType="end"/>
      </w:r>
      <w:r w:rsidR="001540CE">
        <w:t xml:space="preserve"> or by converting to an equinoctial </w:t>
      </w:r>
      <w:r w:rsidR="007B6CAD">
        <w:t xml:space="preserve">element </w:t>
      </w:r>
      <w:r w:rsidR="001540CE">
        <w:t>state representation</w:t>
      </w:r>
      <w:r w:rsidR="007B6CAD" w:rsidRPr="007B6CAD">
        <w:rPr>
          <w:vertAlign w:val="superscript"/>
        </w:rPr>
        <w:fldChar w:fldCharType="begin"/>
      </w:r>
      <w:r w:rsidR="007B6CAD" w:rsidRPr="007B6CAD">
        <w:rPr>
          <w:vertAlign w:val="superscript"/>
        </w:rPr>
        <w:instrText xml:space="preserve"> REF _Ref514740245 \r \h </w:instrText>
      </w:r>
      <w:r w:rsidR="007B6CAD">
        <w:rPr>
          <w:vertAlign w:val="superscript"/>
        </w:rPr>
        <w:instrText xml:space="preserve"> \* MERGEFORMAT </w:instrText>
      </w:r>
      <w:r w:rsidR="007B6CAD" w:rsidRPr="007B6CAD">
        <w:rPr>
          <w:vertAlign w:val="superscript"/>
        </w:rPr>
      </w:r>
      <w:r w:rsidR="007B6CAD" w:rsidRPr="007B6CAD">
        <w:rPr>
          <w:vertAlign w:val="superscript"/>
        </w:rPr>
        <w:fldChar w:fldCharType="separate"/>
      </w:r>
      <w:r w:rsidR="00620BE7">
        <w:rPr>
          <w:vertAlign w:val="superscript"/>
        </w:rPr>
        <w:t>10</w:t>
      </w:r>
      <w:r w:rsidR="007B6CAD" w:rsidRPr="007B6CAD">
        <w:rPr>
          <w:vertAlign w:val="superscript"/>
        </w:rPr>
        <w:fldChar w:fldCharType="end"/>
      </w:r>
      <w:r w:rsidR="007B6CAD" w:rsidRPr="007B6CAD">
        <w:rPr>
          <w:vertAlign w:val="superscript"/>
        </w:rPr>
        <w:t>,</w:t>
      </w:r>
      <w:r w:rsidR="007B6CAD" w:rsidRPr="007B6CAD">
        <w:rPr>
          <w:vertAlign w:val="superscript"/>
        </w:rPr>
        <w:fldChar w:fldCharType="begin"/>
      </w:r>
      <w:r w:rsidR="007B6CAD" w:rsidRPr="007B6CAD">
        <w:rPr>
          <w:vertAlign w:val="superscript"/>
        </w:rPr>
        <w:instrText xml:space="preserve"> REF _Ref514740249 \r \h </w:instrText>
      </w:r>
      <w:r w:rsidR="007B6CAD">
        <w:rPr>
          <w:vertAlign w:val="superscript"/>
        </w:rPr>
        <w:instrText xml:space="preserve"> \* MERGEFORMAT </w:instrText>
      </w:r>
      <w:r w:rsidR="007B6CAD" w:rsidRPr="007B6CAD">
        <w:rPr>
          <w:vertAlign w:val="superscript"/>
        </w:rPr>
      </w:r>
      <w:r w:rsidR="007B6CAD" w:rsidRPr="007B6CAD">
        <w:rPr>
          <w:vertAlign w:val="superscript"/>
        </w:rPr>
        <w:fldChar w:fldCharType="separate"/>
      </w:r>
      <w:r w:rsidR="00620BE7">
        <w:rPr>
          <w:vertAlign w:val="superscript"/>
        </w:rPr>
        <w:t>11</w:t>
      </w:r>
      <w:r w:rsidR="007B6CAD" w:rsidRPr="007B6CAD">
        <w:rPr>
          <w:vertAlign w:val="superscript"/>
        </w:rPr>
        <w:fldChar w:fldCharType="end"/>
      </w:r>
      <w:r w:rsidR="007B6CAD">
        <w:t xml:space="preserve"> </w:t>
      </w:r>
      <w:r w:rsidR="007B6CAD">
        <w:sym w:font="Symbol" w:char="F0BE"/>
      </w:r>
      <w:r w:rsidR="007B6CAD">
        <w:t xml:space="preserve"> two approaches found to produce equivalent results in this analysis.</w:t>
      </w:r>
      <w:r w:rsidR="003A1BFE">
        <w:t xml:space="preserve"> </w:t>
      </w:r>
      <w:r w:rsidR="009C0982">
        <w:t xml:space="preserve"> </w:t>
      </w:r>
      <w:r w:rsidR="00406C4A">
        <w:t>The</w:t>
      </w:r>
      <w:r w:rsidR="00EF118D">
        <w:t>se</w:t>
      </w:r>
      <w:r w:rsidR="00406C4A">
        <w:t xml:space="preserve"> propagated states and covariances can then be used to calculate o</w:t>
      </w:r>
      <w:r w:rsidR="009C0982">
        <w:t>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0982">
        <w:t xml:space="preserve"> estimates</w:t>
      </w:r>
      <w:r w:rsidR="00406C4A">
        <w:t xml:space="preserve">, </w:t>
      </w:r>
      <w:r w:rsidR="00F9209D">
        <w:t xml:space="preserve">denoted </w:t>
      </w:r>
      <w:r w:rsidR="00C16D9E">
        <w:t xml:space="preserve">in this analysis </w:t>
      </w:r>
      <w:r w:rsidR="00F9209D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F9209D">
        <w:t xml:space="preserve">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9209D">
        <w:t xml:space="preserve"> representing the at-TCA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209D">
        <w:t xml:space="preserve"> estimate.</w:t>
      </w:r>
    </w:p>
    <w:p w14:paraId="091D1A72" w14:textId="3C79D416" w:rsidR="00E82FBF" w:rsidRDefault="00E82FBF" w:rsidP="00E82FBF">
      <w:r>
        <w:t xml:space="preserve">When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care must be taken to estimate offset-from-TCA close approach distances,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, which can differ from the at-TCA value.  Significant variations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can occur if the relative primary-to-secondary trajectory curves significantly during the </w:t>
      </w:r>
      <m:oMath>
        <m:r>
          <w:rPr>
            <w:rFonts w:ascii="Cambria Math" w:hAnsi="Cambria Math"/>
          </w:rPr>
          <m:t>-∆t≤t≤∆t</m:t>
        </m:r>
      </m:oMath>
      <w:r>
        <w:t xml:space="preserve"> interval, potentially leading to large variations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>, as discussed in detail by Chan</w:t>
      </w:r>
      <w:r w:rsidRPr="000E2E09">
        <w:rPr>
          <w:vertAlign w:val="superscript"/>
        </w:rPr>
        <w:fldChar w:fldCharType="begin"/>
      </w:r>
      <w:r w:rsidRPr="000E2E09">
        <w:rPr>
          <w:vertAlign w:val="superscript"/>
        </w:rPr>
        <w:instrText xml:space="preserve"> REF _Ref514676608 \r \h </w:instrText>
      </w:r>
      <w:r>
        <w:rPr>
          <w:vertAlign w:val="superscript"/>
        </w:rPr>
        <w:instrText xml:space="preserve"> \* MERGEFORMAT </w:instrText>
      </w:r>
      <w:r w:rsidRPr="000E2E09">
        <w:rPr>
          <w:vertAlign w:val="superscript"/>
        </w:rPr>
      </w:r>
      <w:r w:rsidRPr="000E2E09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Pr="000E2E09">
        <w:rPr>
          <w:vertAlign w:val="superscript"/>
        </w:rPr>
        <w:fldChar w:fldCharType="end"/>
      </w:r>
      <w:r>
        <w:t xml:space="preserve"> (specifically, see Figure 3.3 in reference </w:t>
      </w:r>
      <w:r>
        <w:fldChar w:fldCharType="begin"/>
      </w:r>
      <w:r>
        <w:instrText xml:space="preserve"> REF _Ref514676608 \r \h </w:instrText>
      </w:r>
      <w:r>
        <w:fldChar w:fldCharType="separate"/>
      </w:r>
      <w:r w:rsidR="00620BE7">
        <w:t>3</w:t>
      </w:r>
      <w:r>
        <w:fldChar w:fldCharType="end"/>
      </w:r>
      <w:r>
        <w:t xml:space="preserve">).  This </w:t>
      </w:r>
      <w:r w:rsidR="003774C4">
        <w:t>implies</w:t>
      </w:r>
      <w:r>
        <w:t xml:space="preserve"> that large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 can indicate that a conjunction potentially fails to satisfy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assumption of linear trajectories.  Similarly, variations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can also occur if the relative position covariance matrix changes significantly during </w:t>
      </w:r>
      <m:oMath>
        <m:r>
          <w:rPr>
            <w:rFonts w:ascii="Cambria Math" w:hAnsi="Cambria Math"/>
          </w:rPr>
          <m:t>-∆t≤t≤∆t</m:t>
        </m:r>
      </m:oMath>
      <w:r>
        <w:t xml:space="preserve">.  So large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 can also indicate a failure to satisfy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assumption of constant covariance.</w:t>
      </w:r>
    </w:p>
    <w:p w14:paraId="12703957" w14:textId="2FD1D9EA" w:rsidR="00E82FBF" w:rsidRDefault="00E82FBF" w:rsidP="00E82FBF">
      <w:r>
        <w:t>Figure 1 shows offset-from-TCA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variations for two</w:t>
      </w:r>
      <w:r w:rsidR="00316AB8">
        <w:t xml:space="preserve"> CARA</w:t>
      </w:r>
      <w:r>
        <w:t xml:space="preserve"> conjunctions that have been analyzed in detail previously using BFMC simulations.</w:t>
      </w:r>
      <w:r w:rsidRPr="00D45F75">
        <w:rPr>
          <w:vertAlign w:val="superscript"/>
        </w:rPr>
        <w:fldChar w:fldCharType="begin"/>
      </w:r>
      <w:r w:rsidRPr="00D45F75">
        <w:rPr>
          <w:vertAlign w:val="superscript"/>
        </w:rPr>
        <w:instrText xml:space="preserve"> REF _Ref6464558 \r \h </w:instrText>
      </w:r>
      <w:r>
        <w:rPr>
          <w:vertAlign w:val="superscript"/>
        </w:rPr>
        <w:instrText xml:space="preserve"> \* MERGEFORMAT </w:instrText>
      </w:r>
      <w:r w:rsidRPr="00D45F75">
        <w:rPr>
          <w:vertAlign w:val="superscript"/>
        </w:rPr>
      </w:r>
      <w:r w:rsidRPr="00D45F75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Pr="00D45F75">
        <w:rPr>
          <w:vertAlign w:val="superscript"/>
        </w:rPr>
        <w:fldChar w:fldCharType="end"/>
      </w:r>
      <w:r>
        <w:t xml:space="preserve">  The left plot shows the relatively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 calculated for a conjunction between NASA’s </w:t>
      </w:r>
      <w:r w:rsidRPr="004E4D57">
        <w:rPr>
          <w:i/>
        </w:rPr>
        <w:t>Aqua</w:t>
      </w:r>
      <w:r>
        <w:t xml:space="preserve"> satellite and a debris object, for which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and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estimates match one another to within Monte Carlo estimation uncertainty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 xml:space="preserve"> </w:t>
      </w:r>
      <w:r>
        <w:sym w:font="Symbol" w:char="F0BB"/>
      </w:r>
      <w:r>
        <w:t xml:space="preserve">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33772">
        <w:t xml:space="preserve"> as shown in Figure 1 of Hall </w:t>
      </w:r>
      <w:r w:rsidR="00633772">
        <w:rPr>
          <w:i/>
        </w:rPr>
        <w:t>et al.</w:t>
      </w:r>
      <w:r w:rsidR="00633772" w:rsidRPr="00633772">
        <w:rPr>
          <w:vertAlign w:val="superscript"/>
        </w:rPr>
        <w:fldChar w:fldCharType="begin"/>
      </w:r>
      <w:r w:rsidR="00633772" w:rsidRPr="00633772">
        <w:rPr>
          <w:vertAlign w:val="superscript"/>
        </w:rPr>
        <w:instrText xml:space="preserve"> REF _Ref6464558 \r \h  \* MERGEFORMAT </w:instrText>
      </w:r>
      <w:r w:rsidR="00633772" w:rsidRPr="00633772">
        <w:rPr>
          <w:vertAlign w:val="superscript"/>
        </w:rPr>
      </w:r>
      <w:r w:rsidR="00633772" w:rsidRPr="00633772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633772" w:rsidRPr="00633772">
        <w:rPr>
          <w:vertAlign w:val="superscript"/>
        </w:rPr>
        <w:fldChar w:fldCharType="end"/>
      </w:r>
      <w:r>
        <w:t xml:space="preserve">).  This contrasts with the right plot, which shows the large-amplitude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 calculated for a </w:t>
      </w:r>
      <w:r w:rsidRPr="004E4D57">
        <w:rPr>
          <w:i/>
        </w:rPr>
        <w:t>Van Allen</w:t>
      </w:r>
      <w:r>
        <w:t xml:space="preserve"> satellite conjunction,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 xml:space="preserve"> underestimates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by a factor of about 300</w:t>
      </w:r>
      <w:r w:rsidR="00633772">
        <w:t xml:space="preserve"> (as shown in Figure 4 of Hall </w:t>
      </w:r>
      <w:r w:rsidR="00633772">
        <w:rPr>
          <w:i/>
        </w:rPr>
        <w:t>et al.</w:t>
      </w:r>
      <w:r w:rsidR="00633772" w:rsidRPr="00633772">
        <w:rPr>
          <w:vertAlign w:val="superscript"/>
        </w:rPr>
        <w:fldChar w:fldCharType="begin"/>
      </w:r>
      <w:r w:rsidR="00633772" w:rsidRPr="00633772">
        <w:rPr>
          <w:vertAlign w:val="superscript"/>
        </w:rPr>
        <w:instrText xml:space="preserve"> REF _Ref6464558 \r \h  \* MERGEFORMAT </w:instrText>
      </w:r>
      <w:r w:rsidR="00633772" w:rsidRPr="00633772">
        <w:rPr>
          <w:vertAlign w:val="superscript"/>
        </w:rPr>
      </w:r>
      <w:r w:rsidR="00633772" w:rsidRPr="00633772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633772" w:rsidRPr="00633772">
        <w:rPr>
          <w:vertAlign w:val="superscript"/>
        </w:rPr>
        <w:fldChar w:fldCharType="end"/>
      </w:r>
      <w:r w:rsidR="00633772">
        <w:t>)</w:t>
      </w:r>
      <w:r>
        <w:t xml:space="preserve">  Notably, all conjunctions found so far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 xml:space="preserve"> significantly </w:t>
      </w:r>
      <w:r w:rsidRPr="005C604C">
        <w:t>underestimates</w:t>
      </w:r>
      <w:r>
        <w:t xml:space="preserve">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show such large-amplitude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variations, without exception.  Conversely, most conjunctions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 xml:space="preserve"> accurately matches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show relatively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variations.  As explained in more detail later, this observation provides the basis for a diagnostic test to check for potential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inaccuracies.</w:t>
      </w:r>
    </w:p>
    <w:p w14:paraId="5E50D06A" w14:textId="1A8D4BF0" w:rsidR="007000C4" w:rsidRDefault="00633772" w:rsidP="007000C4">
      <w:pPr>
        <w:jc w:val="center"/>
      </w:pPr>
      <w:r w:rsidRPr="00633772">
        <w:rPr>
          <w:noProof/>
        </w:rPr>
        <w:lastRenderedPageBreak/>
        <w:drawing>
          <wp:inline distT="0" distB="0" distL="0" distR="0" wp14:anchorId="263D1F63" wp14:editId="7EF24F01">
            <wp:extent cx="5486400" cy="3086100"/>
            <wp:effectExtent l="0" t="0" r="0" b="0"/>
            <wp:docPr id="3" name="Picture 3" descr="C:\dth\Conferences\2019_08_11_ASC_Portland_ME\2DPcBoundary\Paper\Figs\Offset2D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th\Conferences\2019_08_11_ASC_Portland_ME\2DPcBoundary\Paper\Figs\Offset2DP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94E7" w14:textId="1C1CF58A" w:rsidR="007F7784" w:rsidRPr="004160DC" w:rsidRDefault="007000C4" w:rsidP="00E82FBF">
      <w:pPr>
        <w:pStyle w:val="Caption"/>
        <w:jc w:val="center"/>
      </w:pPr>
      <w:r w:rsidRPr="00505624">
        <w:t>Figure </w:t>
      </w:r>
      <w:r w:rsidR="00266854">
        <w:t>1</w:t>
      </w:r>
      <w:r w:rsidRPr="00505624">
        <w:t>.</w:t>
      </w:r>
      <w:r w:rsidR="008D43C5">
        <w:t xml:space="preserve"> </w:t>
      </w:r>
      <w:r w:rsidR="00421926" w:rsidRPr="00F310BB">
        <w:t>Offset-from-TCA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421926" w:rsidRPr="00F310BB">
        <w:t xml:space="preserve"> estimates for an </w:t>
      </w:r>
      <w:r w:rsidR="00421926" w:rsidRPr="00F310BB">
        <w:rPr>
          <w:i/>
        </w:rPr>
        <w:t>Aqua</w:t>
      </w:r>
      <w:r w:rsidR="00421926" w:rsidRPr="00F310BB">
        <w:t xml:space="preserve"> conjunction (left) for which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421926" w:rsidRPr="00F310BB">
        <w:t xml:space="preserve"> and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421926" w:rsidRPr="00F310BB">
        <w:t xml:space="preserve"> estimates </w:t>
      </w:r>
      <w:r w:rsidR="00F310BB">
        <w:t>agree</w:t>
      </w:r>
      <w:r w:rsidR="00421926" w:rsidRPr="00F310BB">
        <w:t xml:space="preserve">, and a </w:t>
      </w:r>
      <w:r w:rsidR="00421926" w:rsidRPr="00F310BB">
        <w:rPr>
          <w:i/>
        </w:rPr>
        <w:t>Van Allen</w:t>
      </w:r>
      <w:r w:rsidR="00421926" w:rsidRPr="00F310BB">
        <w:t xml:space="preserve"> conjunction for which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421926" w:rsidRPr="00F310BB">
        <w:t xml:space="preserve"> </w:t>
      </w:r>
      <w:r w:rsidR="00FA552D">
        <w:t xml:space="preserve">significantly </w:t>
      </w:r>
      <w:r w:rsidR="00421926" w:rsidRPr="00F310BB">
        <w:t>underestimates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421926" w:rsidRPr="00F310BB">
        <w:t>.</w:t>
      </w:r>
    </w:p>
    <w:p w14:paraId="340F6A8C" w14:textId="77777777" w:rsidR="000A10E6" w:rsidRDefault="000A10E6" w:rsidP="000A10E6">
      <w:pPr>
        <w:pStyle w:val="Section"/>
      </w:pPr>
      <w:r>
        <w:t xml:space="preserve">Comparisons of </w:t>
      </w: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and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Estimates</w:t>
      </w:r>
    </w:p>
    <w:p w14:paraId="4E773CFF" w14:textId="31F8E94E" w:rsidR="000A10E6" w:rsidRDefault="000A10E6" w:rsidP="000A10E6">
      <w:r>
        <w:t>Figure 2 shows a comparison of at-TCA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(horizontal axis) and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(vertical axis) for a representative set of 43,595 conjunctions processed by CARA from 2017-05-01 to 2018-11-15.  This set includes all events archived in CARA’s database over that period that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(the criterion corresponding to medium- and high-priority risk assessments performed within the CARA system), as well as a primary OD epoch age of </w:t>
      </w:r>
      <w:r>
        <w:sym w:font="Symbol" w:char="F0A3"/>
      </w:r>
      <w:r>
        <w:t xml:space="preserve">10 days and a secondary OD epoch age of </w:t>
      </w:r>
      <w:r>
        <w:sym w:font="Symbol" w:char="F0A3"/>
      </w:r>
      <w:r>
        <w:t xml:space="preserve">20 days.  Conjunction short-term validity intervals vary significantly among these events, with a median </w:t>
      </w:r>
      <m:oMath>
        <m:r>
          <m:rPr>
            <m:sty m:val="p"/>
          </m:rPr>
          <w:rPr>
            <w:rFonts w:ascii="Cambria Math" w:hAnsi="Cambria Math"/>
          </w:rPr>
          <w:sym w:font="Symbol" w:char="F044"/>
        </m:r>
        <m:r>
          <w:rPr>
            <w:rFonts w:ascii="Cambria Math" w:hAnsi="Cambria Math"/>
          </w:rPr>
          <m:t>t</m:t>
        </m:r>
      </m:oMath>
      <w:r>
        <w:t xml:space="preserve"> of 1.2 s, and a 95% range of 0.17 s </w:t>
      </w:r>
      <w:r>
        <w:sym w:font="Symbol" w:char="F0A3"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Symbol" w:char="F044"/>
        </m:r>
        <m:r>
          <w:rPr>
            <w:rFonts w:ascii="Cambria Math" w:hAnsi="Cambria Math"/>
          </w:rPr>
          <m:t>t</m:t>
        </m:r>
      </m:oMath>
      <w:r>
        <w:t xml:space="preserve"> </w:t>
      </w:r>
      <w:r>
        <w:sym w:font="Symbol" w:char="F0A3"/>
      </w:r>
      <w:r>
        <w:t xml:space="preserve"> 9.8 s.</w:t>
      </w:r>
    </w:p>
    <w:p w14:paraId="6DA311E4" w14:textId="10FE3700" w:rsidR="000A10E6" w:rsidRDefault="000A10E6" w:rsidP="000A10E6">
      <w:r>
        <w:t>The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and error bars plotted in Figure 2 employ the “BFMC from-TCA/CDM-mode” estimation methodology described in detail in Hall </w:t>
      </w:r>
      <w:r w:rsidRPr="00080D23">
        <w:rPr>
          <w:i/>
        </w:rPr>
        <w:t>et al</w:t>
      </w:r>
      <w:r>
        <w:t>.</w:t>
      </w:r>
      <w:r w:rsidRPr="00080D23">
        <w:rPr>
          <w:vertAlign w:val="superscript"/>
        </w:rPr>
        <w:fldChar w:fldCharType="begin"/>
      </w:r>
      <w:r w:rsidRPr="00080D23">
        <w:rPr>
          <w:vertAlign w:val="superscript"/>
        </w:rPr>
        <w:instrText xml:space="preserve"> REF _Ref6464558 \r \h </w:instrText>
      </w:r>
      <w:r>
        <w:rPr>
          <w:vertAlign w:val="superscript"/>
        </w:rPr>
        <w:instrText xml:space="preserve"> \* MERGEFORMAT </w:instrText>
      </w:r>
      <w:r w:rsidRPr="00080D23">
        <w:rPr>
          <w:vertAlign w:val="superscript"/>
        </w:rPr>
      </w:r>
      <w:r w:rsidRPr="00080D23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Pr="00080D23">
        <w:rPr>
          <w:vertAlign w:val="superscript"/>
        </w:rPr>
        <w:fldChar w:fldCharType="end"/>
      </w:r>
      <w:r>
        <w:t xml:space="preserve">  </w:t>
      </w:r>
      <w:r w:rsidR="00225C7E">
        <w:t xml:space="preserve">(The vertical error bars represent 95% confidence </w:t>
      </w:r>
      <w:r w:rsidR="00225C7E">
        <w:t>BFMC-</w:t>
      </w:r>
      <w:r w:rsidR="00225C7E" w:rsidRPr="00F039E4">
        <w:rPr>
          <w:i/>
        </w:rPr>
        <w:t>P</w:t>
      </w:r>
      <w:r w:rsidR="00225C7E" w:rsidRPr="00F039E4">
        <w:rPr>
          <w:i/>
          <w:vertAlign w:val="subscript"/>
        </w:rPr>
        <w:t>c</w:t>
      </w:r>
      <w:r w:rsidR="00225C7E">
        <w:t xml:space="preserve"> uncertainty</w:t>
      </w:r>
      <w:bookmarkStart w:id="1" w:name="_GoBack"/>
      <w:bookmarkEnd w:id="1"/>
      <w:r w:rsidR="00225C7E">
        <w:t xml:space="preserve"> intervals.)  </w:t>
      </w:r>
      <w:r>
        <w:t>Figure 2 indicates that major BFMC-</w:t>
      </w:r>
      <w:r w:rsidRPr="00F039E4">
        <w:rPr>
          <w:i/>
        </w:rPr>
        <w:t>P</w:t>
      </w:r>
      <w:r w:rsidRPr="00F039E4">
        <w:rPr>
          <w:i/>
          <w:vertAlign w:val="subscript"/>
        </w:rPr>
        <w:t>c</w:t>
      </w:r>
      <w:r>
        <w:t xml:space="preserve"> vs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differences occur in both directions, BFMC-</w:t>
      </w:r>
      <w:r w:rsidRPr="00F039E4">
        <w:rPr>
          <w:i/>
        </w:rPr>
        <w:t>P</w:t>
      </w:r>
      <w:r w:rsidRPr="00F039E4">
        <w:rPr>
          <w:i/>
          <w:vertAlign w:val="subscript"/>
        </w:rPr>
        <w:t>c</w:t>
      </w:r>
      <w:r>
        <w:t xml:space="preserve"> &lt;&lt;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 xml:space="preserve"> and BFMC-</w:t>
      </w:r>
      <w:r w:rsidRPr="00F039E4">
        <w:rPr>
          <w:i/>
        </w:rPr>
        <w:t>P</w:t>
      </w:r>
      <w:r w:rsidRPr="00F039E4">
        <w:rPr>
          <w:i/>
          <w:vertAlign w:val="subscript"/>
        </w:rPr>
        <w:t>c</w:t>
      </w:r>
      <w:r>
        <w:t xml:space="preserve"> &gt;&gt;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>, with the latter type causing more concern because, for these conjunctions, the 2D-</w:t>
      </w:r>
      <w:r w:rsidRPr="00F039E4">
        <w:rPr>
          <w:i/>
        </w:rPr>
        <w:t>P</w:t>
      </w:r>
      <w:r w:rsidRPr="00F039E4">
        <w:rPr>
          <w:i/>
          <w:vertAlign w:val="subscript"/>
        </w:rPr>
        <w:t>c</w:t>
      </w:r>
      <w:r>
        <w:t xml:space="preserve"> approximation significantly underestimates the actual conjunction risk indicated by the high-fidelity BFMC simulation, whereas the former represents an overly conservative collision risk estimation.</w:t>
      </w:r>
    </w:p>
    <w:p w14:paraId="1B19DCED" w14:textId="77777777" w:rsidR="00382F15" w:rsidRDefault="00382F15" w:rsidP="00382F15">
      <w:pPr>
        <w:pStyle w:val="Sub-Section"/>
      </w:pPr>
      <w:r>
        <w:t xml:space="preserve">Large-Amplitude </w:t>
      </w: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Underestimation Inaccuracies</w:t>
      </w:r>
    </w:p>
    <w:p w14:paraId="351B268F" w14:textId="1DBA5253" w:rsidR="000A10E6" w:rsidRDefault="00382F15" w:rsidP="000A10E6">
      <w:r>
        <w:t>This analysis focuses on designing a test to detect “large-amplitude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underestimations” defined here as conjunctions with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denotes the factor bounding what is considered a large-amplitude underestimation.  The colored diamonds in Figure 2 indicate the existence of 22 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underestimations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>
        <w:t xml:space="preserve">; these all appear well above the diagonal line in the plot.  The black </w:t>
      </w:r>
      <w:r w:rsidRPr="00115258">
        <w:t>cross</w:t>
      </w:r>
      <w:r>
        <w:t xml:space="preserve"> (</w:t>
      </w:r>
      <w:r w:rsidRPr="00115258">
        <w:rPr>
          <w:b/>
        </w:rPr>
        <w:t>+</w:t>
      </w:r>
      <w:r>
        <w:t>) symbols in Figure 2 show the much larger number of remaining conjunctions, plotted with error bars corresponding to 95% confidence Monte Carlo uncertainty intervals.</w:t>
      </w:r>
      <w:r w:rsidRPr="00140937">
        <w:rPr>
          <w:vertAlign w:val="superscript"/>
        </w:rPr>
        <w:fldChar w:fldCharType="begin"/>
      </w:r>
      <w:r w:rsidRPr="00140937">
        <w:rPr>
          <w:vertAlign w:val="superscript"/>
        </w:rPr>
        <w:instrText xml:space="preserve"> REF _Ref6464558 \r \h </w:instrText>
      </w:r>
      <w:r>
        <w:rPr>
          <w:vertAlign w:val="superscript"/>
        </w:rPr>
        <w:instrText xml:space="preserve"> \* MERGEFORMAT </w:instrText>
      </w:r>
      <w:r w:rsidRPr="00140937">
        <w:rPr>
          <w:vertAlign w:val="superscript"/>
        </w:rPr>
      </w:r>
      <w:r w:rsidRPr="00140937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Pr="00140937">
        <w:rPr>
          <w:vertAlign w:val="superscript"/>
        </w:rPr>
        <w:fldChar w:fldCharType="end"/>
      </w:r>
      <w:r>
        <w:t xml:space="preserve">  The black symbols also indicate the existence of several 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overestimations, which appear well below the diagonal line (note: several of these had zero collisions registered in the BFMC simulations, and are represented in Figure 2 using downward pointing triangles with a single-sided error bar).  </w:t>
      </w:r>
    </w:p>
    <w:p w14:paraId="4A5B7EF1" w14:textId="77777777" w:rsidR="002B5A0D" w:rsidRDefault="002B5A0D" w:rsidP="002B5A0D">
      <w:pPr>
        <w:jc w:val="center"/>
      </w:pPr>
      <w:r w:rsidRPr="00E420E1">
        <w:rPr>
          <w:noProof/>
        </w:rPr>
        <w:drawing>
          <wp:inline distT="0" distB="0" distL="0" distR="0" wp14:anchorId="32991DE9" wp14:editId="371D532E">
            <wp:extent cx="3749040" cy="4601541"/>
            <wp:effectExtent l="0" t="0" r="3810" b="889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505F335-F49C-45A5-97A4-1CA6D26470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505F335-F49C-45A5-97A4-1CA6D26470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0" t="5455" r="23220"/>
                    <a:stretch/>
                  </pic:blipFill>
                  <pic:spPr bwMode="auto">
                    <a:xfrm>
                      <a:off x="0" y="0"/>
                      <a:ext cx="3749040" cy="460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A0771" w14:textId="66A33F53" w:rsidR="00386E94" w:rsidRDefault="002B5A0D" w:rsidP="00382F15">
      <w:pPr>
        <w:pStyle w:val="Caption"/>
        <w:jc w:val="center"/>
      </w:pPr>
      <w:r w:rsidRPr="00505624">
        <w:t>Figure </w:t>
      </w:r>
      <w:r>
        <w:t>2</w:t>
      </w:r>
      <w:r w:rsidRPr="00505624">
        <w:t>.</w:t>
      </w:r>
      <w:r>
        <w:t xml:space="preserve"> </w:t>
      </w:r>
      <w:r w:rsidRPr="00360C6D">
        <w:t>A comparison of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360C6D">
        <w:t xml:space="preserve"> and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360C6D">
        <w:t xml:space="preserve"> estimates for 43,595 CARA conjunctions.  Colored diamonds show 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360C6D">
        <w:t xml:space="preserve"> method underestimation inaccuracies.</w:t>
      </w:r>
    </w:p>
    <w:p w14:paraId="1E461C88" w14:textId="4721138D" w:rsidR="008B0E71" w:rsidRDefault="00075907" w:rsidP="008B0E71">
      <w:r>
        <w:t>The comparison shown in Figure 2 confirms that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approximation produces sufficiently accurate estimates to enable effective risk assessments for the majority </w:t>
      </w:r>
      <w:r w:rsidR="0018717F">
        <w:t xml:space="preserve">of </w:t>
      </w:r>
      <w:r>
        <w:t>CARA conjunctions.</w:t>
      </w:r>
      <w:r w:rsidRPr="00CC7AFA">
        <w:rPr>
          <w:vertAlign w:val="superscript"/>
        </w:rPr>
        <w:fldChar w:fldCharType="begin"/>
      </w:r>
      <w:r w:rsidRPr="00CC7AFA">
        <w:rPr>
          <w:vertAlign w:val="superscript"/>
        </w:rPr>
        <w:instrText xml:space="preserve"> REF _Ref6464558 \r \h </w:instrText>
      </w:r>
      <w:r>
        <w:rPr>
          <w:vertAlign w:val="superscript"/>
        </w:rPr>
        <w:instrText xml:space="preserve"> \* MERGEFORMAT </w:instrText>
      </w:r>
      <w:r w:rsidRPr="00CC7AFA">
        <w:rPr>
          <w:vertAlign w:val="superscript"/>
        </w:rPr>
      </w:r>
      <w:r w:rsidRPr="00CC7AFA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Pr="00CC7AFA">
        <w:rPr>
          <w:vertAlign w:val="superscript"/>
        </w:rPr>
        <w:fldChar w:fldCharType="end"/>
      </w:r>
      <w:r>
        <w:t xml:space="preserve">  </w:t>
      </w:r>
      <w:r w:rsidR="00FE7A5C">
        <w:t>A</w:t>
      </w:r>
      <w:r w:rsidR="0018717F">
        <w:t>mong th</w:t>
      </w:r>
      <w:r w:rsidR="00FF5A9B">
        <w:t>is</w:t>
      </w:r>
      <w:r w:rsidR="0018717F">
        <w:t xml:space="preserve"> representative set</w:t>
      </w:r>
      <w:r w:rsidR="000355D7">
        <w:t xml:space="preserve"> of ~44,000 conjunctions</w:t>
      </w:r>
      <w:r w:rsidR="0018717F">
        <w:t>, o</w:t>
      </w:r>
      <w:r>
        <w:t xml:space="preserve">nly </w:t>
      </w:r>
      <w:r w:rsidR="000355D7">
        <w:t>22</w:t>
      </w:r>
      <w:r>
        <w:t xml:space="preserve"> </w:t>
      </w:r>
      <w:r w:rsidR="000355D7">
        <w:t xml:space="preserve">events </w:t>
      </w:r>
      <w:r>
        <w:t xml:space="preserve">suffer </w:t>
      </w:r>
      <w:r w:rsidR="000355D7">
        <w:t xml:space="preserve">from </w:t>
      </w:r>
      <w:r w:rsidR="0018717F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8717F">
        <w:t xml:space="preserve"> </w:t>
      </w:r>
      <w:r>
        <w:t>underestimations</w:t>
      </w:r>
      <w:r w:rsidR="000355D7">
        <w:t xml:space="preserve"> </w:t>
      </w:r>
      <w:r w:rsidR="00F32CCE">
        <w:t>by</w:t>
      </w:r>
      <w:r>
        <w:t xml:space="preserve">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 w:rsidR="00F32CCE">
        <w:t xml:space="preserve"> or more</w:t>
      </w:r>
      <w:r w:rsidR="0053315A">
        <w:t xml:space="preserve">; </w:t>
      </w:r>
      <w:r w:rsidR="003960FD">
        <w:t>1</w:t>
      </w:r>
      <w:r w:rsidR="00FE7A5C">
        <w:t>1</w:t>
      </w:r>
      <w:r w:rsidR="003960FD">
        <w:t xml:space="preserve"> </w:t>
      </w:r>
      <w:r w:rsidR="00C93505">
        <w:t xml:space="preserve">of these represent </w:t>
      </w:r>
      <w:r w:rsidR="003960FD">
        <w:t>underestimations</w:t>
      </w:r>
      <w:r w:rsidR="00FE7A5C">
        <w:t xml:space="preserve"> for</w:t>
      </w:r>
      <w:r w:rsidR="003960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=5</m:t>
        </m:r>
      </m:oMath>
      <w:r w:rsidR="00FF5A9B">
        <w:t>,</w:t>
      </w:r>
      <w:r w:rsidR="003960FD">
        <w:t xml:space="preserve"> </w:t>
      </w:r>
      <w:r>
        <w:t xml:space="preserve">and </w:t>
      </w:r>
      <w:r w:rsidR="000355D7">
        <w:t xml:space="preserve">6 </w:t>
      </w:r>
      <w:r w:rsidR="00FE7A5C"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=10</m:t>
        </m:r>
      </m:oMath>
      <w:r>
        <w:t>.</w:t>
      </w:r>
      <w:r w:rsidR="00D1459D">
        <w:t xml:space="preserve"> </w:t>
      </w:r>
      <w:r w:rsidR="00817A1F">
        <w:t xml:space="preserve"> </w:t>
      </w:r>
      <w:r w:rsidR="00F937F5">
        <w:t>Assuming that the data set analyzed here is representative of future conjunctions, t</w:t>
      </w:r>
      <w:r w:rsidR="00817A1F">
        <w:t xml:space="preserve">hese small fractions can be interpreted as </w:t>
      </w:r>
      <w:r w:rsidR="000355D7">
        <w:t>probabilities</w:t>
      </w:r>
      <w:r w:rsidR="00FB442D">
        <w:t xml:space="preserve"> that such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B442D">
        <w:t xml:space="preserve"> underestimations will occur</w:t>
      </w:r>
      <w:r w:rsidR="00F937F5">
        <w:t xml:space="preserve"> in the future</w:t>
      </w:r>
      <w:r w:rsidR="00FB442D">
        <w:t>, equaling</w:t>
      </w:r>
      <w:r w:rsidR="000355D7">
        <w:t xml:space="preserve"> </w:t>
      </w:r>
      <w:r w:rsidR="00FB442D">
        <w:t>~</w:t>
      </w:r>
      <w:r w:rsidR="006605FE">
        <w:t>5</w:t>
      </w:r>
      <w:r w:rsidR="00FB442D">
        <w:sym w:font="Symbol" w:char="F0B4"/>
      </w:r>
      <w:r w:rsidR="00FB442D">
        <w:t>10</w:t>
      </w:r>
      <w:r w:rsidR="00FB442D" w:rsidRPr="00817A1F">
        <w:rPr>
          <w:vertAlign w:val="superscript"/>
        </w:rPr>
        <w:t>-4</w:t>
      </w:r>
      <w:r w:rsidR="006605FE">
        <w:t>, ~</w:t>
      </w:r>
      <w:r w:rsidR="00FE7A5C">
        <w:t>2</w:t>
      </w:r>
      <w:r w:rsidR="006605FE">
        <w:t>.</w:t>
      </w:r>
      <w:r w:rsidR="00FE7A5C">
        <w:t>5</w:t>
      </w:r>
      <w:r w:rsidR="006605FE">
        <w:sym w:font="Symbol" w:char="F0B4"/>
      </w:r>
      <w:r w:rsidR="006605FE">
        <w:t>10</w:t>
      </w:r>
      <w:r w:rsidR="006605FE" w:rsidRPr="00817A1F">
        <w:rPr>
          <w:vertAlign w:val="superscript"/>
        </w:rPr>
        <w:t>-4</w:t>
      </w:r>
      <w:r w:rsidR="006605FE">
        <w:t xml:space="preserve">, </w:t>
      </w:r>
      <w:r w:rsidR="00FB442D">
        <w:t>and ~</w:t>
      </w:r>
      <w:r w:rsidR="006605FE">
        <w:t>1.4</w:t>
      </w:r>
      <w:r w:rsidR="00FB442D">
        <w:sym w:font="Symbol" w:char="F0B4"/>
      </w:r>
      <w:r w:rsidR="00FB442D">
        <w:t>10</w:t>
      </w:r>
      <w:r w:rsidR="00FB442D" w:rsidRPr="00817A1F">
        <w:rPr>
          <w:vertAlign w:val="superscript"/>
        </w:rPr>
        <w:t>-4</w:t>
      </w:r>
      <w:r w:rsidR="00FB442D">
        <w:t>, respectively</w:t>
      </w:r>
      <w:r w:rsidR="00C93505">
        <w:t>,</w:t>
      </w:r>
      <w:r w:rsidR="00A12A03">
        <w:t xml:space="preserve"> for the </w:t>
      </w:r>
      <w:r w:rsidR="00A12A03" w:rsidRPr="00C93505">
        <w:rPr>
          <w:i/>
        </w:rPr>
        <w:t>F</w:t>
      </w:r>
      <w:r w:rsidR="00A12A03" w:rsidRPr="00C93505">
        <w:rPr>
          <w:i/>
          <w:vertAlign w:val="subscript"/>
        </w:rPr>
        <w:t>b</w:t>
      </w:r>
      <w:r w:rsidR="00A12A03">
        <w:t xml:space="preserve"> values given above</w:t>
      </w:r>
      <w:r w:rsidR="00F937F5">
        <w:t xml:space="preserve">.  </w:t>
      </w:r>
      <w:r w:rsidR="000355D7">
        <w:t>Notably</w:t>
      </w:r>
      <w:r w:rsidR="0018717F">
        <w:t>, these</w:t>
      </w:r>
      <w:r w:rsidR="00817A1F">
        <w:t xml:space="preserve"> probabilities</w:t>
      </w:r>
      <w:r w:rsidR="00D1459D">
        <w:t xml:space="preserve"> </w:t>
      </w:r>
      <w:r w:rsidR="00817A1F">
        <w:t xml:space="preserve">exceed </w:t>
      </w:r>
      <w:r w:rsidR="00D37A4D">
        <w:t>(but</w:t>
      </w:r>
      <w:r w:rsidR="00450854">
        <w:t xml:space="preserve"> are roughly comparable to</w:t>
      </w:r>
      <w:r w:rsidR="00D37A4D">
        <w:t>)</w:t>
      </w:r>
      <w:r w:rsidR="00450854">
        <w:t xml:space="preserve"> </w:t>
      </w:r>
      <w:r w:rsidR="00817A1F">
        <w:t>the “red” collision probability of 10</w:t>
      </w:r>
      <w:r w:rsidR="00817A1F" w:rsidRPr="00817A1F">
        <w:rPr>
          <w:vertAlign w:val="superscript"/>
        </w:rPr>
        <w:t>-4</w:t>
      </w:r>
      <w:r w:rsidR="00817A1F">
        <w:t xml:space="preserve"> that the CARA team employs for high-priority risk assessments</w:t>
      </w:r>
      <w:r w:rsidR="009E2A0E">
        <w:t>,</w:t>
      </w:r>
      <w:r w:rsidR="00817A1F">
        <w:t xml:space="preserve"> </w:t>
      </w:r>
      <w:r w:rsidR="009B0907">
        <w:t>which</w:t>
      </w:r>
      <w:r w:rsidR="00FB442D">
        <w:t xml:space="preserve"> can</w:t>
      </w:r>
      <w:r w:rsidR="00817A1F">
        <w:t xml:space="preserve"> </w:t>
      </w:r>
      <w:r w:rsidR="006605FE">
        <w:t xml:space="preserve">ultimately </w:t>
      </w:r>
      <w:r w:rsidR="0071424D">
        <w:t>lead to</w:t>
      </w:r>
      <w:r w:rsidR="00817A1F">
        <w:t xml:space="preserve"> </w:t>
      </w:r>
      <w:r w:rsidR="000355D7">
        <w:t>satellite</w:t>
      </w:r>
      <w:r w:rsidR="0071424D">
        <w:t xml:space="preserve"> </w:t>
      </w:r>
      <w:r w:rsidR="00A12A03">
        <w:t xml:space="preserve">operators planning and </w:t>
      </w:r>
      <w:r w:rsidR="0071424D">
        <w:t>executing</w:t>
      </w:r>
      <w:r w:rsidR="00954E5B">
        <w:t xml:space="preserve"> maneuvers</w:t>
      </w:r>
      <w:r w:rsidR="009B0907">
        <w:t xml:space="preserve"> to mitigate collision risk</w:t>
      </w:r>
      <w:r w:rsidR="00954E5B" w:rsidRPr="00450854">
        <w:t xml:space="preserve">.  </w:t>
      </w:r>
      <w:r w:rsidR="0071424D" w:rsidRPr="00450854">
        <w:t>This</w:t>
      </w:r>
      <w:r w:rsidR="00450854" w:rsidRPr="00450854">
        <w:t xml:space="preserve"> probability comparison </w:t>
      </w:r>
      <w:r w:rsidR="00881E8E">
        <w:t>emphasizes the need for</w:t>
      </w:r>
      <w:r w:rsidR="0071424D" w:rsidRPr="00450854">
        <w:t xml:space="preserve"> a </w:t>
      </w:r>
      <w:r w:rsidR="00881E8E">
        <w:t>procedure</w:t>
      </w:r>
      <w:r w:rsidR="0071424D" w:rsidRPr="00450854">
        <w:t xml:space="preserve"> to detect</w:t>
      </w:r>
      <w:r w:rsidR="00881E8E">
        <w:t xml:space="preserve"> and mitigate </w:t>
      </w:r>
      <w:r w:rsidR="006605FE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605FE">
        <w:t xml:space="preserve"> </w:t>
      </w:r>
      <w:r w:rsidR="00881E8E">
        <w:t>underestimation</w:t>
      </w:r>
      <w:r w:rsidR="006605FE">
        <w:t xml:space="preserve"> inaccurac</w:t>
      </w:r>
      <w:r w:rsidR="00302FAB">
        <w:t>ies</w:t>
      </w:r>
      <w:r w:rsidR="008B0E71">
        <w:t>.</w:t>
      </w:r>
    </w:p>
    <w:p w14:paraId="6B1C4C10" w14:textId="6BD04FD4" w:rsidR="006462CF" w:rsidRDefault="00F10C95" w:rsidP="006462CF">
      <w:pPr>
        <w:pStyle w:val="Sub-Section"/>
      </w:pPr>
      <w:r>
        <w:lastRenderedPageBreak/>
        <w:t xml:space="preserve">Measuring </w:t>
      </w:r>
      <w:r w:rsidR="006462CF">
        <w:t xml:space="preserve">Offset-from-TCA </w:t>
      </w:r>
      <w:r w:rsidR="006462CF"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="006462CF" w:rsidRPr="00FF51CB">
        <w:t xml:space="preserve"> </w:t>
      </w:r>
      <w:r w:rsidR="006462CF">
        <w:t>Variations</w:t>
      </w:r>
    </w:p>
    <w:p w14:paraId="20E139BC" w14:textId="7FADA464" w:rsidR="00881B73" w:rsidRDefault="00881B73" w:rsidP="00881B73">
      <w:r>
        <w:t>As discussed previously, large variations in offset-from-TCA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can indicate that a conjunction</w:t>
      </w:r>
      <w:r w:rsidR="00D25B47">
        <w:t xml:space="preserve"> potentially</w:t>
      </w:r>
      <w:r>
        <w:t xml:space="preserve"> fails to satisfy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assumptions of linear motion and/or constant relative position covariance.  </w:t>
      </w:r>
      <w:r w:rsidR="00D25B47">
        <w:t xml:space="preserve">Measuring the amplitude of such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D25B47">
        <w:t xml:space="preserve"> variations forms the basis of the</w:t>
      </w:r>
      <w:r w:rsidR="008B0E71">
        <w:t xml:space="preserve">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B0E71">
        <w:t xml:space="preserve"> method </w:t>
      </w:r>
      <w:r w:rsidR="00D25B47">
        <w:t xml:space="preserve">diagnostic test and usage boundaries </w:t>
      </w:r>
      <w:r w:rsidR="008B0E71">
        <w:t>presented</w:t>
      </w:r>
      <w:r w:rsidR="00D25B47">
        <w:t xml:space="preserve"> in this analysis.</w:t>
      </w:r>
      <w:r w:rsidR="00B87314">
        <w:t xml:space="preserve">  </w:t>
      </w:r>
      <w:r>
        <w:t xml:space="preserve">One measure of the amplitude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 can be defined as</w:t>
      </w:r>
    </w:p>
    <w:p w14:paraId="3449BFB8" w14:textId="1FB92679" w:rsidR="00881B73" w:rsidRDefault="00881B73" w:rsidP="00881B73">
      <w:pPr>
        <w:jc w:val="right"/>
      </w:pPr>
      <m:oMath>
        <m:r>
          <w:rPr>
            <w:rFonts w:ascii="Cambria Math" w:hAnsi="Cambria Math"/>
          </w:rPr>
          <m:t>V'=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p>
                    </m:sSubSup>
                  </m:den>
                </m:f>
              </m:e>
            </m:d>
          </m:e>
        </m:func>
      </m:oMath>
      <w:r>
        <w:t xml:space="preserve">                             </w:t>
      </w:r>
      <w:r w:rsidR="002F35AE">
        <w:t xml:space="preserve">        </w:t>
      </w:r>
      <w:r>
        <w:t xml:space="preserve">                     (2)</w:t>
      </w:r>
    </w:p>
    <w:p w14:paraId="492BB96F" w14:textId="519CED03" w:rsidR="00881B73" w:rsidRDefault="00881B73" w:rsidP="00881B73">
      <w:r>
        <w:t>w</w:t>
      </w:r>
      <w:r w:rsidR="0033140F">
        <w:t>here</w:t>
      </w:r>
    </w:p>
    <w:p w14:paraId="2AA97109" w14:textId="20D277AF" w:rsidR="00881B73" w:rsidRDefault="00881B73" w:rsidP="00881B73">
      <w:pPr>
        <w:jc w:val="right"/>
      </w:pP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|t|≤∆t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e>
        </m:func>
        <m:r>
          <w:rPr>
            <w:rFonts w:ascii="Cambria Math" w:hAnsi="Cambria Math"/>
          </w:rPr>
          <m:t xml:space="preserve">        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   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|t|≤∆t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e>
            </m:d>
          </m:e>
        </m:func>
      </m:oMath>
      <w:r>
        <w:t xml:space="preserve">          </w:t>
      </w:r>
      <w:r w:rsidR="00D25B47">
        <w:t xml:space="preserve">   </w:t>
      </w:r>
      <w:r>
        <w:t xml:space="preserve"> </w:t>
      </w:r>
      <w:r w:rsidR="0033140F">
        <w:t xml:space="preserve">  </w:t>
      </w:r>
      <w:r>
        <w:t xml:space="preserve"> </w:t>
      </w:r>
      <w:r w:rsidR="0099174E">
        <w:t xml:space="preserve">   </w:t>
      </w:r>
      <w:r w:rsidR="0053315A">
        <w:t xml:space="preserve">  </w:t>
      </w:r>
      <w:r w:rsidR="0099174E">
        <w:t xml:space="preserve">    </w:t>
      </w:r>
      <w:r>
        <w:t xml:space="preserve">         (</w:t>
      </w:r>
      <w:r w:rsidR="0033140F">
        <w:t>3</w:t>
      </w:r>
      <w:r>
        <w:t>)</w:t>
      </w:r>
    </w:p>
    <w:p w14:paraId="382847FF" w14:textId="225676B0" w:rsidR="00881B73" w:rsidRDefault="0033140F" w:rsidP="00881B73">
      <w:r>
        <w:t>denote the extrema over the short-term encounter validity interval</w:t>
      </w:r>
      <w:r w:rsidR="0053315A">
        <w:t>,</w:t>
      </w:r>
      <w:r w:rsidR="0099174E">
        <w:t xml:space="preserve"> </w:t>
      </w:r>
      <m:oMath>
        <m:r>
          <w:rPr>
            <w:rFonts w:ascii="Cambria Math" w:hAnsi="Cambria Math"/>
          </w:rPr>
          <m:t>-∆t≤t≤∆t</m:t>
        </m:r>
      </m:oMath>
      <w:r w:rsidR="00992E8C">
        <w:t>.  These extrema</w:t>
      </w:r>
      <w:r w:rsidR="000152B4">
        <w:t xml:space="preserve"> </w:t>
      </w:r>
      <w:r w:rsidR="00173756">
        <w:t xml:space="preserve">can be determined </w:t>
      </w:r>
      <w:r w:rsidR="00992E8C">
        <w:t>numerical</w:t>
      </w:r>
      <w:r w:rsidR="00D03D05">
        <w:t>ly</w:t>
      </w:r>
      <w:r w:rsidR="00992E8C">
        <w:t xml:space="preserve"> </w:t>
      </w:r>
      <w:r w:rsidR="00173756">
        <w:t xml:space="preserve">(e.g., </w:t>
      </w:r>
      <w:r w:rsidR="001B6A50">
        <w:t xml:space="preserve">using </w:t>
      </w:r>
      <w:r w:rsidR="00173756">
        <w:t>a bisection search</w:t>
      </w:r>
      <w:r w:rsidR="00D03D05">
        <w:t xml:space="preserve"> optimization method</w:t>
      </w:r>
      <w:r w:rsidR="00B056E3" w:rsidRPr="00B056E3">
        <w:rPr>
          <w:vertAlign w:val="superscript"/>
        </w:rPr>
        <w:fldChar w:fldCharType="begin"/>
      </w:r>
      <w:r w:rsidR="00B056E3" w:rsidRPr="00B056E3">
        <w:rPr>
          <w:vertAlign w:val="superscript"/>
        </w:rPr>
        <w:instrText xml:space="preserve"> REF _Ref8293501 \r \h </w:instrText>
      </w:r>
      <w:r w:rsidR="00B056E3">
        <w:rPr>
          <w:vertAlign w:val="superscript"/>
        </w:rPr>
        <w:instrText xml:space="preserve"> \* MERGEFORMAT </w:instrText>
      </w:r>
      <w:r w:rsidR="00B056E3" w:rsidRPr="00B056E3">
        <w:rPr>
          <w:vertAlign w:val="superscript"/>
        </w:rPr>
      </w:r>
      <w:r w:rsidR="00B056E3" w:rsidRPr="00B056E3">
        <w:rPr>
          <w:vertAlign w:val="superscript"/>
        </w:rPr>
        <w:fldChar w:fldCharType="separate"/>
      </w:r>
      <w:r w:rsidR="00620BE7">
        <w:rPr>
          <w:vertAlign w:val="superscript"/>
        </w:rPr>
        <w:t>12</w:t>
      </w:r>
      <w:r w:rsidR="00B056E3" w:rsidRPr="00B056E3">
        <w:rPr>
          <w:vertAlign w:val="superscript"/>
        </w:rPr>
        <w:fldChar w:fldCharType="end"/>
      </w:r>
      <w:r w:rsidR="00173756">
        <w:t>)</w:t>
      </w:r>
      <w:r>
        <w:t xml:space="preserve">.  Analysis indicates that the metric </w:t>
      </w:r>
      <m:oMath>
        <m:r>
          <w:rPr>
            <w:rFonts w:ascii="Cambria Math" w:hAnsi="Cambria Math"/>
          </w:rPr>
          <m:t>V'</m:t>
        </m:r>
      </m:oMath>
      <w:r>
        <w:t xml:space="preserve"> can be used as an indicator of </w:t>
      </w:r>
      <w:r w:rsidR="006B3818">
        <w:t xml:space="preserve">overall </w:t>
      </w:r>
      <w:r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inaccurac</w:t>
      </w:r>
      <w:r w:rsidR="00B642AA">
        <w:t>ies</w:t>
      </w:r>
      <w:r>
        <w:t>, including both underestimations and overestimations.  A</w:t>
      </w:r>
      <w:r w:rsidR="002F35AE">
        <w:t xml:space="preserve"> slightly different</w:t>
      </w:r>
      <w:r>
        <w:t xml:space="preserve"> </w:t>
      </w:r>
      <w:r w:rsidR="00B725F5">
        <w:t xml:space="preserve">variation </w:t>
      </w:r>
      <w:r>
        <w:t xml:space="preserve">metric, however, has been found to </w:t>
      </w:r>
      <w:r w:rsidR="003B2E90">
        <w:t>perform</w:t>
      </w:r>
      <w:r>
        <w:t xml:space="preserve"> </w:t>
      </w:r>
      <w:r w:rsidR="00B642AA">
        <w:t>somewhat</w:t>
      </w:r>
      <w:r>
        <w:t xml:space="preserve"> better </w:t>
      </w:r>
      <w:r w:rsidR="002F35AE">
        <w:t xml:space="preserve">as a </w:t>
      </w:r>
      <w:r w:rsidR="003B2E90">
        <w:t xml:space="preserve">diagnostic </w:t>
      </w:r>
      <w:r w:rsidR="002F35AE">
        <w:t>indicator of potential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F35AE">
        <w:t xml:space="preserve"> underestimations alone</w:t>
      </w:r>
      <w:r w:rsidR="003B2E90">
        <w:t xml:space="preserve">, </w:t>
      </w:r>
      <w:r w:rsidR="00503FF5">
        <w:t>in that it produces fewer false alarms</w:t>
      </w:r>
    </w:p>
    <w:p w14:paraId="1D7E8309" w14:textId="393C6CF4" w:rsidR="002F35AE" w:rsidRDefault="002F35AE" w:rsidP="002F35AE">
      <w:pPr>
        <w:jc w:val="right"/>
      </w:pPr>
      <m:oMath>
        <m:r>
          <w:rPr>
            <w:rFonts w:ascii="Cambria Math" w:hAnsi="Cambria Math"/>
          </w:rPr>
          <m:t>V=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mid</m:t>
                        </m:r>
                      </m:sup>
                    </m:sSubSup>
                  </m:den>
                </m:f>
              </m:e>
            </m:d>
          </m:e>
        </m:func>
      </m:oMath>
      <w:r>
        <w:t xml:space="preserve">                                                          (</w:t>
      </w:r>
      <w:r w:rsidR="000F6DF6">
        <w:t>4</w:t>
      </w:r>
      <w:r>
        <w:t>)</w:t>
      </w:r>
    </w:p>
    <w:p w14:paraId="1975B894" w14:textId="77777777" w:rsidR="002F35AE" w:rsidRDefault="002F35AE" w:rsidP="002F35AE">
      <w:r>
        <w:t>where</w:t>
      </w:r>
    </w:p>
    <w:p w14:paraId="5436C41B" w14:textId="35B33AB4" w:rsidR="002F35AE" w:rsidRDefault="002F35AE" w:rsidP="002F35AE">
      <w:pPr>
        <w:jc w:val="right"/>
      </w:pP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mid</m:t>
            </m:r>
          </m:sup>
        </m:sSub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c,0</m:t>
                    </m:r>
                  </m:sub>
                </m:sSub>
                <m:r>
                  <w:rPr>
                    <w:rFonts w:ascii="Cambria Math" w:hAnsi="Cambria Math"/>
                  </w:rPr>
                  <m:t>+P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                  </w:t>
      </w:r>
      <w:r w:rsidR="00B056E3">
        <w:t xml:space="preserve">   </w:t>
      </w:r>
      <w:r>
        <w:t xml:space="preserve">                      (</w:t>
      </w:r>
      <w:r w:rsidR="000F6DF6">
        <w:t>5</w:t>
      </w:r>
      <w:r>
        <w:t>)</w:t>
      </w:r>
    </w:p>
    <w:p w14:paraId="3B883B70" w14:textId="6A14033E" w:rsidR="00B642AA" w:rsidRDefault="002F35AE" w:rsidP="00881B73">
      <w:r>
        <w:t>denotes the midpoint between the at-TCA and minimum</w:t>
      </w:r>
      <w:r w:rsidR="00FE54C8">
        <w:t xml:space="preserve"> offset-from-TCA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value</w:t>
      </w:r>
      <w:r w:rsidR="00FE54C8">
        <w:t>s</w:t>
      </w:r>
      <w:r>
        <w:t>.</w:t>
      </w:r>
      <w:r w:rsidR="00D25B47">
        <w:t xml:space="preserve">  </w:t>
      </w:r>
      <w:r w:rsidR="00B642AA">
        <w:t xml:space="preserve">For reference, the </w:t>
      </w:r>
      <w:r w:rsidR="00B642AA" w:rsidRPr="00E50200">
        <w:rPr>
          <w:i/>
        </w:rPr>
        <w:t>Aqua</w:t>
      </w:r>
      <w:r w:rsidR="00B642AA">
        <w:t xml:space="preserve"> </w:t>
      </w:r>
      <w:r w:rsidR="00E50200">
        <w:t xml:space="preserve">satellite </w:t>
      </w:r>
      <w:r w:rsidR="00B642AA">
        <w:t xml:space="preserve">conjunction </w:t>
      </w:r>
      <w:r w:rsidR="00E50200">
        <w:t xml:space="preserve">with the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FE54C8">
        <w:t xml:space="preserve"> </w:t>
      </w:r>
      <w:r w:rsidR="00E50200">
        <w:t xml:space="preserve">variations </w:t>
      </w:r>
      <w:r w:rsidR="00B642AA">
        <w:t>shown on the left panel of Figure 1 has</w:t>
      </w:r>
      <w:r w:rsidR="00992E8C">
        <w:t xml:space="preserve"> </w:t>
      </w:r>
      <m:oMath>
        <m:r>
          <w:rPr>
            <w:rFonts w:ascii="Cambria Math" w:hAnsi="Cambria Math"/>
          </w:rPr>
          <m:t>V=</m:t>
        </m:r>
      </m:oMath>
      <w:r w:rsidR="00E50200">
        <w:t xml:space="preserve"> 0.013</w:t>
      </w:r>
      <w:r w:rsidR="00992E8C">
        <w:t xml:space="preserve"> measured over an interval with half-width </w:t>
      </w:r>
      <m:oMath>
        <m:r>
          <w:rPr>
            <w:rFonts w:ascii="Cambria Math" w:hAnsi="Cambria Math"/>
          </w:rPr>
          <m:t>∆t</m:t>
        </m:r>
      </m:oMath>
      <w:r w:rsidR="00992E8C">
        <w:t xml:space="preserve"> </w:t>
      </w:r>
      <w:r w:rsidR="00F71D39">
        <w:t>=</w:t>
      </w:r>
      <w:r w:rsidR="00992E8C">
        <w:t xml:space="preserve"> 0.7 s, </w:t>
      </w:r>
      <w:r w:rsidR="00F71D39">
        <w:t>whereas</w:t>
      </w:r>
      <w:r w:rsidR="00E50200">
        <w:t xml:space="preserve"> the </w:t>
      </w:r>
      <w:r w:rsidR="00E50200" w:rsidRPr="00E50200">
        <w:rPr>
          <w:i/>
        </w:rPr>
        <w:t>Van Allen</w:t>
      </w:r>
      <w:r w:rsidR="00E50200">
        <w:t xml:space="preserve"> </w:t>
      </w:r>
      <w:r w:rsidR="00FE54C8">
        <w:t>event</w:t>
      </w:r>
      <w:r w:rsidR="00E50200">
        <w:t xml:space="preserve"> </w:t>
      </w:r>
      <w:r w:rsidR="00A57347">
        <w:t xml:space="preserve">shown </w:t>
      </w:r>
      <w:r w:rsidR="00E50200">
        <w:t xml:space="preserve">on the right </w:t>
      </w:r>
      <w:r w:rsidR="00FE54C8">
        <w:t xml:space="preserve">panel </w:t>
      </w:r>
      <w:r w:rsidR="00E50200">
        <w:t xml:space="preserve">has </w:t>
      </w:r>
      <w:r w:rsidR="00FE54C8">
        <w:t xml:space="preserve">a much larger variation </w:t>
      </w:r>
      <w:r w:rsidR="00457645">
        <w:t>of</w:t>
      </w:r>
      <w:r w:rsidR="00FE54C8">
        <w:t xml:space="preserve"> </w:t>
      </w:r>
      <m:oMath>
        <m:r>
          <w:rPr>
            <w:rFonts w:ascii="Cambria Math" w:hAnsi="Cambria Math"/>
          </w:rPr>
          <m:t>V=</m:t>
        </m:r>
      </m:oMath>
      <w:r w:rsidR="00E50200">
        <w:t xml:space="preserve"> 3.2</w:t>
      </w:r>
      <w:r w:rsidR="00992E8C">
        <w:t xml:space="preserve"> over </w:t>
      </w:r>
      <m:oMath>
        <m:r>
          <w:rPr>
            <w:rFonts w:ascii="Cambria Math" w:hAnsi="Cambria Math"/>
          </w:rPr>
          <m:t>∆t</m:t>
        </m:r>
      </m:oMath>
      <w:r w:rsidR="00992E8C">
        <w:t xml:space="preserve"> </w:t>
      </w:r>
      <w:r w:rsidR="00F71D39">
        <w:t>=</w:t>
      </w:r>
      <w:r w:rsidR="00992E8C">
        <w:t xml:space="preserve"> 5 s.</w:t>
      </w:r>
    </w:p>
    <w:p w14:paraId="1CCD6267" w14:textId="7EF10DFE" w:rsidR="00D627CC" w:rsidRDefault="00D627CC" w:rsidP="0047121F">
      <w:r>
        <w:t xml:space="preserve">Notably, calculating </w:t>
      </w:r>
      <m:oMath>
        <m:r>
          <w:rPr>
            <w:rFonts w:ascii="Cambria Math" w:hAnsi="Cambria Math"/>
          </w:rPr>
          <m:t>V</m:t>
        </m:r>
      </m:oMath>
      <w:r>
        <w:t xml:space="preserve"> requires</w:t>
      </w:r>
      <w:r w:rsidR="00A92F59">
        <w:t xml:space="preserve"> numerically</w:t>
      </w:r>
      <w:r>
        <w:t xml:space="preserve"> finding the minima and maxima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over the </w:t>
      </w:r>
      <w:r>
        <w:t>validity interval</w:t>
      </w:r>
      <w:r>
        <w:t xml:space="preserve"> </w:t>
      </w:r>
      <m:oMath>
        <m:r>
          <w:rPr>
            <w:rFonts w:ascii="Cambria Math" w:hAnsi="Cambria Math"/>
          </w:rPr>
          <m:t>-∆t≤t≤∆t</m:t>
        </m:r>
      </m:oMath>
      <w:r>
        <w:t>, which entail</w:t>
      </w:r>
      <w:r w:rsidR="0047121F">
        <w:t>s</w:t>
      </w:r>
      <w:r>
        <w:t xml:space="preserve"> many </w:t>
      </w:r>
      <w:r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</w:t>
      </w:r>
      <w:r>
        <w:t xml:space="preserve"> computations.  This increased computational load</w:t>
      </w:r>
      <w:r w:rsidR="0047121F">
        <w:t xml:space="preserve"> can be reduced by </w:t>
      </w:r>
      <w:r w:rsidR="0047121F">
        <w:t>using a</w:t>
      </w:r>
      <w:r w:rsidR="0047121F">
        <w:t xml:space="preserve"> </w:t>
      </w:r>
      <w:r w:rsidR="0047121F">
        <w:t>software implementation of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7121F">
        <w:t xml:space="preserve"> method optimized for computation speed</w:t>
      </w:r>
      <w:r w:rsidR="00B17D42">
        <w:t>.</w:t>
      </w:r>
    </w:p>
    <w:p w14:paraId="3B06FAD1" w14:textId="2F79CB09" w:rsidR="00F10C95" w:rsidRDefault="00F10C95" w:rsidP="00F10C95">
      <w:pPr>
        <w:pStyle w:val="Sub-Section"/>
      </w:pPr>
      <w:r>
        <w:t>Including the Effects of Non-Positive Definite Covariances</w:t>
      </w:r>
    </w:p>
    <w:p w14:paraId="268AD458" w14:textId="60B01AC1" w:rsidR="00C06E37" w:rsidRDefault="00F10C95" w:rsidP="008F6BBE">
      <w:r>
        <w:t xml:space="preserve">The metric </w:t>
      </w:r>
      <m:oMath>
        <m:r>
          <w:rPr>
            <w:rFonts w:ascii="Cambria Math" w:hAnsi="Cambria Math"/>
          </w:rPr>
          <m:t>V</m:t>
        </m:r>
      </m:oMath>
      <w:r>
        <w:t xml:space="preserve"> can </w:t>
      </w:r>
      <w:r w:rsidR="00B14BA0">
        <w:t xml:space="preserve">be </w:t>
      </w:r>
      <w:r w:rsidR="00397677">
        <w:t>modified</w:t>
      </w:r>
      <w:r w:rsidR="00B14BA0">
        <w:t xml:space="preserve"> to </w:t>
      </w:r>
      <w:r w:rsidR="00B61BB4">
        <w:t xml:space="preserve">additionally </w:t>
      </w:r>
      <w:r>
        <w:t>include the effects of</w:t>
      </w:r>
      <w:r w:rsidR="000A05DD">
        <w:t xml:space="preserve"> </w:t>
      </w:r>
      <w:r>
        <w:t xml:space="preserve">inaccuracies introduced by </w:t>
      </w:r>
      <w:r w:rsidR="00F729F9">
        <w:t>NPD</w:t>
      </w:r>
      <w:r>
        <w:t xml:space="preserve"> </w:t>
      </w:r>
      <w:r w:rsidR="000A05DD">
        <w:t xml:space="preserve">state </w:t>
      </w:r>
      <w:r>
        <w:t>covariance matrices</w:t>
      </w:r>
      <w:r w:rsidR="00397677">
        <w:t>. As discussed previously, NPD covariances</w:t>
      </w:r>
      <w:r w:rsidR="007F2B9E">
        <w:t xml:space="preserve"> </w:t>
      </w:r>
      <w:r w:rsidR="005204E4">
        <w:t>indicate</w:t>
      </w:r>
      <w:r w:rsidR="000A05DD">
        <w:t xml:space="preserve"> </w:t>
      </w:r>
      <w:r w:rsidR="009501A5">
        <w:t>a</w:t>
      </w:r>
      <w:r w:rsidR="00F729F9">
        <w:t xml:space="preserve"> </w:t>
      </w:r>
      <w:r w:rsidR="007F2B9E">
        <w:t xml:space="preserve">potential </w:t>
      </w:r>
      <w:r w:rsidR="00F729F9">
        <w:t>violation</w:t>
      </w:r>
      <w:r w:rsidR="00823384">
        <w:t xml:space="preserve"> of</w:t>
      </w:r>
      <w:r w:rsidR="00F729F9">
        <w:t xml:space="preserve"> </w:t>
      </w:r>
      <w:r w:rsidR="000A05DD">
        <w:t>the first of the three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A05DD">
        <w:t xml:space="preserve"> method </w:t>
      </w:r>
      <w:r w:rsidR="00F729F9">
        <w:t>assumption</w:t>
      </w:r>
      <w:r w:rsidR="000A05DD">
        <w:t>s.</w:t>
      </w:r>
      <w:r w:rsidR="00A21574">
        <w:t xml:space="preserve">  </w:t>
      </w:r>
      <w:r w:rsidR="00D24F02">
        <w:t xml:space="preserve">NPD </w:t>
      </w:r>
      <w:r w:rsidR="00A21574">
        <w:t xml:space="preserve">covariances </w:t>
      </w:r>
      <w:r w:rsidR="00397677">
        <w:t xml:space="preserve">also </w:t>
      </w:r>
      <w:r w:rsidR="00B14BA0">
        <w:t xml:space="preserve">represent physically </w:t>
      </w:r>
      <w:r w:rsidR="00397677">
        <w:t>im</w:t>
      </w:r>
      <w:r w:rsidR="00B14BA0">
        <w:t xml:space="preserve">plausible uncertainty distributions, and </w:t>
      </w:r>
      <w:r w:rsidR="00A21574">
        <w:t xml:space="preserve">can </w:t>
      </w:r>
      <w:r w:rsidR="002170B6">
        <w:t xml:space="preserve">potentially </w:t>
      </w:r>
      <w:r w:rsidR="00A21574">
        <w:t xml:space="preserve">prevent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21574">
        <w:t xml:space="preserve"> estimation.</w:t>
      </w:r>
      <w:r w:rsidR="00D24F02" w:rsidRPr="00D24F02">
        <w:rPr>
          <w:vertAlign w:val="superscript"/>
        </w:rPr>
        <w:fldChar w:fldCharType="begin"/>
      </w:r>
      <w:r w:rsidR="00D24F02" w:rsidRPr="00D24F02">
        <w:rPr>
          <w:vertAlign w:val="superscript"/>
        </w:rPr>
        <w:instrText xml:space="preserve"> REF _Ref514746819 \r \h </w:instrText>
      </w:r>
      <w:r w:rsidR="00D24F02">
        <w:rPr>
          <w:vertAlign w:val="superscript"/>
        </w:rPr>
        <w:instrText xml:space="preserve"> \* MERGEFORMAT </w:instrText>
      </w:r>
      <w:r w:rsidR="00D24F02" w:rsidRPr="00D24F02">
        <w:rPr>
          <w:vertAlign w:val="superscript"/>
        </w:rPr>
      </w:r>
      <w:r w:rsidR="00D24F02" w:rsidRPr="00D24F02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D24F02" w:rsidRPr="00D24F02">
        <w:rPr>
          <w:vertAlign w:val="superscript"/>
        </w:rPr>
        <w:fldChar w:fldCharType="end"/>
      </w:r>
      <w:r w:rsidR="00D24F02">
        <w:t xml:space="preserve">  </w:t>
      </w:r>
      <w:r w:rsidR="00A21574">
        <w:t>For instance,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21574">
        <w:t xml:space="preserve"> </w:t>
      </w:r>
      <w:r w:rsidR="00B14BA0">
        <w:t>method</w:t>
      </w:r>
      <w:r w:rsidR="008F6BBE">
        <w:t xml:space="preserve"> employs</w:t>
      </w:r>
      <w:r w:rsidR="00A21574">
        <w:t xml:space="preserve"> a marginalized 2</w:t>
      </w:r>
      <w:r w:rsidR="00A21574">
        <w:sym w:font="Symbol" w:char="F0B4"/>
      </w:r>
      <w:r w:rsidR="00A21574">
        <w:t>2 covariance matrix</w:t>
      </w:r>
      <w:r w:rsidR="008F6BBE">
        <w:t xml:space="preserve"> indicating the </w:t>
      </w:r>
      <w:r w:rsidR="00B61BB4">
        <w:t xml:space="preserve">combined </w:t>
      </w:r>
      <w:r w:rsidR="008F6BBE">
        <w:t>relative position uncertainty projected onto the conjunction plane</w:t>
      </w:r>
      <w:r w:rsidR="008F6BBE" w:rsidRPr="002170B6">
        <w:rPr>
          <w:vertAlign w:val="superscript"/>
        </w:rPr>
        <w:fldChar w:fldCharType="begin"/>
      </w:r>
      <w:r w:rsidR="008F6BBE" w:rsidRPr="002170B6">
        <w:rPr>
          <w:vertAlign w:val="superscript"/>
        </w:rPr>
        <w:instrText xml:space="preserve"> REF _Ref514676603 \r \h </w:instrText>
      </w:r>
      <w:r w:rsidR="002170B6">
        <w:rPr>
          <w:vertAlign w:val="superscript"/>
        </w:rPr>
        <w:instrText xml:space="preserve"> \* MERGEFORMAT </w:instrText>
      </w:r>
      <w:r w:rsidR="008F6BBE" w:rsidRPr="002170B6">
        <w:rPr>
          <w:vertAlign w:val="superscript"/>
        </w:rPr>
      </w:r>
      <w:r w:rsidR="008F6BBE" w:rsidRPr="002170B6">
        <w:rPr>
          <w:vertAlign w:val="superscript"/>
        </w:rPr>
        <w:fldChar w:fldCharType="separate"/>
      </w:r>
      <w:r w:rsidR="00620BE7">
        <w:rPr>
          <w:vertAlign w:val="superscript"/>
        </w:rPr>
        <w:t>1</w:t>
      </w:r>
      <w:r w:rsidR="008F6BBE" w:rsidRPr="002170B6">
        <w:rPr>
          <w:vertAlign w:val="superscript"/>
        </w:rPr>
        <w:fldChar w:fldCharType="end"/>
      </w:r>
      <w:r w:rsidR="008F6BBE" w:rsidRPr="002170B6">
        <w:rPr>
          <w:vertAlign w:val="superscript"/>
        </w:rPr>
        <w:t>-</w:t>
      </w:r>
      <w:r w:rsidR="008F6BBE" w:rsidRPr="002170B6">
        <w:rPr>
          <w:vertAlign w:val="superscript"/>
        </w:rPr>
        <w:fldChar w:fldCharType="begin"/>
      </w:r>
      <w:r w:rsidR="008F6BBE" w:rsidRPr="002170B6">
        <w:rPr>
          <w:vertAlign w:val="superscript"/>
        </w:rPr>
        <w:instrText xml:space="preserve"> REF _Ref514676608 \r \h </w:instrText>
      </w:r>
      <w:r w:rsidR="002170B6">
        <w:rPr>
          <w:vertAlign w:val="superscript"/>
        </w:rPr>
        <w:instrText xml:space="preserve"> \* MERGEFORMAT </w:instrText>
      </w:r>
      <w:r w:rsidR="008F6BBE" w:rsidRPr="002170B6">
        <w:rPr>
          <w:vertAlign w:val="superscript"/>
        </w:rPr>
      </w:r>
      <w:r w:rsidR="008F6BBE" w:rsidRPr="002170B6">
        <w:rPr>
          <w:vertAlign w:val="superscript"/>
        </w:rPr>
        <w:fldChar w:fldCharType="separate"/>
      </w:r>
      <w:r w:rsidR="00620BE7">
        <w:rPr>
          <w:vertAlign w:val="superscript"/>
        </w:rPr>
        <w:t>3</w:t>
      </w:r>
      <w:r w:rsidR="008F6BBE" w:rsidRPr="002170B6">
        <w:rPr>
          <w:vertAlign w:val="superscript"/>
        </w:rPr>
        <w:fldChar w:fldCharType="end"/>
      </w:r>
      <w:r w:rsidR="008F6BBE" w:rsidRPr="002170B6">
        <w:rPr>
          <w:vertAlign w:val="superscript"/>
        </w:rPr>
        <w:t>,</w:t>
      </w:r>
      <w:r w:rsidR="008F6BBE" w:rsidRPr="002170B6">
        <w:rPr>
          <w:vertAlign w:val="superscript"/>
        </w:rPr>
        <w:fldChar w:fldCharType="begin"/>
      </w:r>
      <w:r w:rsidR="008F6BBE" w:rsidRPr="002170B6">
        <w:rPr>
          <w:vertAlign w:val="superscript"/>
        </w:rPr>
        <w:instrText xml:space="preserve"> REF _Ref459723484 \r \h </w:instrText>
      </w:r>
      <w:r w:rsidR="002170B6">
        <w:rPr>
          <w:vertAlign w:val="superscript"/>
        </w:rPr>
        <w:instrText xml:space="preserve"> \* MERGEFORMAT </w:instrText>
      </w:r>
      <w:r w:rsidR="008F6BBE" w:rsidRPr="002170B6">
        <w:rPr>
          <w:vertAlign w:val="superscript"/>
        </w:rPr>
      </w:r>
      <w:r w:rsidR="008F6BBE" w:rsidRPr="002170B6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="008F6BBE" w:rsidRPr="002170B6">
        <w:rPr>
          <w:vertAlign w:val="superscript"/>
        </w:rPr>
        <w:fldChar w:fldCharType="end"/>
      </w:r>
      <w:r w:rsidR="00B14BA0">
        <w:t>, and</w:t>
      </w:r>
      <w:r w:rsidR="002170B6">
        <w:t xml:space="preserve"> </w:t>
      </w:r>
      <w:r w:rsidR="00CD53D1">
        <w:t xml:space="preserve">cannot </w:t>
      </w:r>
      <w:r w:rsidR="00F93738">
        <w:t>provide</w:t>
      </w:r>
      <w:r w:rsidR="00CD53D1">
        <w:t xml:space="preserve"> a </w:t>
      </w:r>
      <w:r w:rsidR="00F93738">
        <w:t>physically-plausible</w:t>
      </w:r>
      <w:r w:rsidR="00CD53D1">
        <w:t xml:space="preserve"> estimate if this </w:t>
      </w:r>
      <w:r w:rsidR="002170B6">
        <w:t>2</w:t>
      </w:r>
      <w:r w:rsidR="002170B6">
        <w:sym w:font="Symbol" w:char="F0B4"/>
      </w:r>
      <w:r w:rsidR="002170B6">
        <w:t xml:space="preserve">2 matrix </w:t>
      </w:r>
      <w:r w:rsidR="00CD53D1">
        <w:t>is NPD</w:t>
      </w:r>
      <w:r w:rsidR="002170B6">
        <w:t>.</w:t>
      </w:r>
      <w:r w:rsidR="00B14BA0" w:rsidRPr="002170B6">
        <w:rPr>
          <w:vertAlign w:val="superscript"/>
        </w:rPr>
        <w:fldChar w:fldCharType="begin"/>
      </w:r>
      <w:r w:rsidR="00B14BA0" w:rsidRPr="002170B6">
        <w:rPr>
          <w:vertAlign w:val="superscript"/>
        </w:rPr>
        <w:instrText xml:space="preserve"> REF _Ref514746819 \r \h </w:instrText>
      </w:r>
      <w:r w:rsidR="00B14BA0">
        <w:rPr>
          <w:vertAlign w:val="superscript"/>
        </w:rPr>
        <w:instrText xml:space="preserve"> \* MERGEFORMAT </w:instrText>
      </w:r>
      <w:r w:rsidR="00B14BA0" w:rsidRPr="002170B6">
        <w:rPr>
          <w:vertAlign w:val="superscript"/>
        </w:rPr>
      </w:r>
      <w:r w:rsidR="00B14BA0" w:rsidRPr="002170B6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B14BA0" w:rsidRPr="002170B6">
        <w:rPr>
          <w:vertAlign w:val="superscript"/>
        </w:rPr>
        <w:fldChar w:fldCharType="end"/>
      </w:r>
      <w:r w:rsidR="002170B6">
        <w:t xml:space="preserve">  Fortunately, this occurs</w:t>
      </w:r>
      <w:r w:rsidR="007A4884">
        <w:t xml:space="preserve"> </w:t>
      </w:r>
      <w:r w:rsidR="00B14BA0">
        <w:t>with</w:t>
      </w:r>
      <w:r w:rsidR="007A4884">
        <w:t xml:space="preserve"> a near-zero</w:t>
      </w:r>
      <w:r w:rsidR="002170B6">
        <w:t xml:space="preserve"> </w:t>
      </w:r>
      <w:r w:rsidR="00C06E37">
        <w:t>frequency</w:t>
      </w:r>
      <w:r w:rsidR="002170B6">
        <w:t xml:space="preserve"> </w:t>
      </w:r>
      <w:r w:rsidR="00CD53D1">
        <w:t>for</w:t>
      </w:r>
      <w:r w:rsidR="002170B6">
        <w:t xml:space="preserve"> CARA conjunction</w:t>
      </w:r>
      <w:r w:rsidR="00D82377">
        <w:t>s</w:t>
      </w:r>
      <w:r w:rsidR="002170B6">
        <w:t xml:space="preserve"> (</w:t>
      </w:r>
      <w:r w:rsidR="00F93738">
        <w:t xml:space="preserve">e.g., </w:t>
      </w:r>
      <w:r w:rsidR="00CD53D1">
        <w:t xml:space="preserve">in </w:t>
      </w:r>
      <w:r w:rsidR="00D82377">
        <w:t xml:space="preserve">about </w:t>
      </w:r>
      <w:r w:rsidR="002170B6">
        <w:t>1</w:t>
      </w:r>
      <w:r w:rsidR="00CD53D1">
        <w:t xml:space="preserve"> out of</w:t>
      </w:r>
      <w:r w:rsidR="002170B6">
        <w:t xml:space="preserve"> 800,000 events</w:t>
      </w:r>
      <w:r w:rsidR="00D82377" w:rsidRPr="002170B6">
        <w:rPr>
          <w:vertAlign w:val="superscript"/>
        </w:rPr>
        <w:fldChar w:fldCharType="begin"/>
      </w:r>
      <w:r w:rsidR="00D82377" w:rsidRPr="002170B6">
        <w:rPr>
          <w:vertAlign w:val="superscript"/>
        </w:rPr>
        <w:instrText xml:space="preserve"> REF _Ref514746819 \r \h </w:instrText>
      </w:r>
      <w:r w:rsidR="00D82377">
        <w:rPr>
          <w:vertAlign w:val="superscript"/>
        </w:rPr>
        <w:instrText xml:space="preserve"> \* MERGEFORMAT </w:instrText>
      </w:r>
      <w:r w:rsidR="00D82377" w:rsidRPr="002170B6">
        <w:rPr>
          <w:vertAlign w:val="superscript"/>
        </w:rPr>
      </w:r>
      <w:r w:rsidR="00D82377" w:rsidRPr="002170B6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D82377" w:rsidRPr="002170B6">
        <w:rPr>
          <w:vertAlign w:val="superscript"/>
        </w:rPr>
        <w:fldChar w:fldCharType="end"/>
      </w:r>
      <w:r w:rsidR="002170B6">
        <w:t>)</w:t>
      </w:r>
      <w:r w:rsidR="00C06E37">
        <w:t xml:space="preserve">.  </w:t>
      </w:r>
      <w:r w:rsidR="00B14BA0">
        <w:t xml:space="preserve">No </w:t>
      </w:r>
      <w:r w:rsidR="00D82377">
        <w:t>at-TCA 2</w:t>
      </w:r>
      <w:r w:rsidR="00D82377">
        <w:sym w:font="Symbol" w:char="F0B4"/>
      </w:r>
      <w:r w:rsidR="00D82377">
        <w:t xml:space="preserve">2 </w:t>
      </w:r>
      <w:r w:rsidR="00C06E37">
        <w:t>marginalized</w:t>
      </w:r>
      <w:r w:rsidR="00D82377">
        <w:t xml:space="preserve"> covariances were found to be NPD</w:t>
      </w:r>
      <w:r w:rsidR="00B14BA0">
        <w:t xml:space="preserve"> among the ~44,000 conjunctions analyzed here.</w:t>
      </w:r>
    </w:p>
    <w:p w14:paraId="0B937722" w14:textId="4ED599F4" w:rsidR="00456220" w:rsidRDefault="00FB5B15" w:rsidP="00E541B2">
      <w:r>
        <w:t>T</w:t>
      </w:r>
      <w:r w:rsidR="00D82377">
        <w:t>his</w:t>
      </w:r>
      <w:r w:rsidR="00575950">
        <w:t xml:space="preserve"> </w:t>
      </w:r>
      <w:r w:rsidR="00D82377">
        <w:t xml:space="preserve">analysis </w:t>
      </w:r>
      <w:r w:rsidR="00CD53D1">
        <w:t>seeks to identify</w:t>
      </w:r>
      <w:r w:rsidR="00C06E37">
        <w:t xml:space="preserve"> </w:t>
      </w:r>
      <w:r w:rsidR="00D82377">
        <w:t>differences between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82377">
        <w:t xml:space="preserve"> method and BFMC simulations</w:t>
      </w:r>
      <w:r w:rsidR="00A05A66">
        <w:t>.  BFMC</w:t>
      </w:r>
      <w:r w:rsidR="000107FE">
        <w:t>’s</w:t>
      </w:r>
      <w:r w:rsidR="00A05A66">
        <w:t xml:space="preserve"> CDM-mode </w:t>
      </w:r>
      <w:r w:rsidR="00D82377">
        <w:t>sample</w:t>
      </w:r>
      <w:r w:rsidR="000107FE">
        <w:t>s</w:t>
      </w:r>
      <w:r w:rsidR="00D82377">
        <w:t xml:space="preserve"> </w:t>
      </w:r>
      <w:r w:rsidR="00520E92">
        <w:t>at-</w:t>
      </w:r>
      <w:r w:rsidR="00CD53D1">
        <w:t xml:space="preserve">TCA </w:t>
      </w:r>
      <w:r w:rsidR="00D82377">
        <w:t>equinoctial element state distributions for the primary and secondary satellites, and propagates the</w:t>
      </w:r>
      <w:r w:rsidR="00C06E37">
        <w:t xml:space="preserve"> sampled </w:t>
      </w:r>
      <w:r w:rsidR="00D82377">
        <w:t>s</w:t>
      </w:r>
      <w:r w:rsidR="00C06E37">
        <w:t>tates</w:t>
      </w:r>
      <w:r w:rsidR="00D82377">
        <w:t xml:space="preserve"> to determine </w:t>
      </w:r>
      <w:r w:rsidR="00661397">
        <w:t>how frequently</w:t>
      </w:r>
      <w:r w:rsidR="00D82377">
        <w:t xml:space="preserve"> collisions occur.</w:t>
      </w:r>
      <w:r w:rsidR="00397677" w:rsidRPr="00397677">
        <w:rPr>
          <w:vertAlign w:val="superscript"/>
        </w:rPr>
        <w:fldChar w:fldCharType="begin"/>
      </w:r>
      <w:r w:rsidR="00397677" w:rsidRPr="00397677">
        <w:rPr>
          <w:vertAlign w:val="superscript"/>
        </w:rPr>
        <w:instrText xml:space="preserve"> REF _Ref6464558 \r \h </w:instrText>
      </w:r>
      <w:r w:rsidR="00397677">
        <w:rPr>
          <w:vertAlign w:val="superscript"/>
        </w:rPr>
        <w:instrText xml:space="preserve"> \* MERGEFORMAT </w:instrText>
      </w:r>
      <w:r w:rsidR="00397677" w:rsidRPr="00397677">
        <w:rPr>
          <w:vertAlign w:val="superscript"/>
        </w:rPr>
      </w:r>
      <w:r w:rsidR="00397677" w:rsidRPr="00397677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397677" w:rsidRPr="00397677">
        <w:rPr>
          <w:vertAlign w:val="superscript"/>
        </w:rPr>
        <w:fldChar w:fldCharType="end"/>
      </w:r>
      <w:r w:rsidR="00D82377">
        <w:t xml:space="preserve">  </w:t>
      </w:r>
      <w:r w:rsidR="00E541B2">
        <w:t>Unfortunately, t</w:t>
      </w:r>
      <w:r w:rsidR="00D82377">
        <w:t>his</w:t>
      </w:r>
      <w:r w:rsidR="00CD53D1">
        <w:t xml:space="preserve"> </w:t>
      </w:r>
      <w:r w:rsidR="00520E92">
        <w:t xml:space="preserve">Monte Carlo </w:t>
      </w:r>
      <w:r w:rsidR="00CD53D1">
        <w:t xml:space="preserve">sampling process cannot employ NPD equinoctial state </w:t>
      </w:r>
      <w:r w:rsidR="00222784">
        <w:t xml:space="preserve">6x6 </w:t>
      </w:r>
      <w:r w:rsidR="00CD53D1">
        <w:t>covariances</w:t>
      </w:r>
      <w:r w:rsidR="00526650">
        <w:t>, which occur</w:t>
      </w:r>
      <w:r w:rsidR="00C06E37">
        <w:t xml:space="preserve"> with non-zero frequency</w:t>
      </w:r>
      <w:r w:rsidR="00526650">
        <w:t xml:space="preserve"> in CARA</w:t>
      </w:r>
      <w:r w:rsidR="00C06E37">
        <w:t xml:space="preserve"> processing.</w:t>
      </w:r>
      <w:r w:rsidR="00CD53D1" w:rsidRPr="00CD53D1">
        <w:rPr>
          <w:vertAlign w:val="superscript"/>
        </w:rPr>
        <w:fldChar w:fldCharType="begin"/>
      </w:r>
      <w:r w:rsidR="00CD53D1" w:rsidRPr="00CD53D1">
        <w:rPr>
          <w:vertAlign w:val="superscript"/>
        </w:rPr>
        <w:instrText xml:space="preserve"> REF _Ref514746819 \r \h </w:instrText>
      </w:r>
      <w:r w:rsidR="00CD53D1">
        <w:rPr>
          <w:vertAlign w:val="superscript"/>
        </w:rPr>
        <w:instrText xml:space="preserve"> \* MERGEFORMAT </w:instrText>
      </w:r>
      <w:r w:rsidR="00CD53D1" w:rsidRPr="00CD53D1">
        <w:rPr>
          <w:vertAlign w:val="superscript"/>
        </w:rPr>
      </w:r>
      <w:r w:rsidR="00CD53D1" w:rsidRPr="00CD53D1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CD53D1" w:rsidRPr="00CD53D1">
        <w:rPr>
          <w:vertAlign w:val="superscript"/>
        </w:rPr>
        <w:fldChar w:fldCharType="end"/>
      </w:r>
      <w:r w:rsidR="00CD53D1">
        <w:t xml:space="preserve">  </w:t>
      </w:r>
      <w:r w:rsidR="00661397">
        <w:t xml:space="preserve"> During BFMC CDM-mode processing, i</w:t>
      </w:r>
      <w:r w:rsidR="00D24F02">
        <w:t>f</w:t>
      </w:r>
      <w:r w:rsidR="00C06E37">
        <w:t xml:space="preserve"> </w:t>
      </w:r>
      <w:r w:rsidR="00D24F02">
        <w:t xml:space="preserve">one or both of the </w:t>
      </w:r>
      <w:r w:rsidR="00405ECB">
        <w:t>at-</w:t>
      </w:r>
      <w:r w:rsidR="00D24F02">
        <w:t xml:space="preserve">TCA primary or secondary </w:t>
      </w:r>
      <w:r w:rsidR="00C06E37">
        <w:t>equinoctial</w:t>
      </w:r>
      <w:r w:rsidR="00D24F02">
        <w:t xml:space="preserve"> state covariances </w:t>
      </w:r>
      <w:r w:rsidR="00222784">
        <w:lastRenderedPageBreak/>
        <w:t>is</w:t>
      </w:r>
      <w:r w:rsidR="00D24F02">
        <w:t xml:space="preserve"> found to be NPD, they </w:t>
      </w:r>
      <w:r w:rsidR="00C06E37">
        <w:t>are</w:t>
      </w:r>
      <w:r w:rsidR="00D24F02">
        <w:t xml:space="preserve"> remediated</w:t>
      </w:r>
      <w:r w:rsidR="00E72AB2">
        <w:t xml:space="preserve"> </w:t>
      </w:r>
      <w:r w:rsidR="00D24F02">
        <w:t xml:space="preserve">using </w:t>
      </w:r>
      <w:r w:rsidR="000107FE">
        <w:t>a</w:t>
      </w:r>
      <w:r w:rsidR="00222784">
        <w:t>n</w:t>
      </w:r>
      <w:r w:rsidR="000107FE">
        <w:t xml:space="preserve"> </w:t>
      </w:r>
      <w:r w:rsidR="00D24F02">
        <w:t>eigenvalue clipping method</w:t>
      </w:r>
      <w:r>
        <w:t>.</w:t>
      </w:r>
      <w:r w:rsidR="00661397" w:rsidRPr="00661397">
        <w:rPr>
          <w:vertAlign w:val="superscript"/>
        </w:rPr>
        <w:fldChar w:fldCharType="begin"/>
      </w:r>
      <w:r w:rsidR="00661397" w:rsidRPr="00661397">
        <w:rPr>
          <w:vertAlign w:val="superscript"/>
        </w:rPr>
        <w:instrText xml:space="preserve"> REF _Ref6464558 \r \h </w:instrText>
      </w:r>
      <w:r w:rsidR="00661397">
        <w:rPr>
          <w:vertAlign w:val="superscript"/>
        </w:rPr>
        <w:instrText xml:space="preserve"> \* MERGEFORMAT </w:instrText>
      </w:r>
      <w:r w:rsidR="00661397" w:rsidRPr="00661397">
        <w:rPr>
          <w:vertAlign w:val="superscript"/>
        </w:rPr>
      </w:r>
      <w:r w:rsidR="00661397" w:rsidRPr="00661397">
        <w:rPr>
          <w:vertAlign w:val="superscript"/>
        </w:rPr>
        <w:fldChar w:fldCharType="separate"/>
      </w:r>
      <w:r w:rsidR="00620BE7">
        <w:rPr>
          <w:vertAlign w:val="superscript"/>
        </w:rPr>
        <w:t>4</w:t>
      </w:r>
      <w:r w:rsidR="00661397" w:rsidRPr="00661397">
        <w:rPr>
          <w:vertAlign w:val="superscript"/>
        </w:rPr>
        <w:fldChar w:fldCharType="end"/>
      </w:r>
      <w:r w:rsidR="00661397" w:rsidRPr="00661397">
        <w:rPr>
          <w:vertAlign w:val="superscript"/>
        </w:rPr>
        <w:t>,</w:t>
      </w:r>
      <w:r w:rsidR="00D24F02" w:rsidRPr="00661397">
        <w:rPr>
          <w:vertAlign w:val="superscript"/>
        </w:rPr>
        <w:fldChar w:fldCharType="begin"/>
      </w:r>
      <w:r w:rsidR="00D24F02" w:rsidRPr="00661397">
        <w:rPr>
          <w:vertAlign w:val="superscript"/>
        </w:rPr>
        <w:instrText xml:space="preserve"> REF _Ref514746819 \r \h </w:instrText>
      </w:r>
      <w:r w:rsidR="00661397">
        <w:rPr>
          <w:vertAlign w:val="superscript"/>
        </w:rPr>
        <w:instrText xml:space="preserve"> \* MERGEFORMAT </w:instrText>
      </w:r>
      <w:r w:rsidR="00D24F02" w:rsidRPr="00661397">
        <w:rPr>
          <w:vertAlign w:val="superscript"/>
        </w:rPr>
      </w:r>
      <w:r w:rsidR="00D24F02" w:rsidRPr="00661397">
        <w:rPr>
          <w:vertAlign w:val="superscript"/>
        </w:rPr>
        <w:fldChar w:fldCharType="separate"/>
      </w:r>
      <w:r w:rsidR="00620BE7">
        <w:rPr>
          <w:vertAlign w:val="superscript"/>
        </w:rPr>
        <w:t>8</w:t>
      </w:r>
      <w:r w:rsidR="00D24F02" w:rsidRPr="00661397">
        <w:rPr>
          <w:vertAlign w:val="superscript"/>
        </w:rPr>
        <w:fldChar w:fldCharType="end"/>
      </w:r>
      <w:r w:rsidR="00661397">
        <w:t xml:space="preserve">  T</w:t>
      </w:r>
      <w:r w:rsidR="000107FE">
        <w:t>o check if th</w:t>
      </w:r>
      <w:r w:rsidR="002F1812">
        <w:t>is</w:t>
      </w:r>
      <w:r w:rsidR="000107FE">
        <w:t xml:space="preserve"> affect</w:t>
      </w:r>
      <w:r w:rsidR="002F1812">
        <w:t>s</w:t>
      </w:r>
      <w:r w:rsidR="000107FE">
        <w:t xml:space="preserve">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07FE">
        <w:t xml:space="preserve"> vs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107FE">
        <w:t xml:space="preserve"> </w:t>
      </w:r>
      <w:r w:rsidR="002F1812">
        <w:t>comparison</w:t>
      </w:r>
      <w:r w:rsidR="000107FE">
        <w:t>, th</w:t>
      </w:r>
      <w:r w:rsidR="00661397">
        <w:t xml:space="preserve">ese remediated equinoctial </w:t>
      </w:r>
      <w:r w:rsidR="002F1812">
        <w:t xml:space="preserve">state </w:t>
      </w:r>
      <w:r w:rsidR="00661397">
        <w:t>covariances can be converted to cartesian state covariances</w:t>
      </w:r>
      <w:r w:rsidR="002F1812">
        <w:t>,</w:t>
      </w:r>
      <w:r w:rsidR="00E541B2">
        <w:t xml:space="preserve"> and </w:t>
      </w:r>
      <w:r w:rsidR="002F1812">
        <w:t xml:space="preserve">then </w:t>
      </w:r>
      <w:r w:rsidR="00E541B2">
        <w:t>used as an alternate input</w:t>
      </w:r>
      <w:r>
        <w:t>s</w:t>
      </w:r>
      <w:r w:rsidR="00E541B2">
        <w:t xml:space="preserve"> for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E541B2">
        <w:t xml:space="preserve"> method.</w:t>
      </w:r>
      <w:r w:rsidR="002F1812">
        <w:t xml:space="preserve">  </w:t>
      </w:r>
      <w:r w:rsidR="000107FE">
        <w:t>Specifically, i</w:t>
      </w:r>
      <w:r w:rsidR="00E541B2">
        <w:t>n</w:t>
      </w:r>
      <w:r w:rsidR="00BF5503">
        <w:t xml:space="preserve"> such cases, </w:t>
      </w:r>
      <w:r w:rsidR="000107FE">
        <w:t xml:space="preserve">this analysis generates </w:t>
      </w:r>
      <w:r w:rsidR="00456220">
        <w:t>two</w:t>
      </w:r>
      <w:r w:rsidR="00F844F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BF5503">
        <w:t xml:space="preserve"> curves</w:t>
      </w:r>
      <w:r w:rsidR="000107FE">
        <w:t xml:space="preserve"> for the unremediated and remediated covariances, and modifies t</w:t>
      </w:r>
      <w:r w:rsidR="0050157D">
        <w:t>he</w:t>
      </w:r>
      <w:r w:rsidR="00456220">
        <w:t xml:space="preserve"> extrema from eq. (3) to include </w:t>
      </w:r>
      <w:r w:rsidR="000107FE">
        <w:t xml:space="preserve">variations from </w:t>
      </w:r>
      <w:r w:rsidR="00456220">
        <w:t>both</w:t>
      </w:r>
      <w:r w:rsidR="000107FE">
        <w:t xml:space="preserve"> as follows</w:t>
      </w:r>
    </w:p>
    <w:p w14:paraId="66DE35E8" w14:textId="483BA5C7" w:rsidR="00456220" w:rsidRDefault="002B2625" w:rsidP="00456220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{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|t|≤∆t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[P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u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],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|t|≤∆t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[P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]}</m:t>
                </m:r>
              </m:e>
            </m:func>
          </m:e>
        </m:func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 xml:space="preserve">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{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|t|≤∆t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[P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u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],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|t|≤∆t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lim>
                </m:limLow>
              </m:fNam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[P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]}</m:t>
                </m:r>
              </m:e>
            </m:func>
          </m:e>
        </m:func>
      </m:oMath>
      <w:r w:rsidR="00316B34">
        <w:t xml:space="preserve"> </w:t>
      </w:r>
      <w:r w:rsidR="00456220">
        <w:t xml:space="preserve"> (6)</w:t>
      </w:r>
    </w:p>
    <w:p w14:paraId="7BFF406B" w14:textId="2167D269" w:rsidR="00F10C95" w:rsidRPr="00E541B2" w:rsidRDefault="000107FE" w:rsidP="00881B73"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represents offset-from-TCA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estimates for the unremediated covariances,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the remediated covariances.  </w:t>
      </w:r>
      <w:r w:rsidR="00AF49FE">
        <w:t>With th</w:t>
      </w:r>
      <w:r w:rsidR="0050157D">
        <w:t>ese</w:t>
      </w:r>
      <w:r w:rsidR="00AF49FE">
        <w:t xml:space="preserve"> modification</w:t>
      </w:r>
      <w:r w:rsidR="0050157D">
        <w:t>s</w:t>
      </w:r>
      <w:r w:rsidR="00AF49FE">
        <w:t>,</w:t>
      </w:r>
      <w:r w:rsidR="00D251F8">
        <w:t xml:space="preserve"> </w:t>
      </w:r>
      <w:r>
        <w:t xml:space="preserve">a </w:t>
      </w:r>
      <w:r w:rsidR="00D251F8">
        <w:t xml:space="preserve">variation metric </w:t>
      </w:r>
      <m:oMath>
        <m:r>
          <w:rPr>
            <w:rFonts w:ascii="Cambria Math" w:hAnsi="Cambria Math"/>
          </w:rPr>
          <m:t>V</m:t>
        </m:r>
      </m:oMath>
      <w:r w:rsidR="00D251F8">
        <w:t xml:space="preserve"> </w:t>
      </w:r>
      <w:r w:rsidR="00823384">
        <w:t xml:space="preserve">that </w:t>
      </w:r>
      <w:r w:rsidR="00D251F8">
        <w:t>includ</w:t>
      </w:r>
      <w:r w:rsidR="00823384">
        <w:t>es</w:t>
      </w:r>
      <w:r w:rsidR="00D251F8">
        <w:t xml:space="preserve"> NPD </w:t>
      </w:r>
      <w:r w:rsidR="00AF49FE">
        <w:t xml:space="preserve">effects </w:t>
      </w:r>
      <w:r w:rsidR="00D251F8">
        <w:t xml:space="preserve">can be calculated </w:t>
      </w:r>
      <w:r w:rsidR="00AF49FE">
        <w:t>using eqs. (4) and (5).</w:t>
      </w:r>
      <w:r w:rsidR="00A80C6F">
        <w:t xml:space="preserve">  </w:t>
      </w:r>
      <w:r w:rsidR="00F844F9" w:rsidRPr="00E541B2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 w:rsidR="00A80C6F" w:rsidRPr="00E541B2">
        <w:t xml:space="preserve"> value used in eq. (5)</w:t>
      </w:r>
      <w:r w:rsidR="00A4041B">
        <w:t xml:space="preserve"> for this analysis</w:t>
      </w:r>
      <w:r w:rsidR="00A80C6F" w:rsidRPr="00E541B2">
        <w:t>, however, still represents the at-TCA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80C6F" w:rsidRPr="00E541B2">
        <w:t xml:space="preserve"> estimated </w:t>
      </w:r>
      <w:r w:rsidR="00823384" w:rsidRPr="00E541B2">
        <w:t>with</w:t>
      </w:r>
      <w:r w:rsidR="00A80C6F" w:rsidRPr="00E541B2">
        <w:t xml:space="preserve"> the </w:t>
      </w:r>
      <w:r w:rsidR="00E541B2">
        <w:t xml:space="preserve">raw, </w:t>
      </w:r>
      <w:r w:rsidR="00A80C6F" w:rsidRPr="00E541B2">
        <w:t>unremediated</w:t>
      </w:r>
      <w:r>
        <w:t xml:space="preserve"> conjunction</w:t>
      </w:r>
      <w:r w:rsidR="00A80C6F" w:rsidRPr="00E541B2">
        <w:t xml:space="preserve"> covariance</w:t>
      </w:r>
      <w:r w:rsidR="00823384" w:rsidRPr="00E541B2">
        <w:t xml:space="preserve"> matrices</w:t>
      </w:r>
      <w:r w:rsidR="00A80C6F" w:rsidRPr="00E541B2">
        <w:t>.</w:t>
      </w:r>
      <w:r w:rsidR="00A4041B">
        <w:t xml:space="preserve"> </w:t>
      </w:r>
    </w:p>
    <w:p w14:paraId="54693F97" w14:textId="77777777" w:rsidR="005D6C96" w:rsidRDefault="005D6C96" w:rsidP="005D6C96">
      <w:pPr>
        <w:pStyle w:val="Sub-Section"/>
      </w:pPr>
      <w:r>
        <w:t xml:space="preserve">Using Offset-from-TCA </w:t>
      </w: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Variations as an Indicator of Underestimation Inaccuracies</w:t>
      </w:r>
    </w:p>
    <w:p w14:paraId="64B954DA" w14:textId="69BA1D9F" w:rsidR="005D6C96" w:rsidRDefault="005D6C96" w:rsidP="005D6C96">
      <w:r>
        <w:t xml:space="preserve">Figure 3 shows the </w:t>
      </w:r>
      <w:r w:rsidRPr="00FD4945">
        <w:t xml:space="preserve">distribution of </w:t>
      </w:r>
      <w:r w:rsidRPr="00E50200">
        <w:t>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50200">
        <w:t>/2D-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D4945">
        <w:t xml:space="preserve"> ratios as a function of the offset-from-TCA variation metric</w:t>
      </w:r>
      <w:r>
        <w:t xml:space="preserve"> </w:t>
      </w:r>
      <w:r w:rsidR="00316B34">
        <w:t xml:space="preserve">calculated as described above </w:t>
      </w:r>
      <w:r>
        <w:t>for the representative set of conjunctions analyzed here.  Specifically, the top panel shows how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c,0</m:t>
            </m:r>
          </m:sub>
        </m:sSub>
      </m:oMath>
      <w:r>
        <w:t xml:space="preserve"> ratios (vertical axis) vary with </w:t>
      </w:r>
      <m:oMath>
        <m:r>
          <w:rPr>
            <w:rFonts w:ascii="Cambria Math" w:hAnsi="Cambria Math"/>
          </w:rPr>
          <m:t>V</m:t>
        </m:r>
      </m:oMath>
      <w:r>
        <w:t xml:space="preserve"> (horizontal axis).  Again,</w:t>
      </w:r>
      <w:r w:rsidR="006078F5">
        <w:t xml:space="preserve"> the 22</w:t>
      </w:r>
      <w:r>
        <w:t xml:space="preserve"> </w:t>
      </w:r>
      <w:r w:rsidR="006078F5">
        <w:t xml:space="preserve">colored diamonds show </w:t>
      </w:r>
      <w:r w:rsidR="006078F5" w:rsidRPr="00E50200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078F5" w:rsidRPr="00FD4945">
        <w:t xml:space="preserve"> </w:t>
      </w:r>
      <w:r w:rsidR="006078F5">
        <w:t xml:space="preserve">underestimations exceeding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 w:rsidR="006078F5">
        <w:t xml:space="preserve"> (with the same color coding used in Figure 2), and the </w:t>
      </w:r>
      <w:r>
        <w:t xml:space="preserve">black </w:t>
      </w:r>
      <w:r w:rsidR="00034438" w:rsidRPr="00034438">
        <w:t>cross (</w:t>
      </w:r>
      <w:r w:rsidR="00034438" w:rsidRPr="00034438">
        <w:rPr>
          <w:b/>
        </w:rPr>
        <w:t>+</w:t>
      </w:r>
      <w:r w:rsidR="00034438" w:rsidRPr="00034438">
        <w:t>)</w:t>
      </w:r>
      <w:r w:rsidRPr="00034438">
        <w:t xml:space="preserve"> </w:t>
      </w:r>
      <w:r>
        <w:t xml:space="preserve">symbols </w:t>
      </w:r>
      <w:r w:rsidR="006078F5">
        <w:t>show the re</w:t>
      </w:r>
      <w:r w:rsidR="00FB5B15">
        <w:t>main</w:t>
      </w:r>
      <w:r w:rsidR="009E5890">
        <w:t>ing</w:t>
      </w:r>
      <w:r w:rsidR="006078F5">
        <w:t xml:space="preserve"> events </w:t>
      </w:r>
      <w:r>
        <w:t>(plotted with no error bars here for clarity).  The bottom panel of Figure 3 shows cumulative distribution functions (CDFs) for these sets (also using the same color coding).</w:t>
      </w:r>
    </w:p>
    <w:p w14:paraId="3E203D3F" w14:textId="2DD89584" w:rsidR="005D6C96" w:rsidRDefault="005D6C96" w:rsidP="005D6C96">
      <w:r>
        <w:t xml:space="preserve">The CDF curve plotted in black in Figure 3 indicates that most of the analyzed conjunctions have relatively small variation metrics: about half (53.5%) have </w:t>
      </w:r>
      <m:oMath>
        <m:r>
          <w:rPr>
            <w:rFonts w:ascii="Cambria Math" w:hAnsi="Cambria Math"/>
          </w:rPr>
          <m:t>V≤0.1</m:t>
        </m:r>
      </m:oMath>
      <w:r>
        <w:t xml:space="preserve"> and two thirds (66.3%) have </w:t>
      </w:r>
      <m:oMath>
        <m:r>
          <w:rPr>
            <w:rFonts w:ascii="Cambria Math" w:hAnsi="Cambria Math"/>
          </w:rPr>
          <m:t>V≤0.2</m:t>
        </m:r>
      </m:oMath>
      <w:r>
        <w:t xml:space="preserve">.  However, all 22 conjunctions with </w:t>
      </w:r>
      <w:r w:rsidRPr="00E50200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D4945">
        <w:t xml:space="preserve"> </w:t>
      </w:r>
      <w:r>
        <w:t xml:space="preserve">underestimation factors exceeding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>
        <w:t xml:space="preserve">  show variation metrics with </w:t>
      </w:r>
      <m:oMath>
        <m:r>
          <w:rPr>
            <w:rFonts w:ascii="Cambria Math" w:hAnsi="Cambria Math"/>
          </w:rPr>
          <m:t>V&gt;0.8</m:t>
        </m:r>
      </m:oMath>
      <w:r>
        <w:t xml:space="preserve">.  Notably, about 9% (or ~3,900) of the </w:t>
      </w:r>
      <w:r w:rsidR="009E5890">
        <w:t xml:space="preserve">remaining </w:t>
      </w:r>
      <w:r>
        <w:t xml:space="preserve">events also have variation metrics above this boundary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=0.8</m:t>
        </m:r>
      </m:oMath>
      <w:r>
        <w:t xml:space="preserve">.  This means that the variation metric </w:t>
      </w:r>
      <m:oMath>
        <m:r>
          <w:rPr>
            <w:rFonts w:ascii="Cambria Math" w:hAnsi="Cambria Math"/>
          </w:rPr>
          <m:t>V</m:t>
        </m:r>
      </m:oMath>
      <w:r>
        <w:t xml:space="preserve"> does not provide a perfect means of predicting such 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underestimations, but can be used as an indicator of potential underestimations.  Assuming that the</w:t>
      </w:r>
      <w:r w:rsidR="000A10E6">
        <w:t xml:space="preserve"> analyzed</w:t>
      </w:r>
      <w:r>
        <w:t xml:space="preserve"> conjunction data set is representative of future </w:t>
      </w:r>
      <w:r w:rsidR="006078F5">
        <w:t>events</w:t>
      </w:r>
      <w:r>
        <w:t xml:space="preserve">, this </w:t>
      </w:r>
      <w:r w:rsidR="000A10E6">
        <w:t>study</w:t>
      </w:r>
      <w:r>
        <w:t xml:space="preserve"> indicates that if a future </w:t>
      </w:r>
      <w:r w:rsidR="006078F5">
        <w:t>conjunction</w:t>
      </w:r>
      <w:r>
        <w:t xml:space="preserve"> is found to have a variation metric exceeding a boundary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=0.8</m:t>
        </m:r>
      </m:oMath>
      <w:r>
        <w:t>, then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could potentially underestimate the actual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>
        <w:t xml:space="preserve"> or more. To know definitively, a BFMC-fidelity method can then be used to estimate the actual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A10E6">
        <w:t xml:space="preserve">, </w:t>
      </w:r>
      <w:r w:rsidR="00E01C81">
        <w:t xml:space="preserve">which </w:t>
      </w:r>
      <w:r w:rsidR="00121F33">
        <w:t>usually</w:t>
      </w:r>
      <w:r w:rsidR="00E01C81">
        <w:t xml:space="preserve"> comes </w:t>
      </w:r>
      <w:r w:rsidR="00E8555F">
        <w:t>at</w:t>
      </w:r>
      <w:r w:rsidR="00E01C81">
        <w:t xml:space="preserve"> </w:t>
      </w:r>
      <w:r w:rsidR="000A10E6">
        <w:t xml:space="preserve">the cost of considerably </w:t>
      </w:r>
      <w:r w:rsidR="00E01C81">
        <w:t>increased</w:t>
      </w:r>
      <w:r w:rsidR="000A10E6">
        <w:t xml:space="preserve"> computation.</w:t>
      </w:r>
      <w:r>
        <w:t xml:space="preserve">  </w:t>
      </w:r>
    </w:p>
    <w:p w14:paraId="2CCB14D9" w14:textId="77777777" w:rsidR="0097163E" w:rsidRDefault="0097163E" w:rsidP="0097163E">
      <w:pPr>
        <w:jc w:val="center"/>
      </w:pPr>
      <w:r w:rsidRPr="00AE3B9B">
        <w:rPr>
          <w:noProof/>
        </w:rPr>
        <w:lastRenderedPageBreak/>
        <w:drawing>
          <wp:inline distT="0" distB="0" distL="0" distR="0" wp14:anchorId="37DE5F6C" wp14:editId="68FF7C30">
            <wp:extent cx="3749040" cy="4158118"/>
            <wp:effectExtent l="0" t="0" r="381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32D1D78-296D-408C-B116-1EA024076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32D1D78-296D-408C-B116-1EA024076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20739" r="7285" b="2458"/>
                    <a:stretch/>
                  </pic:blipFill>
                  <pic:spPr bwMode="auto">
                    <a:xfrm>
                      <a:off x="0" y="0"/>
                      <a:ext cx="3749040" cy="4158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B8873" w14:textId="49F371ED" w:rsidR="0097163E" w:rsidRDefault="0097163E" w:rsidP="006E6FBD">
      <w:pPr>
        <w:pStyle w:val="Caption"/>
        <w:jc w:val="center"/>
      </w:pPr>
      <w:r w:rsidRPr="00FD4945">
        <w:t>Figure 3. The distribution of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D4945">
        <w:t>/2D-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D4945">
        <w:t xml:space="preserve"> ratios </w:t>
      </w:r>
      <w:r>
        <w:t xml:space="preserve">plotted </w:t>
      </w:r>
      <w:r w:rsidRPr="00FD4945">
        <w:t xml:space="preserve">as a function of the variation metric 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(top panel) with corresponding CDFs (bottom panel)</w:t>
      </w:r>
      <w:r w:rsidRPr="00FD4945">
        <w:t>.  Colored diamonds show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D4945">
        <w:t xml:space="preserve"> method underestimation</w:t>
      </w:r>
      <w:r w:rsidR="00C412BD">
        <w:t>s</w:t>
      </w:r>
      <w:r w:rsidR="00615670">
        <w:t xml:space="preserve"> that exceed a factor of 2.5</w:t>
      </w:r>
      <w:r w:rsidRPr="00FD4945">
        <w:t xml:space="preserve">, which occur only for </w:t>
      </w:r>
      <m:oMath>
        <m:r>
          <m:rPr>
            <m:sty m:val="bi"/>
          </m:rPr>
          <w:rPr>
            <w:rFonts w:ascii="Cambria Math" w:hAnsi="Cambria Math"/>
          </w:rPr>
          <m:t>V&gt;0.8</m:t>
        </m:r>
      </m:oMath>
      <w:r>
        <w:t>.</w:t>
      </w:r>
    </w:p>
    <w:p w14:paraId="2DA638E0" w14:textId="2FC09565" w:rsidR="008E72AF" w:rsidRDefault="008E72AF" w:rsidP="008E72AF">
      <w:pPr>
        <w:pStyle w:val="Sub-Section"/>
      </w:pPr>
      <w:r>
        <w:t xml:space="preserve">A Diagnostic Test to Detect Potential </w:t>
      </w: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Underestimation Inaccuracies</w:t>
      </w:r>
    </w:p>
    <w:p w14:paraId="1ED71381" w14:textId="3CFA9D08" w:rsidR="00CB701C" w:rsidRDefault="00D614F7" w:rsidP="00C03AEC">
      <w:r>
        <w:t>The</w:t>
      </w:r>
      <w:r w:rsidR="008E72AF">
        <w:t xml:space="preserve"> </w:t>
      </w:r>
      <w:r w:rsidR="00682ACA">
        <w:t xml:space="preserve">test </w:t>
      </w:r>
      <w:r w:rsidR="009E40DA">
        <w:t>procedure</w:t>
      </w:r>
      <w:r w:rsidR="008E72AF">
        <w:t xml:space="preserve"> </w:t>
      </w:r>
      <w:r>
        <w:t xml:space="preserve">developed in this study </w:t>
      </w:r>
      <w:r w:rsidR="009E40DA">
        <w:t>to diagnose potential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E40DA">
        <w:t xml:space="preserve"> method underestimations and mitigate associated risk</w:t>
      </w:r>
      <w:r w:rsidR="00E5706E">
        <w:t>s</w:t>
      </w:r>
      <w:r w:rsidR="009E40DA">
        <w:t xml:space="preserve"> </w:t>
      </w:r>
      <w:r w:rsidR="008E72AF">
        <w:t xml:space="preserve">can be </w:t>
      </w:r>
      <w:r>
        <w:t>summarized</w:t>
      </w:r>
      <w:r w:rsidR="008E72AF">
        <w:t xml:space="preserve"> as follows: if the variation metric </w:t>
      </w:r>
      <w:r w:rsidR="004F072A">
        <w:t xml:space="preserve">for an individual conjunction </w:t>
      </w:r>
      <w:r w:rsidR="008E72AF">
        <w:t xml:space="preserve">exceeds </w:t>
      </w:r>
      <w:r w:rsidR="004F072A">
        <w:t>a</w:t>
      </w:r>
      <w:r w:rsidR="008E72AF">
        <w:t xml:space="preserve"> boundary value</w:t>
      </w:r>
      <w:r w:rsidR="004F072A">
        <w:t xml:space="preserve"> (i.e., </w:t>
      </w:r>
      <m:oMath>
        <m:r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F072A">
        <w:t>)</w:t>
      </w:r>
      <w:r w:rsidR="00765ECF">
        <w:t>,</w:t>
      </w:r>
      <w:r w:rsidR="008E72AF">
        <w:t xml:space="preserve"> then </w:t>
      </w:r>
      <w:r w:rsidR="004F072A">
        <w:t>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F072A">
        <w:t xml:space="preserve"> method might underestimate the actual collision probability 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F072A">
        <w:t xml:space="preserve"> or more</w:t>
      </w:r>
      <w:r w:rsidR="009E40DA">
        <w:t xml:space="preserve">, and a </w:t>
      </w:r>
      <w:r w:rsidR="00180961">
        <w:t>high-fidelity</w:t>
      </w:r>
      <w:r w:rsidR="009E40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E40DA">
        <w:t xml:space="preserve"> estimate should be computed</w:t>
      </w:r>
      <w:r w:rsidR="004F072A">
        <w:t>.</w:t>
      </w:r>
      <w:r w:rsidR="00F01D85">
        <w:t xml:space="preserve">  The effectiveness of this diagnostic test can be </w:t>
      </w:r>
      <w:r w:rsidR="00A77A2C">
        <w:t>characterized by</w:t>
      </w:r>
      <w:r w:rsidR="00F01D85">
        <w:t xml:space="preserve"> </w:t>
      </w:r>
      <w:r w:rsidR="00A77A2C">
        <w:t>how frequently it produces false</w:t>
      </w:r>
      <w:r w:rsidR="00682ACA">
        <w:t xml:space="preserve"> </w:t>
      </w:r>
      <w:r w:rsidR="00A77A2C">
        <w:t>alarms and missed</w:t>
      </w:r>
      <w:r w:rsidR="00682ACA">
        <w:t xml:space="preserve"> </w:t>
      </w:r>
      <w:r w:rsidR="00A77A2C">
        <w:t xml:space="preserve">detections.  False alarms occur for conjunctions </w:t>
      </w:r>
      <w:r w:rsidR="00456CD0">
        <w:t>with</w:t>
      </w:r>
      <w:r w:rsidR="00A77A2C">
        <w:t xml:space="preserve"> </w:t>
      </w:r>
      <m:oMath>
        <m:r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77A2C">
        <w:t xml:space="preserve"> </w:t>
      </w:r>
      <w:r w:rsidR="00456CD0">
        <w:t xml:space="preserve">for which </w:t>
      </w:r>
      <w:r>
        <w:t>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does not underestimate the</w:t>
      </w:r>
      <w:r w:rsidR="00A77A2C">
        <w:t xml:space="preserve"> </w:t>
      </w:r>
      <w:r>
        <w:t xml:space="preserve">actual collision probability 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or more.  Missed detections occur </w:t>
      </w:r>
      <w:r w:rsidR="00832301">
        <w:t xml:space="preserve">for conjunctions </w:t>
      </w:r>
      <w:r w:rsidR="00456CD0">
        <w:t>with</w:t>
      </w:r>
      <w:r w:rsidR="00832301">
        <w:t xml:space="preserve"> </w:t>
      </w:r>
      <m:oMath>
        <m:r>
          <w:rPr>
            <w:rFonts w:ascii="Cambria Math" w:hAnsi="Cambria Math"/>
          </w:rPr>
          <m:t>V≤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32301">
        <w:t xml:space="preserve"> </w:t>
      </w:r>
      <w:r w:rsidR="00456CD0">
        <w:t>for which</w:t>
      </w:r>
      <w:r w:rsidR="00832301">
        <w:t xml:space="preserve">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32301">
        <w:t xml:space="preserve"> does underestimate the actual probability 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32301">
        <w:t xml:space="preserve"> or more.  Missed detections represent the more serious type of </w:t>
      </w:r>
      <w:r w:rsidR="00456CD0">
        <w:t xml:space="preserve">diagnostic </w:t>
      </w:r>
      <w:r w:rsidR="00832301">
        <w:t>error, because they can lead to</w:t>
      </w:r>
      <w:r w:rsidR="006078F5">
        <w:t xml:space="preserve"> a</w:t>
      </w:r>
      <w:r w:rsidR="00832301">
        <w:t xml:space="preserve"> failure to detect and mitigate actual collision risks. False alarms, on the other hand, only prompt</w:t>
      </w:r>
      <w:r w:rsidR="00CB701C">
        <w:t xml:space="preserve"> </w:t>
      </w:r>
      <w:r w:rsidR="00180961">
        <w:t>high-fidelity</w:t>
      </w:r>
      <w:r w:rsidR="008323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32301">
        <w:t xml:space="preserve"> computations</w:t>
      </w:r>
      <w:r w:rsidR="005D6C96">
        <w:t xml:space="preserve">, which may require extra time and </w:t>
      </w:r>
      <w:r w:rsidR="00682ACA">
        <w:t>effort</w:t>
      </w:r>
      <w:r w:rsidR="005D6C96">
        <w:t xml:space="preserve"> to complete, but ultimately yield higher quality risk assessments. </w:t>
      </w:r>
    </w:p>
    <w:p w14:paraId="7C58779C" w14:textId="24B7CA71" w:rsidR="00E8555F" w:rsidRDefault="009E40DA" w:rsidP="001A7B52">
      <w:r>
        <w:t xml:space="preserve">Based on the </w:t>
      </w:r>
      <w:r w:rsidR="00AF10B2">
        <w:t xml:space="preserve">previous </w:t>
      </w:r>
      <w:r>
        <w:t>discussion</w:t>
      </w:r>
      <w:r w:rsidR="005D6C96">
        <w:t xml:space="preserve"> of Figure 3</w:t>
      </w:r>
      <w:r>
        <w:t>, t</w:t>
      </w:r>
      <w:r w:rsidR="008E72AF">
        <w:t xml:space="preserve">his </w:t>
      </w:r>
      <w:r w:rsidR="005D6C96">
        <w:t xml:space="preserve">diagnostic </w:t>
      </w:r>
      <w:r w:rsidR="00856918">
        <w:t xml:space="preserve">test </w:t>
      </w:r>
      <w:r w:rsidR="003731F2">
        <w:t xml:space="preserve">should be expected to have </w:t>
      </w:r>
      <w:r w:rsidR="00856918">
        <w:t xml:space="preserve">a high false alarm </w:t>
      </w:r>
      <w:r w:rsidR="008E72AF">
        <w:t>frequency</w:t>
      </w:r>
      <w:r>
        <w:t xml:space="preserve">, </w:t>
      </w:r>
      <w:r w:rsidR="00856918">
        <w:t xml:space="preserve">because it most often </w:t>
      </w:r>
      <w:r w:rsidR="00D0672E">
        <w:t xml:space="preserve">will </w:t>
      </w:r>
      <w:r w:rsidR="00856918">
        <w:t xml:space="preserve">not reveal </w:t>
      </w:r>
      <w:r w:rsidR="001A7B52">
        <w:t>large-amplitude</w:t>
      </w:r>
      <w:r w:rsidR="00856918">
        <w:t xml:space="preserve">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56918">
        <w:t xml:space="preserve"> underestimation</w:t>
      </w:r>
      <w:r w:rsidR="00AF10B2">
        <w:t>s</w:t>
      </w:r>
      <w:r w:rsidR="00856918">
        <w:t xml:space="preserve">. </w:t>
      </w:r>
      <w:r w:rsidR="00CB701C">
        <w:t xml:space="preserve"> </w:t>
      </w:r>
      <w:r w:rsidR="001A7B52">
        <w:t>A</w:t>
      </w:r>
      <w:r w:rsidR="00CB701C">
        <w:t>ssuming that the</w:t>
      </w:r>
      <w:r w:rsidR="00F35F8C">
        <w:t xml:space="preserve"> analyzed</w:t>
      </w:r>
      <w:r w:rsidR="00CB701C">
        <w:t xml:space="preserve"> data set is representative of future conjunctions, </w:t>
      </w:r>
      <w:r w:rsidR="001A7B52">
        <w:t>applying the test using</w:t>
      </w:r>
      <w:r w:rsidR="006078F5">
        <w:t xml:space="preserve"> a boundary metric of</w:t>
      </w:r>
      <w:r w:rsidR="001A7B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=0.8</m:t>
        </m:r>
      </m:oMath>
      <w:r w:rsidR="001A7B52">
        <w:t xml:space="preserve"> will prompt </w:t>
      </w:r>
      <w:r w:rsidR="00180961">
        <w:t>high-fidelity</w:t>
      </w:r>
      <w:r w:rsidR="001A7B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A7B52">
        <w:t xml:space="preserve"> computations for ~9% </w:t>
      </w:r>
      <w:r w:rsidR="003567FE">
        <w:t xml:space="preserve">of </w:t>
      </w:r>
      <w:r w:rsidR="003567FE">
        <w:lastRenderedPageBreak/>
        <w:t xml:space="preserve">future events (the fraction with </w:t>
      </w:r>
      <m:oMath>
        <m:r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567FE">
        <w:t>)</w:t>
      </w:r>
      <w:r w:rsidR="001A7B52">
        <w:t xml:space="preserve"> in order to find the ~0.05% </w:t>
      </w:r>
      <w:r w:rsidR="00165EB7">
        <w:t xml:space="preserve">of future events </w:t>
      </w:r>
      <w:r w:rsidR="001A7B52">
        <w:t xml:space="preserve">that </w:t>
      </w:r>
      <w:r w:rsidR="00165EB7">
        <w:t>suffer from</w:t>
      </w:r>
      <w:r w:rsidR="001A7B52">
        <w:t xml:space="preserve"> </w:t>
      </w:r>
      <w:r w:rsidR="003567FE">
        <w:t xml:space="preserve">actual </w:t>
      </w:r>
      <w:r w:rsidR="001A7B52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1A7B52">
        <w:t xml:space="preserve">underestimations with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 w:rsidR="001A7B52">
        <w:t xml:space="preserve"> or greater.</w:t>
      </w:r>
    </w:p>
    <w:p w14:paraId="68F18A57" w14:textId="77777777" w:rsidR="00E8555F" w:rsidRDefault="00E8555F" w:rsidP="00E8555F">
      <w:r>
        <w:t xml:space="preserve">The test’s frequency of missed detections can be reduced by adjusting the boundary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. Again, assuming that the data set analyzed here is perfectly representative (or nearly representative) of future conjunctions, then the choice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=0.8</m:t>
        </m:r>
      </m:oMath>
      <w:r>
        <w:t xml:space="preserve"> by design will reveal all (or most)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underestimations with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>
        <w:t xml:space="preserve"> or greater, corresponding to a zero (or small) frequency of missed detections.</w:t>
      </w:r>
    </w:p>
    <w:p w14:paraId="15551063" w14:textId="77777777" w:rsidR="00E8555F" w:rsidRDefault="00E8555F" w:rsidP="00E8555F">
      <w:pPr>
        <w:pStyle w:val="Sub-Section"/>
      </w:pPr>
      <w:r>
        <w:t xml:space="preserve">Estimated Usage Boundaries for the </w:t>
      </w:r>
      <w:r w:rsidRPr="00FF51CB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Estimation Method</w:t>
      </w:r>
    </w:p>
    <w:p w14:paraId="0C7449A9" w14:textId="5FAF6D6B" w:rsidR="001A7B52" w:rsidRDefault="00E8555F" w:rsidP="001A7B52">
      <w:r>
        <w:t xml:space="preserve">Table 1 reports the number of missed detections in the analyzed data set as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</w:t>
      </w:r>
      <w:r>
        <w:rPr>
          <w:color w:val="000000"/>
          <w:szCs w:val="22"/>
        </w:rPr>
        <w:t xml:space="preserve">formatted to ease estimating usage boundaries for </w:t>
      </w:r>
      <w:r w:rsidRPr="00E807E6">
        <w:rPr>
          <w:color w:val="000000"/>
          <w:szCs w:val="22"/>
        </w:rPr>
        <w:t xml:space="preserve">the </w:t>
      </w:r>
      <w:r w:rsidRPr="00E807E6"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FF51CB">
        <w:t xml:space="preserve"> </w:t>
      </w:r>
      <w:r>
        <w:t>method and</w:t>
      </w:r>
      <w:r>
        <w:rPr>
          <w:color w:val="000000"/>
          <w:szCs w:val="22"/>
        </w:rPr>
        <w:t xml:space="preserve"> diagnostic test.  Specifically, the f</w:t>
      </w:r>
      <w:r>
        <w:t xml:space="preserve">irst column of Table 1 lists the fraction of events with </w:t>
      </w:r>
      <m:oMath>
        <m:r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and the second column lists the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value. </w:t>
      </w:r>
      <w:r>
        <w:rPr>
          <w:color w:val="000000"/>
          <w:szCs w:val="22"/>
        </w:rPr>
        <w:t xml:space="preserve">The remaining columns tabulate the number of events for which </w:t>
      </w:r>
      <w:r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underestimates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by a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or more,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values of {2.0, 2.5, 3.0, 5.0, 10.0}. T</w:t>
      </w:r>
      <w:r>
        <w:rPr>
          <w:color w:val="000000"/>
          <w:szCs w:val="22"/>
        </w:rPr>
        <w:t xml:space="preserve">he green/yellow/red color shading indicates the frequency of missed detections.  Specifically, green indicates no missed detections, yellow a missed detection frequency of </w:t>
      </w:r>
      <w:r>
        <w:rPr>
          <w:color w:val="000000"/>
          <w:szCs w:val="22"/>
        </w:rPr>
        <w:sym w:font="Symbol" w:char="F0A3"/>
      </w:r>
      <w:r>
        <w:rPr>
          <w:color w:val="000000"/>
          <w:szCs w:val="22"/>
        </w:rPr>
        <w:t>10</w:t>
      </w:r>
      <w:r w:rsidRPr="00594ECB">
        <w:rPr>
          <w:color w:val="000000"/>
          <w:szCs w:val="22"/>
          <w:vertAlign w:val="superscript"/>
        </w:rPr>
        <w:t>-4</w:t>
      </w:r>
      <w:r>
        <w:rPr>
          <w:color w:val="000000"/>
          <w:szCs w:val="22"/>
        </w:rPr>
        <w:t>, and red a missed detection frequency &gt;10</w:t>
      </w:r>
      <w:r w:rsidRPr="00594ECB">
        <w:rPr>
          <w:color w:val="000000"/>
          <w:szCs w:val="22"/>
          <w:vertAlign w:val="superscript"/>
        </w:rPr>
        <w:t>-4</w:t>
      </w:r>
      <w:r>
        <w:rPr>
          <w:color w:val="000000"/>
          <w:szCs w:val="22"/>
        </w:rPr>
        <w:t>.  Table 1 can be used to estimate diagnostic test</w:t>
      </w:r>
      <w:r>
        <w:t xml:space="preserve"> </w:t>
      </w:r>
      <w:r>
        <w:rPr>
          <w:color w:val="000000"/>
          <w:szCs w:val="22"/>
        </w:rPr>
        <w:t xml:space="preserve">usage boundaries given a desired bounding underestimation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.  For instance, </w:t>
      </w:r>
      <w:r>
        <w:rPr>
          <w:color w:val="000000"/>
          <w:szCs w:val="22"/>
        </w:rPr>
        <w:t xml:space="preserve">eliminating all missed detections for a </w:t>
      </w:r>
      <w:r>
        <w:t>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underestimation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=10</m:t>
        </m:r>
      </m:oMath>
      <w:r>
        <w:t xml:space="preserve">, requires a boundary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≈1.49</m:t>
        </m:r>
      </m:oMath>
      <w:r>
        <w:t xml:space="preserve">, prompting high-fidelity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computations for about 3% of all events.  Similarly, </w:t>
      </w:r>
      <w:r>
        <w:rPr>
          <w:color w:val="000000"/>
          <w:szCs w:val="22"/>
        </w:rPr>
        <w:t>eliminating all missed detections at a</w:t>
      </w:r>
      <w:r>
        <w:t xml:space="preserve"> level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requires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≈0.14</m:t>
        </m:r>
      </m:oMath>
      <w:r>
        <w:t xml:space="preserve"> and high-fidelity computations for about 40% of all events.  </w:t>
      </w:r>
      <w:r w:rsidR="001A7B52">
        <w:t xml:space="preserve"> </w:t>
      </w:r>
    </w:p>
    <w:p w14:paraId="38A15129" w14:textId="77777777" w:rsidR="00180961" w:rsidRPr="0031737E" w:rsidRDefault="00180961" w:rsidP="00180961">
      <w:pPr>
        <w:pStyle w:val="Caption"/>
        <w:jc w:val="center"/>
      </w:pPr>
      <w:r w:rsidRPr="0031737E">
        <w:t xml:space="preserve">Table 1. Missed detections as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Pr="0031737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 w:rsidRPr="0031737E">
        <w:t xml:space="preserve">  </w:t>
      </w:r>
      <w:r w:rsidRPr="0031737E">
        <w:rPr>
          <w:color w:val="000000"/>
          <w:szCs w:val="22"/>
        </w:rPr>
        <w:t xml:space="preserve">Green shading indicates no missed detections, yellow a missed-detection frequency of </w:t>
      </w:r>
      <w:r w:rsidRPr="0031737E">
        <w:rPr>
          <w:color w:val="000000"/>
          <w:szCs w:val="22"/>
        </w:rPr>
        <w:sym w:font="Symbol" w:char="F0A3"/>
      </w:r>
      <w:r w:rsidRPr="0031737E">
        <w:rPr>
          <w:color w:val="000000"/>
          <w:szCs w:val="22"/>
        </w:rPr>
        <w:t>10</w:t>
      </w:r>
      <w:r w:rsidRPr="0031737E">
        <w:rPr>
          <w:color w:val="000000"/>
          <w:szCs w:val="22"/>
          <w:vertAlign w:val="superscript"/>
        </w:rPr>
        <w:t>-4</w:t>
      </w:r>
      <w:r w:rsidRPr="0031737E">
        <w:rPr>
          <w:color w:val="000000"/>
          <w:szCs w:val="22"/>
        </w:rPr>
        <w:t xml:space="preserve"> and red a frequency of &gt;10</w:t>
      </w:r>
      <w:r w:rsidRPr="0031737E">
        <w:rPr>
          <w:color w:val="000000"/>
          <w:szCs w:val="22"/>
          <w:vertAlign w:val="superscript"/>
        </w:rPr>
        <w:t>-4</w:t>
      </w:r>
      <w:r w:rsidRPr="0031737E">
        <w:rPr>
          <w:color w:val="000000"/>
          <w:szCs w:val="22"/>
        </w:rPr>
        <w:t xml:space="preserve">.  </w:t>
      </w:r>
    </w:p>
    <w:tbl>
      <w:tblPr>
        <w:tblStyle w:val="TableGrid"/>
        <w:tblW w:w="8496" w:type="dxa"/>
        <w:jc w:val="center"/>
        <w:tblLook w:val="04A0" w:firstRow="1" w:lastRow="0" w:firstColumn="1" w:lastColumn="0" w:noHBand="0" w:noVBand="1"/>
      </w:tblPr>
      <w:tblGrid>
        <w:gridCol w:w="1728"/>
        <w:gridCol w:w="1728"/>
        <w:gridCol w:w="1008"/>
        <w:gridCol w:w="1008"/>
        <w:gridCol w:w="1008"/>
        <w:gridCol w:w="1008"/>
        <w:gridCol w:w="1008"/>
      </w:tblGrid>
      <w:tr w:rsidR="00180961" w:rsidRPr="00BA1587" w14:paraId="230AEC8F" w14:textId="77777777" w:rsidTr="00C8085F">
        <w:trPr>
          <w:trHeight w:val="288"/>
          <w:jc w:val="center"/>
        </w:trPr>
        <w:tc>
          <w:tcPr>
            <w:tcW w:w="1728" w:type="dxa"/>
            <w:vMerge w:val="restart"/>
            <w:shd w:val="clear" w:color="auto" w:fill="E2EFD9" w:themeFill="accent6" w:themeFillTint="33"/>
            <w:noWrap/>
            <w:hideMark/>
          </w:tcPr>
          <w:p w14:paraId="1FB36E0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 xml:space="preserve">Fraction with </w:t>
            </w:r>
            <m:oMath>
              <m:r>
                <w:rPr>
                  <w:rFonts w:ascii="Cambria Math" w:hAnsi="Cambria Math"/>
                  <w:color w:val="000000"/>
                  <w:szCs w:val="22"/>
                </w:rPr>
                <m:t>V≥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2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2"/>
                </w:rPr>
                <m:t xml:space="preserve"> </m:t>
              </m:r>
            </m:oMath>
            <w:r w:rsidRPr="00BA1587">
              <w:rPr>
                <w:color w:val="000000"/>
                <w:szCs w:val="22"/>
              </w:rPr>
              <w:t>(%)</w:t>
            </w:r>
          </w:p>
        </w:tc>
        <w:tc>
          <w:tcPr>
            <w:tcW w:w="1728" w:type="dxa"/>
            <w:vMerge w:val="restart"/>
            <w:shd w:val="clear" w:color="auto" w:fill="F2F2F2" w:themeFill="background1" w:themeFillShade="F2"/>
            <w:noWrap/>
            <w:hideMark/>
          </w:tcPr>
          <w:p w14:paraId="4191F8F6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Variatio</w:t>
            </w:r>
            <w:r>
              <w:rPr>
                <w:color w:val="000000"/>
                <w:szCs w:val="22"/>
              </w:rPr>
              <w:t>n Metric B</w:t>
            </w:r>
            <w:r w:rsidRPr="00BA1587">
              <w:rPr>
                <w:color w:val="000000"/>
                <w:szCs w:val="22"/>
              </w:rPr>
              <w:t>ound</w:t>
            </w:r>
            <w:r>
              <w:rPr>
                <w:color w:val="000000"/>
                <w:szCs w:val="22"/>
              </w:rPr>
              <w:t xml:space="preserve">ary,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2"/>
                    </w:rPr>
                    <m:t>b</m:t>
                  </m:r>
                </m:sub>
              </m:sSub>
            </m:oMath>
          </w:p>
        </w:tc>
        <w:tc>
          <w:tcPr>
            <w:tcW w:w="5040" w:type="dxa"/>
            <w:gridSpan w:val="5"/>
            <w:shd w:val="clear" w:color="auto" w:fill="DEEAF6" w:themeFill="accent1" w:themeFillTint="33"/>
            <w:noWrap/>
            <w:hideMark/>
          </w:tcPr>
          <w:p w14:paraId="1808C21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2D-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2"/>
                    </w:rPr>
                    <m:t>c</m:t>
                  </m:r>
                </m:sub>
              </m:sSub>
            </m:oMath>
            <w:r w:rsidRPr="00BA1587">
              <w:rPr>
                <w:color w:val="000000"/>
                <w:szCs w:val="22"/>
              </w:rPr>
              <w:t xml:space="preserve"> Underestimation </w:t>
            </w:r>
            <w:r>
              <w:rPr>
                <w:color w:val="000000"/>
                <w:szCs w:val="22"/>
              </w:rPr>
              <w:t xml:space="preserve">Boundary Factor,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2"/>
                    </w:rPr>
                    <m:t>b</m:t>
                  </m:r>
                </m:sub>
              </m:sSub>
            </m:oMath>
          </w:p>
        </w:tc>
      </w:tr>
      <w:tr w:rsidR="00180961" w:rsidRPr="00BA1587" w14:paraId="069F7545" w14:textId="77777777" w:rsidTr="00C8085F">
        <w:trPr>
          <w:trHeight w:val="288"/>
          <w:jc w:val="center"/>
        </w:trPr>
        <w:tc>
          <w:tcPr>
            <w:tcW w:w="1728" w:type="dxa"/>
            <w:vMerge/>
            <w:shd w:val="clear" w:color="auto" w:fill="E2EFD9" w:themeFill="accent6" w:themeFillTint="33"/>
            <w:noWrap/>
            <w:hideMark/>
          </w:tcPr>
          <w:p w14:paraId="7521FB9E" w14:textId="77777777" w:rsidR="00180961" w:rsidRPr="00BA1587" w:rsidRDefault="00180961" w:rsidP="00C8085F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728" w:type="dxa"/>
            <w:vMerge/>
            <w:shd w:val="clear" w:color="auto" w:fill="F2F2F2" w:themeFill="background1" w:themeFillShade="F2"/>
            <w:noWrap/>
            <w:hideMark/>
          </w:tcPr>
          <w:p w14:paraId="33BEDC27" w14:textId="77777777" w:rsidR="00180961" w:rsidRPr="00BA1587" w:rsidRDefault="00180961" w:rsidP="00C8085F">
            <w:pPr>
              <w:spacing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008" w:type="dxa"/>
            <w:shd w:val="clear" w:color="auto" w:fill="DEEAF6" w:themeFill="accent1" w:themeFillTint="33"/>
            <w:noWrap/>
            <w:hideMark/>
          </w:tcPr>
          <w:p w14:paraId="3C10927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</w:t>
            </w:r>
            <w:r>
              <w:rPr>
                <w:color w:val="000000"/>
                <w:szCs w:val="22"/>
              </w:rPr>
              <w:t>.0</w:t>
            </w:r>
          </w:p>
        </w:tc>
        <w:tc>
          <w:tcPr>
            <w:tcW w:w="1008" w:type="dxa"/>
            <w:shd w:val="clear" w:color="auto" w:fill="DEEAF6" w:themeFill="accent1" w:themeFillTint="33"/>
            <w:noWrap/>
            <w:hideMark/>
          </w:tcPr>
          <w:p w14:paraId="62CFD850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2.5</w:t>
            </w:r>
          </w:p>
        </w:tc>
        <w:tc>
          <w:tcPr>
            <w:tcW w:w="1008" w:type="dxa"/>
            <w:shd w:val="clear" w:color="auto" w:fill="DEEAF6" w:themeFill="accent1" w:themeFillTint="33"/>
            <w:noWrap/>
            <w:hideMark/>
          </w:tcPr>
          <w:p w14:paraId="5AAA634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</w:t>
            </w:r>
            <w:r>
              <w:rPr>
                <w:color w:val="000000"/>
                <w:szCs w:val="22"/>
              </w:rPr>
              <w:t>.0</w:t>
            </w:r>
          </w:p>
        </w:tc>
        <w:tc>
          <w:tcPr>
            <w:tcW w:w="1008" w:type="dxa"/>
            <w:shd w:val="clear" w:color="auto" w:fill="DEEAF6" w:themeFill="accent1" w:themeFillTint="33"/>
            <w:noWrap/>
            <w:hideMark/>
          </w:tcPr>
          <w:p w14:paraId="55AFA26A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5</w:t>
            </w:r>
            <w:r>
              <w:rPr>
                <w:color w:val="000000"/>
                <w:szCs w:val="22"/>
              </w:rPr>
              <w:t>.0</w:t>
            </w:r>
          </w:p>
        </w:tc>
        <w:tc>
          <w:tcPr>
            <w:tcW w:w="1008" w:type="dxa"/>
            <w:shd w:val="clear" w:color="auto" w:fill="DEEAF6" w:themeFill="accent1" w:themeFillTint="33"/>
            <w:noWrap/>
            <w:hideMark/>
          </w:tcPr>
          <w:p w14:paraId="4DF68D8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10</w:t>
            </w:r>
            <w:r>
              <w:rPr>
                <w:color w:val="000000"/>
                <w:szCs w:val="22"/>
              </w:rPr>
              <w:t>.0</w:t>
            </w:r>
          </w:p>
        </w:tc>
      </w:tr>
      <w:tr w:rsidR="00180961" w:rsidRPr="00BA1587" w14:paraId="2B1315C7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2E627EA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13A1BB6A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sym w:font="Symbol" w:char="F0A5"/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3E9F96D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34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0B69AA7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22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6FBC74B5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14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2BD644C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11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56197E67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6</w:t>
            </w:r>
          </w:p>
        </w:tc>
      </w:tr>
      <w:tr w:rsidR="00180961" w:rsidRPr="00BA1587" w14:paraId="1BB46F1B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16373D66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603B3E2E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2.19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5BCD5987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30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6FF082AE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18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78D249F7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10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366C7334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8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798C7013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</w:t>
            </w:r>
          </w:p>
        </w:tc>
      </w:tr>
      <w:tr w:rsidR="00180961" w:rsidRPr="00BA1587" w14:paraId="2887D060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74172F5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38809A04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1.75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38A14AE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26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1EC3ED7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14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5D78DA3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8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005986B2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6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05910C0C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</w:t>
            </w:r>
          </w:p>
        </w:tc>
      </w:tr>
      <w:tr w:rsidR="00180961" w:rsidRPr="00BA1587" w14:paraId="2F70181B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7D51B492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428939D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1.49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257BD10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22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1A0EEC0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10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4981DDBA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5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1623F4DA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7C74FF3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64CEF47E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7A599AF2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5.0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5A9A3FA2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1.18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6A87FE4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16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7E33784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5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179A57B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1724078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5C41D68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309D1F82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7286799C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7.5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2BF44ED5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0.9</w:t>
            </w:r>
            <w:r>
              <w:rPr>
                <w:color w:val="000000"/>
                <w:szCs w:val="22"/>
              </w:rPr>
              <w:t>3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56811047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13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305A57E6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14EADFC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1198C61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2CF43B8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7106CFA5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16CE9A2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10.0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0EFD123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0.76</w:t>
            </w:r>
          </w:p>
        </w:tc>
        <w:tc>
          <w:tcPr>
            <w:tcW w:w="1008" w:type="dxa"/>
            <w:shd w:val="clear" w:color="auto" w:fill="FF0000"/>
            <w:noWrap/>
            <w:hideMark/>
          </w:tcPr>
          <w:p w14:paraId="1DB1142A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7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2D5F419C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3A64D9E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A088A1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4A7B63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40716C97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2D58E175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12.5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45CE0A5D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0.64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0C7068D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F734F95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15C0DF8C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234CBE3A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522A6BAB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3EFC762B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5A5FC52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15.0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271B636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0.54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60C03D87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A055436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97C723C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63740BD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50BB5D70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0C610687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764E195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20.0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2D2F6158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0.4</w:t>
            </w: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0DB64A1C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2545BF2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7FC42B96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23C91E9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75A66AED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70CB714B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01442969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30.0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2EF555B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0.2</w:t>
            </w:r>
            <w:r>
              <w:rPr>
                <w:color w:val="000000"/>
                <w:szCs w:val="22"/>
              </w:rPr>
              <w:t>5</w:t>
            </w:r>
          </w:p>
        </w:tc>
        <w:tc>
          <w:tcPr>
            <w:tcW w:w="1008" w:type="dxa"/>
            <w:shd w:val="clear" w:color="auto" w:fill="FFFF00"/>
            <w:noWrap/>
            <w:hideMark/>
          </w:tcPr>
          <w:p w14:paraId="14E7477F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1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07AEA094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515309E5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79AF7A4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5BF212E3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  <w:tr w:rsidR="00180961" w:rsidRPr="00BA1587" w14:paraId="14CC6588" w14:textId="77777777" w:rsidTr="00C8085F">
        <w:trPr>
          <w:trHeight w:val="288"/>
          <w:jc w:val="center"/>
        </w:trPr>
        <w:tc>
          <w:tcPr>
            <w:tcW w:w="1728" w:type="dxa"/>
            <w:shd w:val="clear" w:color="auto" w:fill="E2EFD9" w:themeFill="accent6" w:themeFillTint="33"/>
            <w:noWrap/>
            <w:hideMark/>
          </w:tcPr>
          <w:p w14:paraId="47C63A7D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40.0</w:t>
            </w:r>
          </w:p>
        </w:tc>
        <w:tc>
          <w:tcPr>
            <w:tcW w:w="1728" w:type="dxa"/>
            <w:shd w:val="clear" w:color="auto" w:fill="F2F2F2" w:themeFill="background1" w:themeFillShade="F2"/>
            <w:noWrap/>
            <w:hideMark/>
          </w:tcPr>
          <w:p w14:paraId="1ABEAB26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0.14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1FB88D33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060DA071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53D0CA65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0BF15924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  <w:tc>
          <w:tcPr>
            <w:tcW w:w="1008" w:type="dxa"/>
            <w:shd w:val="clear" w:color="auto" w:fill="00FF00"/>
            <w:noWrap/>
            <w:hideMark/>
          </w:tcPr>
          <w:p w14:paraId="44F56264" w14:textId="77777777" w:rsidR="00180961" w:rsidRPr="00BA1587" w:rsidRDefault="00180961" w:rsidP="00C8085F">
            <w:pPr>
              <w:spacing w:after="0"/>
              <w:jc w:val="center"/>
              <w:rPr>
                <w:color w:val="000000"/>
                <w:szCs w:val="22"/>
              </w:rPr>
            </w:pPr>
            <w:r w:rsidRPr="00BA1587">
              <w:rPr>
                <w:color w:val="000000"/>
                <w:szCs w:val="22"/>
              </w:rPr>
              <w:t>0</w:t>
            </w:r>
          </w:p>
        </w:tc>
      </w:tr>
    </w:tbl>
    <w:p w14:paraId="60C6AB16" w14:textId="4D145556" w:rsidR="00225DF6" w:rsidRDefault="00225DF6" w:rsidP="00002C6D">
      <w:pPr>
        <w:pStyle w:val="Section"/>
      </w:pPr>
      <w:r>
        <w:t>Discussion</w:t>
      </w:r>
    </w:p>
    <w:p w14:paraId="201AA43A" w14:textId="140AFA3C" w:rsidR="00225DF6" w:rsidRPr="00225DF6" w:rsidRDefault="00225DF6" w:rsidP="00225DF6">
      <w:r>
        <w:t>This analysis demonstrates that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occasionally underestimates actual</w:t>
      </w:r>
      <w:r w:rsidR="007F02BF">
        <w:t xml:space="preserve"> conjunction</w:t>
      </w:r>
      <w:r>
        <w:t xml:space="preserve"> collision probabilities, and that offset-from-TCA variations can be used </w:t>
      </w:r>
      <w:r w:rsidR="00264CC9">
        <w:t xml:space="preserve">as </w:t>
      </w:r>
      <w:r>
        <w:t>a diagnostic indicator of such inaccuracies.  During the research and development of the specific test presented here, the CARA analysis team investigated several other</w:t>
      </w:r>
      <w:r w:rsidR="007F02BF">
        <w:t xml:space="preserve"> candidate</w:t>
      </w:r>
      <w:r>
        <w:t xml:space="preserve"> diagnostic indicators, with varying degrees of success.  These include indicators based on a conjunction’s s</w:t>
      </w:r>
      <w:r w:rsidRPr="00374472">
        <w:t xml:space="preserve">hort-term encounter validity </w:t>
      </w:r>
      <w:r w:rsidRPr="00374472">
        <w:lastRenderedPageBreak/>
        <w:t>interval</w:t>
      </w:r>
      <w:r w:rsidR="007F02BF">
        <w:t xml:space="preserve"> itself</w:t>
      </w:r>
      <w:r>
        <w:t xml:space="preserve">, </w:t>
      </w:r>
      <m:oMath>
        <m:r>
          <w:rPr>
            <w:rFonts w:ascii="Cambria Math" w:hAnsi="Cambria Math"/>
          </w:rPr>
          <m:t>∆t</m:t>
        </m:r>
      </m:oMath>
      <w:r>
        <w:t>, as well as its ratio to the minimum primary/secondary orbital period.</w:t>
      </w:r>
      <w:r w:rsidR="00F23262">
        <w:t xml:space="preserve">  Another set of candidates measured Mahalanobis distance variations caused by </w:t>
      </w:r>
      <w:r w:rsidR="007F02BF">
        <w:t>including or excluding various</w:t>
      </w:r>
      <w:r w:rsidR="00F23262">
        <w:t xml:space="preserve"> effects</w:t>
      </w:r>
      <w:r w:rsidR="00CE51DE">
        <w:t xml:space="preserve"> to test a conjunction’s adherence to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E51DE">
        <w:t xml:space="preserve"> assumptions</w:t>
      </w:r>
      <w:r w:rsidR="007F02BF">
        <w:t>,</w:t>
      </w:r>
      <w:r w:rsidR="00F23262">
        <w:t xml:space="preserve"> such as </w:t>
      </w:r>
      <w:r w:rsidR="00CE51DE">
        <w:t xml:space="preserve">linear vs curved trajectories, </w:t>
      </w:r>
      <w:r w:rsidR="00F23262">
        <w:t xml:space="preserve">zero vs non-zero velocity uncertainties, and remediated vs unremediated NPD covariances.  Finally, another </w:t>
      </w:r>
      <w:r w:rsidR="00CE51DE">
        <w:t xml:space="preserve">candidate </w:t>
      </w:r>
      <w:r w:rsidR="00FF6BB6">
        <w:t xml:space="preserve">indicator </w:t>
      </w:r>
      <w:r w:rsidR="00F23262">
        <w:t xml:space="preserve">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23262">
        <w:t xml:space="preserve"> differences between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23262">
        <w:t xml:space="preserve"> method and a</w:t>
      </w:r>
      <w:r w:rsidR="007F02BF">
        <w:t xml:space="preserve"> different</w:t>
      </w:r>
      <w:r w:rsidR="00F23262">
        <w:t xml:space="preserve"> semi-analytical</w:t>
      </w:r>
      <w:r w:rsidR="00CE51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23262">
        <w:t xml:space="preserve"> </w:t>
      </w:r>
      <w:r w:rsidR="00CE51DE">
        <w:t xml:space="preserve">estimation </w:t>
      </w:r>
      <w:r w:rsidR="00F23262">
        <w:t>method.</w:t>
      </w:r>
      <w:r w:rsidR="007F02BF" w:rsidRPr="007F02BF">
        <w:rPr>
          <w:vertAlign w:val="superscript"/>
        </w:rPr>
        <w:fldChar w:fldCharType="begin"/>
      </w:r>
      <w:r w:rsidR="007F02BF" w:rsidRPr="007F02BF">
        <w:rPr>
          <w:vertAlign w:val="superscript"/>
        </w:rPr>
        <w:instrText xml:space="preserve"> REF _Ref8724143 \r \h </w:instrText>
      </w:r>
      <w:r w:rsidR="007F02BF">
        <w:rPr>
          <w:vertAlign w:val="superscript"/>
        </w:rPr>
        <w:instrText xml:space="preserve"> \* MERGEFORMAT </w:instrText>
      </w:r>
      <w:r w:rsidR="007F02BF" w:rsidRPr="007F02BF">
        <w:rPr>
          <w:vertAlign w:val="superscript"/>
        </w:rPr>
      </w:r>
      <w:r w:rsidR="007F02BF" w:rsidRPr="007F02BF">
        <w:rPr>
          <w:vertAlign w:val="superscript"/>
        </w:rPr>
        <w:fldChar w:fldCharType="separate"/>
      </w:r>
      <w:r w:rsidR="00620BE7">
        <w:rPr>
          <w:vertAlign w:val="superscript"/>
        </w:rPr>
        <w:t>13</w:t>
      </w:r>
      <w:r w:rsidR="007F02BF" w:rsidRPr="007F02BF">
        <w:rPr>
          <w:vertAlign w:val="superscript"/>
        </w:rPr>
        <w:fldChar w:fldCharType="end"/>
      </w:r>
      <w:r w:rsidR="007F02BF">
        <w:t xml:space="preserve">  None of these candidate indicators were found to work as well as the one presented here, based on </w:t>
      </w:r>
      <w:r w:rsidR="00FF6BB6">
        <w:t xml:space="preserve">their </w:t>
      </w:r>
      <w:r w:rsidR="007F02BF">
        <w:t>observed frequenc</w:t>
      </w:r>
      <w:r w:rsidR="00CE51DE">
        <w:t>ies</w:t>
      </w:r>
      <w:r w:rsidR="007F02BF">
        <w:t xml:space="preserve"> of </w:t>
      </w:r>
      <w:r w:rsidR="00CE51DE">
        <w:t>raising</w:t>
      </w:r>
      <w:r w:rsidR="007F02BF">
        <w:t xml:space="preserve"> false alarms and</w:t>
      </w:r>
      <w:r w:rsidR="00FF6BB6">
        <w:t>,</w:t>
      </w:r>
      <w:r w:rsidR="007F02BF">
        <w:t xml:space="preserve"> more importantly, </w:t>
      </w:r>
      <w:r w:rsidR="00CE51DE">
        <w:t>of failing to detect large-amplitude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E51DE">
        <w:t xml:space="preserve"> underestimations.</w:t>
      </w:r>
    </w:p>
    <w:p w14:paraId="757FCFA8" w14:textId="5086DC85" w:rsidR="00002C6D" w:rsidRDefault="00180961" w:rsidP="00002C6D">
      <w:pPr>
        <w:pStyle w:val="Section"/>
      </w:pPr>
      <w:r>
        <w:t>C</w:t>
      </w:r>
      <w:r w:rsidR="00002C6D">
        <w:t>onclusions</w:t>
      </w:r>
    </w:p>
    <w:p w14:paraId="4C768832" w14:textId="3201D4E7" w:rsidR="00587EF4" w:rsidRDefault="00F04E91" w:rsidP="00CB777B">
      <w:r>
        <w:t>Th</w:t>
      </w:r>
      <w:r w:rsidR="00B932EF">
        <w:t>e</w:t>
      </w:r>
      <w:r>
        <w:t xml:space="preserve"> a</w:t>
      </w:r>
      <w:r w:rsidR="00072231">
        <w:t>nalys</w:t>
      </w:r>
      <w:r>
        <w:t>i</w:t>
      </w:r>
      <w:r w:rsidR="00072231">
        <w:t xml:space="preserve">s </w:t>
      </w:r>
      <w:r w:rsidR="00F64A24">
        <w:t xml:space="preserve">yields </w:t>
      </w:r>
      <w:r w:rsidR="00072231">
        <w:t xml:space="preserve">the following conclusions: </w:t>
      </w:r>
    </w:p>
    <w:p w14:paraId="43BA15CC" w14:textId="50067DFE" w:rsidR="002C7A38" w:rsidRDefault="002C7A38" w:rsidP="002C7A38">
      <w:pPr>
        <w:pStyle w:val="ListParagraph"/>
        <w:numPr>
          <w:ilvl w:val="0"/>
          <w:numId w:val="33"/>
        </w:numPr>
      </w:pPr>
      <w:r>
        <w:t>The 2D-</w:t>
      </w:r>
      <w:r w:rsidRPr="002C7A38">
        <w:rPr>
          <w:i/>
        </w:rPr>
        <w:t>P</w:t>
      </w:r>
      <w:r w:rsidRPr="002C7A38">
        <w:rPr>
          <w:i/>
          <w:vertAlign w:val="subscript"/>
        </w:rPr>
        <w:t>c</w:t>
      </w:r>
      <w:r>
        <w:t xml:space="preserve"> method underestimates </w:t>
      </w:r>
      <w:r w:rsidR="00180961">
        <w:t>high-fidelity</w:t>
      </w:r>
      <w:r>
        <w:t xml:space="preserve"> BFMC CDM-mode </w:t>
      </w:r>
      <w:r w:rsidRPr="002C7A38">
        <w:rPr>
          <w:i/>
        </w:rPr>
        <w:t>P</w:t>
      </w:r>
      <w:r w:rsidRPr="002C7A38">
        <w:rPr>
          <w:i/>
          <w:vertAlign w:val="subscript"/>
        </w:rPr>
        <w:t>c</w:t>
      </w:r>
      <w:r>
        <w:t xml:space="preserve"> </w:t>
      </w:r>
      <w:r w:rsidR="00233C04">
        <w:t>values</w:t>
      </w:r>
      <w:r>
        <w:t xml:space="preserve"> by a factor of 2.5 or more for a small fraction (~0.05%) of the 43</w:t>
      </w:r>
      <w:r w:rsidRPr="001E3315">
        <w:t>,</w:t>
      </w:r>
      <w:r>
        <w:t>595</w:t>
      </w:r>
      <w:r w:rsidRPr="001E3315">
        <w:t xml:space="preserve"> </w:t>
      </w:r>
      <w:r>
        <w:t xml:space="preserve">representative CARA conjunctions analyzed </w:t>
      </w:r>
      <w:r w:rsidR="00F45786">
        <w:t>in this study</w:t>
      </w:r>
      <w:r>
        <w:t>.</w:t>
      </w:r>
    </w:p>
    <w:p w14:paraId="0E0CB8DF" w14:textId="0671F17C" w:rsidR="00D5382C" w:rsidRDefault="00233C04" w:rsidP="00C8085F">
      <w:pPr>
        <w:pStyle w:val="ListParagraph"/>
        <w:numPr>
          <w:ilvl w:val="0"/>
          <w:numId w:val="33"/>
        </w:numPr>
      </w:pPr>
      <w:r>
        <w:t>In order to provide an accurate estimate for a conjunction, t</w:t>
      </w:r>
      <w:r w:rsidR="00D5382C">
        <w:t>he 2D-</w:t>
      </w:r>
      <w:r w:rsidR="00D5382C" w:rsidRPr="00233C04">
        <w:rPr>
          <w:i/>
        </w:rPr>
        <w:t>P</w:t>
      </w:r>
      <w:r w:rsidR="00D5382C" w:rsidRPr="00233C04">
        <w:rPr>
          <w:i/>
          <w:vertAlign w:val="subscript"/>
        </w:rPr>
        <w:t>c</w:t>
      </w:r>
      <w:r w:rsidR="00D5382C">
        <w:t xml:space="preserve"> method depends on</w:t>
      </w:r>
      <w:r w:rsidR="00456D77">
        <w:t xml:space="preserve"> </w:t>
      </w:r>
      <w:r w:rsidR="002C7A38">
        <w:t>three</w:t>
      </w:r>
      <w:r w:rsidR="00D5382C">
        <w:t xml:space="preserve"> assumptions being</w:t>
      </w:r>
      <w:r w:rsidR="00EA4824">
        <w:t xml:space="preserve"> </w:t>
      </w:r>
      <w:r w:rsidR="00D5382C">
        <w:t>satisfied</w:t>
      </w:r>
      <w:r w:rsidR="002C7A38">
        <w:t>: 1) the relative primary-to-secondary position uncertainty distribution can be approximated using a single 3</w:t>
      </w:r>
      <w:r w:rsidR="002C7A38">
        <w:sym w:font="Symbol" w:char="F0B4"/>
      </w:r>
      <w:r w:rsidR="002C7A38">
        <w:t xml:space="preserve">3 covariance matrix; 2) the relative satellite trajectories can be approximated as </w:t>
      </w:r>
      <w:r w:rsidR="004F2296">
        <w:t>recti</w:t>
      </w:r>
      <w:r w:rsidR="002C7A38">
        <w:t>linear; and 3) the relative position covariance matrix can be approximated as constant.</w:t>
      </w:r>
      <w:r>
        <w:t xml:space="preserve">  </w:t>
      </w:r>
      <w:r w:rsidR="00524D35">
        <w:t>Ideally, t</w:t>
      </w:r>
      <w:r w:rsidR="00D5382C">
        <w:t>he</w:t>
      </w:r>
      <w:r w:rsidR="002C7A38">
        <w:t>se 2D-</w:t>
      </w:r>
      <w:r w:rsidR="002C7A38" w:rsidRPr="00233C04">
        <w:rPr>
          <w:i/>
        </w:rPr>
        <w:t>P</w:t>
      </w:r>
      <w:r w:rsidR="002C7A38" w:rsidRPr="00233C04">
        <w:rPr>
          <w:i/>
          <w:vertAlign w:val="subscript"/>
        </w:rPr>
        <w:t>c</w:t>
      </w:r>
      <w:r w:rsidR="00D5382C">
        <w:t xml:space="preserve"> </w:t>
      </w:r>
      <w:r w:rsidR="002C7A38">
        <w:t>assumptions</w:t>
      </w:r>
      <w:r w:rsidR="00D5382C">
        <w:t xml:space="preserve"> </w:t>
      </w:r>
      <w:r w:rsidR="00524D35">
        <w:t>should</w:t>
      </w:r>
      <w:r w:rsidR="00D5382C">
        <w:t xml:space="preserve"> be satisfied </w:t>
      </w:r>
      <w:r>
        <w:t xml:space="preserve">during a </w:t>
      </w:r>
      <w:r w:rsidR="00524D35">
        <w:t xml:space="preserve">conjunction-specific </w:t>
      </w:r>
      <w:r>
        <w:t xml:space="preserve">time period known </w:t>
      </w:r>
      <w:r w:rsidR="00456D77">
        <w:t xml:space="preserve">as </w:t>
      </w:r>
      <w:r>
        <w:t xml:space="preserve">the </w:t>
      </w:r>
      <w:r w:rsidR="00D5382C" w:rsidRPr="00233C04">
        <w:rPr>
          <w:i/>
        </w:rPr>
        <w:t>short-term encounter validity interval</w:t>
      </w:r>
      <w:r>
        <w:t xml:space="preserve">, TCA </w:t>
      </w:r>
      <w:r>
        <w:sym w:font="Symbol" w:char="F0B1"/>
      </w:r>
      <w:r>
        <w:t xml:space="preserve"> </w:t>
      </w:r>
      <w:r>
        <w:sym w:font="Symbol" w:char="F044"/>
      </w:r>
      <w:r w:rsidRPr="00233C04">
        <w:rPr>
          <w:i/>
        </w:rPr>
        <w:t>t</w:t>
      </w:r>
      <w:r>
        <w:t>.</w:t>
      </w:r>
      <w:r w:rsidRPr="00233C04">
        <w:rPr>
          <w:vertAlign w:val="superscript"/>
        </w:rPr>
        <w:fldChar w:fldCharType="begin"/>
      </w:r>
      <w:r w:rsidRPr="00233C04">
        <w:rPr>
          <w:vertAlign w:val="superscript"/>
        </w:rPr>
        <w:instrText xml:space="preserve"> REF _Ref459723484 \r \h  \* MERGEFORMAT </w:instrText>
      </w:r>
      <w:r w:rsidRPr="00233C04">
        <w:rPr>
          <w:vertAlign w:val="superscript"/>
        </w:rPr>
      </w:r>
      <w:r w:rsidRPr="00233C04">
        <w:rPr>
          <w:vertAlign w:val="superscript"/>
        </w:rPr>
        <w:fldChar w:fldCharType="separate"/>
      </w:r>
      <w:r w:rsidR="00620BE7">
        <w:rPr>
          <w:vertAlign w:val="superscript"/>
        </w:rPr>
        <w:t>5</w:t>
      </w:r>
      <w:r w:rsidRPr="00233C04">
        <w:rPr>
          <w:vertAlign w:val="superscript"/>
        </w:rPr>
        <w:fldChar w:fldCharType="end"/>
      </w:r>
    </w:p>
    <w:p w14:paraId="4493E32B" w14:textId="1A39D885" w:rsidR="0017204E" w:rsidRDefault="00D5382C" w:rsidP="00161877">
      <w:pPr>
        <w:pStyle w:val="ListParagraph"/>
        <w:numPr>
          <w:ilvl w:val="0"/>
          <w:numId w:val="33"/>
        </w:numPr>
      </w:pPr>
      <w:r>
        <w:t>Offset-from-TCA 2D-</w:t>
      </w:r>
      <w:r w:rsidRPr="000D6125">
        <w:rPr>
          <w:i/>
        </w:rPr>
        <w:t>P</w:t>
      </w:r>
      <w:r w:rsidRPr="000D6125">
        <w:rPr>
          <w:i/>
          <w:vertAlign w:val="subscript"/>
        </w:rPr>
        <w:t>c</w:t>
      </w:r>
      <w:r>
        <w:t xml:space="preserve"> estimates</w:t>
      </w:r>
      <w:r w:rsidR="0017204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 w:rsidR="0017204E">
        <w:t>,</w:t>
      </w:r>
      <w:r>
        <w:t xml:space="preserve"> can be </w:t>
      </w:r>
      <w:r w:rsidR="00456D77">
        <w:t>approximated</w:t>
      </w:r>
      <w:r>
        <w:t xml:space="preserve"> </w:t>
      </w:r>
      <w:r w:rsidR="0017204E">
        <w:t xml:space="preserve">throughout </w:t>
      </w:r>
      <w:r w:rsidR="00456D77">
        <w:t>a conjunction’s</w:t>
      </w:r>
      <w:r w:rsidR="0017204E">
        <w:t xml:space="preserve"> </w:t>
      </w:r>
      <w:r w:rsidR="0017204E" w:rsidRPr="0017204E">
        <w:t xml:space="preserve">short-term encounter validity interval </w:t>
      </w:r>
      <w:r w:rsidR="0017204E">
        <w:t xml:space="preserve">by </w:t>
      </w:r>
      <w:r>
        <w:t>using 2-body state/covariance propagation</w:t>
      </w:r>
      <w:r w:rsidR="00456D77">
        <w:t>, initiated with at-TCA states and covariances (such as those contained in a CDM).</w:t>
      </w:r>
    </w:p>
    <w:p w14:paraId="2A528B7F" w14:textId="597ACE4F" w:rsidR="00D5382C" w:rsidRDefault="0017204E" w:rsidP="00161877">
      <w:pPr>
        <w:pStyle w:val="ListParagraph"/>
        <w:numPr>
          <w:ilvl w:val="0"/>
          <w:numId w:val="33"/>
        </w:numPr>
      </w:pPr>
      <w:r>
        <w:t xml:space="preserve">Large-amplitude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variations indicate potential violations of the</w:t>
      </w:r>
      <w:r w:rsidR="00566A5F">
        <w:t xml:space="preserve"> 2D-</w:t>
      </w:r>
      <w:r w:rsidR="00566A5F" w:rsidRPr="002C7A38">
        <w:rPr>
          <w:i/>
        </w:rPr>
        <w:t>P</w:t>
      </w:r>
      <w:r w:rsidR="00566A5F" w:rsidRPr="002C7A38">
        <w:rPr>
          <w:i/>
          <w:vertAlign w:val="subscript"/>
        </w:rPr>
        <w:t>c</w:t>
      </w:r>
      <w:r>
        <w:t xml:space="preserve"> </w:t>
      </w:r>
      <w:r w:rsidR="0042071A">
        <w:t>assumptions</w:t>
      </w:r>
      <w:r>
        <w:t xml:space="preserve">, and can be </w:t>
      </w:r>
      <w:r w:rsidR="00C410D8">
        <w:t xml:space="preserve">quantified </w:t>
      </w:r>
      <w:r>
        <w:t xml:space="preserve">using </w:t>
      </w:r>
      <w:r w:rsidR="00566A5F">
        <w:t>the</w:t>
      </w:r>
      <w:r>
        <w:t xml:space="preserve"> offset-from-TCA variation metric,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5D2B08DC" w14:textId="4ECF211D" w:rsidR="0017204E" w:rsidRDefault="0017204E" w:rsidP="00161877">
      <w:pPr>
        <w:pStyle w:val="ListParagraph"/>
        <w:numPr>
          <w:ilvl w:val="0"/>
          <w:numId w:val="33"/>
        </w:numPr>
      </w:pPr>
      <w:r>
        <w:t xml:space="preserve">All conjunctions found </w:t>
      </w:r>
      <w:r w:rsidR="00A828BC">
        <w:t>to date</w:t>
      </w:r>
      <w:r>
        <w:t xml:space="preserve"> for which 2D-</w:t>
      </w:r>
      <w:r w:rsidRPr="002C7A38">
        <w:rPr>
          <w:i/>
        </w:rPr>
        <w:t>P</w:t>
      </w:r>
      <w:r w:rsidRPr="002C7A38">
        <w:rPr>
          <w:i/>
          <w:vertAlign w:val="subscript"/>
        </w:rPr>
        <w:t>c</w:t>
      </w:r>
      <w:r>
        <w:t xml:space="preserve"> significantly </w:t>
      </w:r>
      <w:r w:rsidRPr="005C604C">
        <w:t>underestimates</w:t>
      </w:r>
      <w:r>
        <w:t xml:space="preserve">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233C04">
        <w:t>have</w:t>
      </w:r>
      <w:r>
        <w:t xml:space="preserve"> relatively </w:t>
      </w:r>
      <w:r w:rsidR="00184048">
        <w:t>large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metrics.  </w:t>
      </w:r>
      <w:r w:rsidR="00184048">
        <w:t>M</w:t>
      </w:r>
      <w:r>
        <w:t>ost conjunctions for which 2D-</w:t>
      </w:r>
      <w:r w:rsidRPr="002C7A38">
        <w:rPr>
          <w:i/>
        </w:rPr>
        <w:t>P</w:t>
      </w:r>
      <w:r w:rsidRPr="002C7A38">
        <w:rPr>
          <w:i/>
          <w:vertAlign w:val="subscript"/>
        </w:rPr>
        <w:t>c</w:t>
      </w:r>
      <w:r>
        <w:t xml:space="preserve"> accurately matches BFMC-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</w:t>
      </w:r>
      <w:r w:rsidR="00233C04">
        <w:t>have</w:t>
      </w:r>
      <w:r>
        <w:t xml:space="preserve"> relatively </w:t>
      </w:r>
      <w:r w:rsidR="00233C04">
        <w:t>small</w:t>
      </w:r>
      <w:r w:rsidR="0040499F">
        <w:t xml:space="preserve"> </w:t>
      </w:r>
      <m:oMath>
        <m:r>
          <w:rPr>
            <w:rFonts w:ascii="Cambria Math" w:hAnsi="Cambria Math"/>
          </w:rPr>
          <m:t>V</m:t>
        </m:r>
      </m:oMath>
      <w:r w:rsidR="00233C04">
        <w:t xml:space="preserve"> metrics</w:t>
      </w:r>
      <w:r w:rsidR="0040499F">
        <w:t>.</w:t>
      </w:r>
    </w:p>
    <w:p w14:paraId="3E5CCF2E" w14:textId="7B364600" w:rsidR="0040499F" w:rsidRDefault="0040499F" w:rsidP="0040499F">
      <w:pPr>
        <w:pStyle w:val="ListParagraph"/>
        <w:numPr>
          <w:ilvl w:val="0"/>
          <w:numId w:val="33"/>
        </w:numPr>
      </w:pPr>
      <w:r>
        <w:t xml:space="preserve">The </w:t>
      </w:r>
      <w:r w:rsidR="00184048">
        <w:t>2D-</w:t>
      </w:r>
      <w:r w:rsidR="00184048" w:rsidRPr="002C7A38">
        <w:rPr>
          <w:i/>
        </w:rPr>
        <w:t>P</w:t>
      </w:r>
      <w:r w:rsidR="00184048" w:rsidRPr="002C7A38">
        <w:rPr>
          <w:i/>
          <w:vertAlign w:val="subscript"/>
        </w:rPr>
        <w:t>c</w:t>
      </w:r>
      <w:r w:rsidR="00184048">
        <w:t xml:space="preserve"> underestimation diagnostic</w:t>
      </w:r>
      <w:r>
        <w:t xml:space="preserve"> test procedure can be summarized as follows: if the variation metric for a conjunction exceeds a</w:t>
      </w:r>
      <w:r w:rsidR="00184048">
        <w:t xml:space="preserve"> specified</w:t>
      </w:r>
      <w:r>
        <w:t xml:space="preserve"> boundary value (i.e., </w:t>
      </w:r>
      <m:oMath>
        <m:r>
          <w:rPr>
            <w:rFonts w:ascii="Cambria Math" w:hAnsi="Cambria Math"/>
          </w:rPr>
          <m:t>V&gt;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), then the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method might underestimate the actual collision probability by a</w:t>
      </w:r>
      <w:r w:rsidR="00184048">
        <w:t xml:space="preserve"> corresponding</w:t>
      </w:r>
      <w:r>
        <w:t xml:space="preserve"> 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or more, and a </w:t>
      </w:r>
      <w:r w:rsidR="00180961">
        <w:t>high-fidelity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estimate should be computed.</w:t>
      </w:r>
    </w:p>
    <w:p w14:paraId="2CC81D98" w14:textId="1C57C363" w:rsidR="00C9015C" w:rsidRDefault="0040499F" w:rsidP="00C8085F">
      <w:pPr>
        <w:pStyle w:val="ListParagraph"/>
        <w:numPr>
          <w:ilvl w:val="0"/>
          <w:numId w:val="33"/>
        </w:numPr>
      </w:pPr>
      <w:r>
        <w:t>The diagnostic test has a high false alarm rate</w:t>
      </w:r>
      <w:r w:rsidR="00184048">
        <w:t xml:space="preserve"> because it </w:t>
      </w:r>
      <w:r>
        <w:t>prompt</w:t>
      </w:r>
      <w:r w:rsidR="00184048">
        <w:t>s</w:t>
      </w:r>
      <w:r>
        <w:t xml:space="preserve"> a relatively large number of high-fidelity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184048">
        <w:t>computations</w:t>
      </w:r>
      <w:r>
        <w:t>, in order to find a much smaller number of actual large-amplitude 2D-</w:t>
      </w:r>
      <w:r w:rsidRPr="00C9015C">
        <w:rPr>
          <w:i/>
        </w:rPr>
        <w:t>P</w:t>
      </w:r>
      <w:r w:rsidRPr="00C9015C">
        <w:rPr>
          <w:i/>
          <w:vertAlign w:val="subscript"/>
        </w:rPr>
        <w:t>c</w:t>
      </w:r>
      <w:r>
        <w:t xml:space="preserve"> method underestimations.</w:t>
      </w:r>
    </w:p>
    <w:p w14:paraId="1729A08D" w14:textId="33E50F61" w:rsidR="0040499F" w:rsidRDefault="0040499F" w:rsidP="00C9015C">
      <w:pPr>
        <w:pStyle w:val="ListParagraph"/>
        <w:numPr>
          <w:ilvl w:val="0"/>
          <w:numId w:val="33"/>
        </w:numPr>
      </w:pPr>
      <w:r>
        <w:t>The missed detection rate for the diagnostic test can be reduced by adjusting the boundary metric</w:t>
      </w:r>
      <w:r w:rsidR="00A828BC">
        <w:t xml:space="preserve"> value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015C">
        <w:t xml:space="preserve">.  Among the </w:t>
      </w:r>
      <w:r w:rsidR="00184048">
        <w:t>data</w:t>
      </w:r>
      <w:r w:rsidR="00C9015C">
        <w:t xml:space="preserve"> analyzed </w:t>
      </w:r>
      <w:r w:rsidR="00F45786">
        <w:t>in this study</w:t>
      </w:r>
      <w:r w:rsidR="00C9015C">
        <w:t xml:space="preserve">, </w:t>
      </w:r>
      <w:r w:rsidR="00184048">
        <w:t xml:space="preserve">a </w:t>
      </w:r>
      <w:r w:rsidR="00C9015C">
        <w:t xml:space="preserve">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=0.8</m:t>
        </m:r>
      </m:oMath>
      <w:r w:rsidR="00C9015C">
        <w:t xml:space="preserve"> eliminates all missed detections when testing for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9015C">
        <w:t xml:space="preserve">underestimations </w:t>
      </w:r>
      <w:r w:rsidR="00FF214E">
        <w:t>of</w:t>
      </w:r>
      <w:r w:rsidR="00C9015C">
        <w:t xml:space="preserve"> amplitude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=2.5</m:t>
        </m:r>
      </m:oMath>
      <w:r w:rsidR="00C9015C">
        <w:t xml:space="preserve"> or greater</w:t>
      </w:r>
      <w:r w:rsidR="00184048">
        <w:t xml:space="preserve">.  </w:t>
      </w:r>
      <w:r w:rsidR="00C9015C">
        <w:t xml:space="preserve">Table 1 reports the </w:t>
      </w:r>
      <w:r w:rsidR="00184048">
        <w:t>frequency</w:t>
      </w:r>
      <w:r w:rsidR="00C9015C">
        <w:t xml:space="preserve"> of missed detections for other</w:t>
      </w:r>
      <w:r w:rsidR="006147C7">
        <w:t xml:space="preserve"> boundary</w:t>
      </w:r>
      <w:r w:rsidR="00C9015C">
        <w:t xml:space="preserve"> values</w:t>
      </w:r>
      <w:r w:rsidR="006147C7">
        <w:t xml:space="preserve"> of</w:t>
      </w:r>
      <w:r w:rsidR="00C901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C9015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45786">
        <w:t>.</w:t>
      </w:r>
    </w:p>
    <w:p w14:paraId="6A6B5648" w14:textId="4A0629BA" w:rsidR="006C227A" w:rsidRDefault="006C227A" w:rsidP="006C227A">
      <w:pPr>
        <w:pStyle w:val="Section"/>
      </w:pPr>
      <w:r>
        <w:t>Symbols and acronyms</w:t>
      </w:r>
    </w:p>
    <w:p w14:paraId="6A01B2F3" w14:textId="2FC5444D" w:rsidR="007A57E4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C7E8B">
        <w:tab/>
      </w:r>
      <w:r w:rsidR="007A57E4" w:rsidRPr="003C7E8B">
        <w:t xml:space="preserve">= </w:t>
      </w:r>
      <w:r w:rsidR="00271414" w:rsidRPr="003C7E8B">
        <w:t>the factor bounding what is considered a large-amplitude 2D-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71414" w:rsidRPr="003C7E8B">
        <w:t xml:space="preserve"> underestimation</w:t>
      </w:r>
    </w:p>
    <w:p w14:paraId="36FCA53D" w14:textId="6E8649A2" w:rsidR="006C227A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C7E8B">
        <w:tab/>
      </w:r>
      <w:r w:rsidR="006C227A" w:rsidRPr="003C7E8B">
        <w:t>= probability</w:t>
      </w:r>
      <w:r w:rsidR="00925C88" w:rsidRPr="003C7E8B">
        <w:t xml:space="preserve"> of collision for a conjunction</w:t>
      </w:r>
      <w:r w:rsidR="000C41C8" w:rsidRPr="003C7E8B">
        <w:t xml:space="preserve"> between a primary and secondary satellite</w:t>
      </w:r>
    </w:p>
    <w:p w14:paraId="79DCBFD0" w14:textId="629A8547" w:rsidR="00946B9F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C7E8B">
        <w:tab/>
      </w:r>
      <w:r w:rsidR="00946B9F" w:rsidRPr="003C7E8B">
        <w:t>= a 2D-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46B9F" w:rsidRPr="003C7E8B">
        <w:t xml:space="preserve"> </w:t>
      </w:r>
      <w:r w:rsidR="002D2749" w:rsidRPr="003C7E8B">
        <w:t>value estimated using states and covariances for</w:t>
      </w:r>
      <w:r w:rsidR="00946B9F" w:rsidRPr="003C7E8B">
        <w:t xml:space="preserve"> a</w:t>
      </w:r>
      <w:r w:rsidR="002D2749" w:rsidRPr="003C7E8B">
        <w:t>n</w:t>
      </w:r>
      <w:r w:rsidR="00946B9F" w:rsidRPr="003C7E8B">
        <w:t xml:space="preserve"> offset-from-TCA time </w:t>
      </w:r>
      <m:oMath>
        <m:r>
          <w:rPr>
            <w:rFonts w:ascii="Cambria Math" w:hAnsi="Cambria Math"/>
          </w:rPr>
          <m:t>t</m:t>
        </m:r>
      </m:oMath>
    </w:p>
    <w:p w14:paraId="4555CD6E" w14:textId="2ECF5433" w:rsidR="00A80C6F" w:rsidRPr="003C7E8B" w:rsidRDefault="002B2625" w:rsidP="003C7E8B">
      <w:pPr>
        <w:pStyle w:val="ListParagraph"/>
        <w:ind w:left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C7E8B">
        <w:tab/>
      </w:r>
      <w:r w:rsidR="00A80C6F" w:rsidRPr="003C7E8B">
        <w:t xml:space="preserve">=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80C6F" w:rsidRPr="003C7E8B">
        <w:t xml:space="preserve"> curve calculated using remediated at-TCA postion+velocity covariance</w:t>
      </w:r>
      <w:r w:rsidR="005E09DC" w:rsidRPr="003C7E8B">
        <w:t>s</w:t>
      </w:r>
    </w:p>
    <w:p w14:paraId="4579EBE3" w14:textId="776A2035" w:rsidR="00A80C6F" w:rsidRPr="003C7E8B" w:rsidRDefault="002B2625" w:rsidP="003C7E8B">
      <w:pPr>
        <w:pStyle w:val="ListParagraph"/>
        <w:ind w:left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C7E8B">
        <w:tab/>
      </w:r>
      <w:r w:rsidR="00A80C6F" w:rsidRPr="003C7E8B">
        <w:t xml:space="preserve">=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80C6F" w:rsidRPr="003C7E8B">
        <w:t xml:space="preserve"> curve calculated using unremediated at-TCA postion+velocity covariance</w:t>
      </w:r>
      <w:r w:rsidR="005E09DC" w:rsidRPr="003C7E8B">
        <w:t>s</w:t>
      </w:r>
    </w:p>
    <w:p w14:paraId="2424332F" w14:textId="323E84CE" w:rsidR="002D2749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sub>
        </m:sSub>
      </m:oMath>
      <w:r w:rsidR="003C7E8B">
        <w:tab/>
      </w:r>
      <w:r w:rsidR="00925C88" w:rsidRPr="003C7E8B"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(0)</m:t>
        </m:r>
      </m:oMath>
      <w:r w:rsidR="002D2749" w:rsidRPr="003C7E8B">
        <w:t xml:space="preserve"> = </w:t>
      </w:r>
      <w:r w:rsidR="00DD7DB3">
        <w:t>the</w:t>
      </w:r>
      <w:r w:rsidR="002D2749" w:rsidRPr="003C7E8B">
        <w:t xml:space="preserve"> at-TCA 2D-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D2749" w:rsidRPr="003C7E8B">
        <w:t xml:space="preserve"> </w:t>
      </w:r>
      <w:r w:rsidR="00DD7DB3">
        <w:t>estimate (</w:t>
      </w:r>
      <w:r w:rsidR="002D2749" w:rsidRPr="003C7E8B">
        <w:t>i.e., estimated at a zero offset-from-TCA time</w:t>
      </w:r>
      <w:r w:rsidR="00DD7DB3">
        <w:t>)</w:t>
      </w:r>
    </w:p>
    <w:p w14:paraId="5B16491E" w14:textId="4F3296CC" w:rsidR="00B31FBF" w:rsidRPr="003C7E8B" w:rsidRDefault="002B2625" w:rsidP="003C7E8B">
      <w:pPr>
        <w:pStyle w:val="ListParagraph"/>
        <w:ind w:left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="003C7E8B">
        <w:tab/>
      </w:r>
      <w:r w:rsidR="00B31FBF" w:rsidRPr="003C7E8B">
        <w:t xml:space="preserve">= the minimum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31FBF" w:rsidRPr="003C7E8B">
        <w:t xml:space="preserve"> over the short-term encounter validity interval </w:t>
      </w:r>
      <m:oMath>
        <m:r>
          <m:rPr>
            <m:sty m:val="p"/>
          </m:rPr>
          <w:rPr>
            <w:rFonts w:ascii="Cambria Math" w:hAnsi="Cambria Math"/>
          </w:rPr>
          <m:t>-∆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≤∆</m:t>
        </m:r>
        <m:r>
          <w:rPr>
            <w:rFonts w:ascii="Cambria Math" w:hAnsi="Cambria Math"/>
          </w:rPr>
          <m:t>t</m:t>
        </m:r>
      </m:oMath>
    </w:p>
    <w:p w14:paraId="4177377A" w14:textId="5BBF52ED" w:rsidR="00B31FBF" w:rsidRPr="003C7E8B" w:rsidRDefault="002B2625" w:rsidP="003C7E8B">
      <w:pPr>
        <w:pStyle w:val="ListParagraph"/>
        <w:ind w:left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mid</m:t>
            </m:r>
          </m:sup>
        </m:sSubSup>
      </m:oMath>
      <w:r w:rsidR="003C7E8B">
        <w:tab/>
      </w:r>
      <w:r w:rsidR="00B31FBF" w:rsidRPr="003C7E8B">
        <w:t xml:space="preserve">= the mid-point value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</m:sub>
        </m:sSub>
      </m:oMath>
      <w:r w:rsidR="00B31FBF" w:rsidRPr="003C7E8B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</w:p>
    <w:p w14:paraId="05F6497F" w14:textId="1FDC192A" w:rsidR="00B31FBF" w:rsidRPr="003C7E8B" w:rsidRDefault="002B2625" w:rsidP="003C7E8B">
      <w:pPr>
        <w:pStyle w:val="ListParagraph"/>
        <w:ind w:left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3C7E8B">
        <w:tab/>
      </w:r>
      <w:r w:rsidR="00B31FBF" w:rsidRPr="003C7E8B">
        <w:t xml:space="preserve">= the maximum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31FBF" w:rsidRPr="003C7E8B">
        <w:t xml:space="preserve"> over the short-term encounter validity interval </w:t>
      </w:r>
      <m:oMath>
        <m:r>
          <m:rPr>
            <m:sty m:val="p"/>
          </m:rPr>
          <w:rPr>
            <w:rFonts w:ascii="Cambria Math" w:hAnsi="Cambria Math"/>
          </w:rPr>
          <m:t>-∆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≤∆</m:t>
        </m:r>
        <m:r>
          <w:rPr>
            <w:rFonts w:ascii="Cambria Math" w:hAnsi="Cambria Math"/>
          </w:rPr>
          <m:t>t</m:t>
        </m:r>
      </m:oMath>
    </w:p>
    <w:p w14:paraId="4AC83E22" w14:textId="6E49AAF9" w:rsidR="00B31FBF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C7E8B">
        <w:tab/>
      </w:r>
      <w:r w:rsidR="00B31FBF" w:rsidRPr="003C7E8B">
        <w:t xml:space="preserve">= the close-approach distance estimated </w:t>
      </w:r>
      <w:r w:rsidR="00053876" w:rsidRPr="003C7E8B">
        <w:t>for</w:t>
      </w:r>
      <w:r w:rsidR="00B31FBF" w:rsidRPr="003C7E8B">
        <w:t xml:space="preserve"> an offset-from-TCA time </w:t>
      </w:r>
      <m:oMath>
        <m:r>
          <w:rPr>
            <w:rFonts w:ascii="Cambria Math" w:hAnsi="Cambria Math"/>
          </w:rPr>
          <m:t>t</m:t>
        </m:r>
      </m:oMath>
    </w:p>
    <w:p w14:paraId="524B2A78" w14:textId="412D772E" w:rsidR="006C227A" w:rsidRPr="003C7E8B" w:rsidRDefault="006C227A" w:rsidP="003C7E8B">
      <w:pPr>
        <w:pStyle w:val="ListParagraph"/>
        <w:ind w:left="0"/>
      </w:pPr>
      <m:oMath>
        <m:r>
          <w:rPr>
            <w:rFonts w:ascii="Cambria Math" w:hAnsi="Cambria Math"/>
          </w:rPr>
          <m:t>t</m:t>
        </m:r>
      </m:oMath>
      <w:r w:rsidR="003C7E8B">
        <w:tab/>
      </w:r>
      <w:r w:rsidRPr="003C7E8B">
        <w:t xml:space="preserve">= </w:t>
      </w:r>
      <w:r w:rsidR="00B31FBF" w:rsidRPr="003C7E8B">
        <w:t xml:space="preserve">an </w:t>
      </w:r>
      <w:r w:rsidR="00946B9F" w:rsidRPr="003C7E8B">
        <w:t xml:space="preserve">offset </w:t>
      </w:r>
      <w:r w:rsidRPr="003C7E8B">
        <w:t>time</w:t>
      </w:r>
      <w:r w:rsidR="00946B9F" w:rsidRPr="003C7E8B">
        <w:t xml:space="preserve"> measured relative to a conjunction</w:t>
      </w:r>
      <w:r w:rsidR="002D2749" w:rsidRPr="003C7E8B">
        <w:t>’</w:t>
      </w:r>
      <w:r w:rsidR="00946B9F" w:rsidRPr="003C7E8B">
        <w:t>s nominal TCA</w:t>
      </w:r>
    </w:p>
    <w:p w14:paraId="6F3CCB86" w14:textId="6371A607" w:rsidR="002D2749" w:rsidRPr="003C7E8B" w:rsidRDefault="002D2749" w:rsidP="003C7E8B">
      <w:pPr>
        <w:pStyle w:val="ListParagraph"/>
        <w:ind w:left="0"/>
      </w:pPr>
      <m:oMath>
        <m:r>
          <w:rPr>
            <w:rFonts w:ascii="Cambria Math" w:hAnsi="Cambria Math"/>
          </w:rPr>
          <m:t>V</m:t>
        </m:r>
      </m:oMath>
      <w:r w:rsidR="003C7E8B">
        <w:tab/>
      </w:r>
      <w:r w:rsidRPr="003C7E8B">
        <w:t>= the offset-from-TCA 2D-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3C7E8B">
        <w:t xml:space="preserve"> variation metric, measuring the amplitude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C7E8B">
        <w:t xml:space="preserve"> variations</w:t>
      </w:r>
    </w:p>
    <w:p w14:paraId="70D6830D" w14:textId="12D61F5A" w:rsidR="00BA4B85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C7E8B">
        <w:tab/>
      </w:r>
      <w:r w:rsidR="00BA4B85" w:rsidRPr="003C7E8B">
        <w:t xml:space="preserve">= a boundary </w:t>
      </w:r>
      <m:oMath>
        <m:r>
          <w:rPr>
            <w:rFonts w:ascii="Cambria Math" w:hAnsi="Cambria Math"/>
          </w:rPr>
          <m:t>V</m:t>
        </m:r>
      </m:oMath>
      <w:r w:rsidR="00441815" w:rsidRPr="003C7E8B">
        <w:t xml:space="preserve"> </w:t>
      </w:r>
      <w:r w:rsidR="00441815">
        <w:t>value;</w:t>
      </w:r>
      <w:r w:rsidR="004A3FF1" w:rsidRPr="003C7E8B">
        <w:t xml:space="preserve">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A3FF1" w:rsidRPr="003C7E8B">
        <w:t xml:space="preserve"> indicates potential </w:t>
      </w:r>
      <w:r w:rsidR="00441815">
        <w:t xml:space="preserve">large-amplitude </w:t>
      </w:r>
      <w:r w:rsidR="004A3FF1" w:rsidRPr="003C7E8B">
        <w:t>2D-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A3FF1" w:rsidRPr="003C7E8B">
        <w:t xml:space="preserve"> underestimations</w:t>
      </w:r>
    </w:p>
    <w:p w14:paraId="7BD6CE08" w14:textId="0742CBE8" w:rsidR="002D2749" w:rsidRPr="003C7E8B" w:rsidRDefault="002D2749" w:rsidP="003C7E8B">
      <w:pPr>
        <w:pStyle w:val="ListParagraph"/>
        <w:ind w:left="0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3C7E8B">
        <w:tab/>
      </w:r>
      <w:r w:rsidRPr="003C7E8B">
        <w:t xml:space="preserve">= an alternate metric </w:t>
      </w:r>
      <w:r w:rsidR="00D806F3" w:rsidRPr="003C7E8B">
        <w:t xml:space="preserve">measuring the amplitude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806F3" w:rsidRPr="003C7E8B">
        <w:t xml:space="preserve"> variations</w:t>
      </w:r>
    </w:p>
    <w:p w14:paraId="1E5BC46E" w14:textId="77777777" w:rsidR="00E460AF" w:rsidRPr="003C7E8B" w:rsidRDefault="00E460AF" w:rsidP="003C7E8B">
      <w:pPr>
        <w:pStyle w:val="ListParagraph"/>
        <w:ind w:left="0"/>
      </w:pPr>
    </w:p>
    <w:p w14:paraId="0C762EEC" w14:textId="7FE0FC74" w:rsidR="00B5686B" w:rsidRPr="003C7E8B" w:rsidRDefault="002D2749" w:rsidP="003C7E8B">
      <w:pPr>
        <w:pStyle w:val="ListParagraph"/>
        <w:ind w:left="0"/>
      </w:pP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="003C7E8B">
        <w:tab/>
      </w:r>
      <w:r w:rsidR="00B5686B" w:rsidRPr="003C7E8B">
        <w:t xml:space="preserve">= the </w:t>
      </w:r>
      <w:r w:rsidRPr="003C7E8B">
        <w:t>half</w:t>
      </w:r>
      <w:r w:rsidR="000123FD" w:rsidRPr="003C7E8B">
        <w:t>-</w:t>
      </w:r>
      <w:r w:rsidRPr="003C7E8B">
        <w:t>width of a conjunction’s short-term encounter validity interval</w:t>
      </w:r>
    </w:p>
    <w:p w14:paraId="26BE15EF" w14:textId="7EE2A662" w:rsidR="00906F48" w:rsidRPr="003C7E8B" w:rsidRDefault="00906F48" w:rsidP="003C7E8B">
      <w:pPr>
        <w:pStyle w:val="ListParagraph"/>
        <w:ind w:left="0"/>
      </w:pPr>
      <m:oMath>
        <m:r>
          <w:rPr>
            <w:rFonts w:ascii="Cambria Math" w:hAnsi="Cambria Math"/>
          </w:rPr>
          <m:t>γ</m:t>
        </m:r>
      </m:oMath>
      <w:r w:rsidR="003C7E8B">
        <w:tab/>
      </w:r>
      <w:r w:rsidR="00C410D8" w:rsidRPr="003C7E8B">
        <w:t xml:space="preserve">= </w:t>
      </w:r>
      <w:r w:rsidRPr="003C7E8B">
        <w:t>the precision tolerance used to define a conjunction’s duration, taken to be 10-16 here</w:t>
      </w:r>
    </w:p>
    <w:p w14:paraId="022E4238" w14:textId="5D6EE853" w:rsidR="006C227A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C7E8B">
        <w:tab/>
      </w:r>
      <w:r w:rsidR="006C227A" w:rsidRPr="003C7E8B">
        <w:t xml:space="preserve">= </w:t>
      </w:r>
      <w:r w:rsidR="00690ED9" w:rsidRPr="003C7E8B">
        <w:t xml:space="preserve">the </w:t>
      </w:r>
      <w:r w:rsidR="002D2749" w:rsidRPr="003C7E8B">
        <w:t>begin</w:t>
      </w:r>
      <w:r w:rsidR="008C5C83" w:rsidRPr="003C7E8B">
        <w:t xml:space="preserve">-time </w:t>
      </w:r>
      <w:r w:rsidR="002D2749" w:rsidRPr="003C7E8B">
        <w:t xml:space="preserve">of a conjunction’s </w:t>
      </w:r>
      <w:r w:rsidR="008C5C83" w:rsidRPr="003C7E8B">
        <w:t xml:space="preserve">encounter </w:t>
      </w:r>
      <w:r w:rsidR="002D2749" w:rsidRPr="003C7E8B">
        <w:t>duration measured relative to TCA</w:t>
      </w:r>
    </w:p>
    <w:p w14:paraId="6FCA96C0" w14:textId="0BF8D367" w:rsidR="006C227A" w:rsidRPr="003C7E8B" w:rsidRDefault="002B2625" w:rsidP="003C7E8B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C7E8B">
        <w:tab/>
      </w:r>
      <w:r w:rsidR="002D2749" w:rsidRPr="003C7E8B">
        <w:t>= the end</w:t>
      </w:r>
      <w:r w:rsidR="008C5C83" w:rsidRPr="003C7E8B">
        <w:t>-time</w:t>
      </w:r>
      <w:r w:rsidR="002D2749" w:rsidRPr="003C7E8B">
        <w:t xml:space="preserve"> of a conjunction’s </w:t>
      </w:r>
      <w:r w:rsidR="008C5C83" w:rsidRPr="003C7E8B">
        <w:t xml:space="preserve">encounter </w:t>
      </w:r>
      <w:r w:rsidR="002D2749" w:rsidRPr="003C7E8B">
        <w:t>duration measured relative to TCA</w:t>
      </w:r>
    </w:p>
    <w:p w14:paraId="16E2B5AE" w14:textId="77777777" w:rsidR="00E460AF" w:rsidRPr="003C7E8B" w:rsidRDefault="00E460AF" w:rsidP="003C7E8B">
      <w:pPr>
        <w:pStyle w:val="ListParagraph"/>
        <w:ind w:left="0"/>
      </w:pPr>
    </w:p>
    <w:p w14:paraId="0718588C" w14:textId="293657BF" w:rsidR="00606526" w:rsidRPr="003C7E8B" w:rsidRDefault="00606526" w:rsidP="003C7E8B">
      <w:pPr>
        <w:pStyle w:val="ListParagraph"/>
        <w:ind w:left="0"/>
      </w:pPr>
      <w:r w:rsidRPr="003C7E8B">
        <w:t>2D</w:t>
      </w:r>
      <w:r w:rsidR="003C7E8B">
        <w:tab/>
      </w:r>
      <w:r w:rsidRPr="003C7E8B">
        <w:t>= two-dimensional</w:t>
      </w:r>
    </w:p>
    <w:p w14:paraId="4809C5FC" w14:textId="41E9248A" w:rsidR="00606526" w:rsidRPr="003C7E8B" w:rsidRDefault="00606526" w:rsidP="003C7E8B">
      <w:pPr>
        <w:pStyle w:val="ListParagraph"/>
        <w:ind w:left="0"/>
      </w:pPr>
      <w:r w:rsidRPr="003C7E8B">
        <w:t>2D-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C7E8B">
        <w:tab/>
      </w:r>
      <w:r w:rsidRPr="003C7E8B">
        <w:t>= a collision probability estimated using the 2D collision probability method</w:t>
      </w:r>
    </w:p>
    <w:p w14:paraId="37E3C9FB" w14:textId="2134F727" w:rsidR="00606526" w:rsidRPr="003C7E8B" w:rsidRDefault="00606526" w:rsidP="003C7E8B">
      <w:pPr>
        <w:pStyle w:val="ListParagraph"/>
        <w:ind w:left="0"/>
      </w:pPr>
      <w:r w:rsidRPr="003C7E8B">
        <w:t>BFMC</w:t>
      </w:r>
      <w:r w:rsidR="003C7E8B">
        <w:tab/>
      </w:r>
      <w:r w:rsidRPr="003C7E8B">
        <w:t>= brute force Monte Carlo</w:t>
      </w:r>
    </w:p>
    <w:p w14:paraId="265EC82C" w14:textId="01D9253C" w:rsidR="00606526" w:rsidRPr="003C7E8B" w:rsidRDefault="00606526" w:rsidP="003C7E8B">
      <w:pPr>
        <w:pStyle w:val="ListParagraph"/>
        <w:ind w:left="0"/>
      </w:pPr>
      <w:r w:rsidRPr="003C7E8B">
        <w:t>BFMC-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C7E8B">
        <w:t xml:space="preserve"> </w:t>
      </w:r>
      <w:r w:rsidRPr="003C7E8B">
        <w:t>= a collision probability estimate</w:t>
      </w:r>
      <w:r w:rsidR="00672E1B" w:rsidRPr="003C7E8B">
        <w:t>d</w:t>
      </w:r>
      <w:r w:rsidRPr="003C7E8B">
        <w:t xml:space="preserve"> </w:t>
      </w:r>
      <w:r w:rsidR="00672E1B" w:rsidRPr="003C7E8B">
        <w:t>using</w:t>
      </w:r>
      <w:r w:rsidRPr="003C7E8B">
        <w:t xml:space="preserve"> a BFMC simulation</w:t>
      </w:r>
    </w:p>
    <w:p w14:paraId="53DDBA38" w14:textId="05E30D94" w:rsidR="006C227A" w:rsidRPr="003C7E8B" w:rsidRDefault="006C227A" w:rsidP="003C7E8B">
      <w:pPr>
        <w:pStyle w:val="ListParagraph"/>
        <w:ind w:left="0"/>
      </w:pPr>
      <w:r w:rsidRPr="003C7E8B">
        <w:t>CARA</w:t>
      </w:r>
      <w:r w:rsidR="003C7E8B">
        <w:tab/>
      </w:r>
      <w:r w:rsidRPr="003C7E8B">
        <w:t>= Conjunction Assessment Risk Analysis</w:t>
      </w:r>
    </w:p>
    <w:p w14:paraId="4B3B5394" w14:textId="16568818" w:rsidR="00672E1B" w:rsidRPr="003C7E8B" w:rsidRDefault="00672E1B" w:rsidP="003C7E8B">
      <w:pPr>
        <w:pStyle w:val="ListParagraph"/>
        <w:ind w:left="0"/>
      </w:pPr>
      <w:r w:rsidRPr="003C7E8B">
        <w:t>CDM</w:t>
      </w:r>
      <w:r w:rsidR="003C7E8B">
        <w:tab/>
      </w:r>
      <w:r w:rsidRPr="003C7E8B">
        <w:t>= conjunction data message</w:t>
      </w:r>
    </w:p>
    <w:p w14:paraId="4CDF7CDC" w14:textId="43274B3A" w:rsidR="00F729F9" w:rsidRPr="003C7E8B" w:rsidRDefault="00F729F9" w:rsidP="003C7E8B">
      <w:pPr>
        <w:pStyle w:val="ListParagraph"/>
        <w:ind w:left="0"/>
      </w:pPr>
      <w:r w:rsidRPr="003C7E8B">
        <w:t>NPD</w:t>
      </w:r>
      <w:r w:rsidR="003C7E8B">
        <w:tab/>
      </w:r>
      <w:r w:rsidRPr="003C7E8B">
        <w:t>= non-positive definite</w:t>
      </w:r>
    </w:p>
    <w:p w14:paraId="2EB53979" w14:textId="5733303F" w:rsidR="006C227A" w:rsidRPr="003C7E8B" w:rsidRDefault="006C227A" w:rsidP="003C7E8B">
      <w:pPr>
        <w:pStyle w:val="ListParagraph"/>
        <w:ind w:left="0"/>
      </w:pPr>
      <w:r w:rsidRPr="003C7E8B">
        <w:t>OD</w:t>
      </w:r>
      <w:r w:rsidR="003C7E8B">
        <w:tab/>
      </w:r>
      <w:r w:rsidRPr="003C7E8B">
        <w:t>= orbit determination</w:t>
      </w:r>
    </w:p>
    <w:p w14:paraId="51BF931C" w14:textId="51C48FEA" w:rsidR="000A2233" w:rsidRPr="003C7E8B" w:rsidRDefault="000A2233" w:rsidP="003C7E8B">
      <w:pPr>
        <w:pStyle w:val="ListParagraph"/>
        <w:ind w:left="0"/>
      </w:pPr>
      <w:r w:rsidRPr="003C7E8B">
        <w:t>NASA</w:t>
      </w:r>
      <w:r w:rsidR="003C7E8B">
        <w:tab/>
      </w:r>
      <w:r w:rsidRPr="003C7E8B">
        <w:t>= National Aeronautics and Space Administration</w:t>
      </w:r>
    </w:p>
    <w:p w14:paraId="31A0BBF5" w14:textId="1D2F7D5D" w:rsidR="006C227A" w:rsidRDefault="006C227A" w:rsidP="003C7E8B">
      <w:pPr>
        <w:pStyle w:val="ListParagraph"/>
        <w:ind w:left="0"/>
      </w:pPr>
      <w:r w:rsidRPr="003C7E8B">
        <w:t>TCA</w:t>
      </w:r>
      <w:r w:rsidR="003C7E8B">
        <w:tab/>
      </w:r>
      <w:r w:rsidRPr="003C7E8B">
        <w:t>= time of closest approach</w:t>
      </w:r>
    </w:p>
    <w:p w14:paraId="3B9DBAA1" w14:textId="77777777" w:rsidR="00FE7C46" w:rsidRDefault="00FE7C46" w:rsidP="004B7A44">
      <w:pPr>
        <w:pStyle w:val="Section"/>
      </w:pPr>
      <w:r>
        <w:t>Acknowledgment</w:t>
      </w:r>
      <w:r w:rsidR="002450FD">
        <w:t>s</w:t>
      </w:r>
    </w:p>
    <w:p w14:paraId="2D0D7C85" w14:textId="30E58C08" w:rsidR="00FE7C46" w:rsidRDefault="002E120C">
      <w:r>
        <w:t xml:space="preserve">The author would like to thank </w:t>
      </w:r>
      <w:r w:rsidR="00440607">
        <w:t xml:space="preserve">Luis Baars, Steve Casali, </w:t>
      </w:r>
      <w:r w:rsidR="00C77327">
        <w:t xml:space="preserve">Joseph Frisbee, </w:t>
      </w:r>
      <w:r w:rsidR="009737A6">
        <w:t>Matthew</w:t>
      </w:r>
      <w:r w:rsidR="00440607">
        <w:t xml:space="preserve"> </w:t>
      </w:r>
      <w:r w:rsidR="009737A6">
        <w:t>Hejduk</w:t>
      </w:r>
      <w:r w:rsidR="001E3F5F">
        <w:t>, Travis Lechtenberg,</w:t>
      </w:r>
      <w:r w:rsidR="00C2591C">
        <w:t xml:space="preserve"> and Daniel Snow</w:t>
      </w:r>
      <w:r w:rsidR="009737A6">
        <w:t xml:space="preserve"> </w:t>
      </w:r>
      <w:r>
        <w:t xml:space="preserve">for </w:t>
      </w:r>
      <w:r w:rsidR="00981248">
        <w:t>several helpful discussions and analyses</w:t>
      </w:r>
      <w:r w:rsidR="007C47BD">
        <w:t>.</w:t>
      </w:r>
      <w:r w:rsidR="007241F7">
        <w:t xml:space="preserve">  The CARA</w:t>
      </w:r>
      <w:r w:rsidR="004B6C5E">
        <w:t xml:space="preserve"> analysis</w:t>
      </w:r>
      <w:r w:rsidR="007241F7">
        <w:t xml:space="preserve"> team would like to thank Salvatore Alfano for suggesting the amplitude of offset-from-TCA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241F7">
        <w:t xml:space="preserve"> variations as </w:t>
      </w:r>
      <w:r w:rsidR="005045F5">
        <w:t>an</w:t>
      </w:r>
      <w:r w:rsidR="007241F7">
        <w:t xml:space="preserve"> </w:t>
      </w:r>
      <w:r w:rsidR="004B6C5E">
        <w:t>indicat</w:t>
      </w:r>
      <w:r w:rsidR="005045F5">
        <w:t>or of</w:t>
      </w:r>
      <w:r w:rsidR="007241F7">
        <w:t xml:space="preserve"> potential 2D-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241F7">
        <w:t xml:space="preserve"> method inaccuracies.</w:t>
      </w:r>
    </w:p>
    <w:p w14:paraId="58349348" w14:textId="77777777" w:rsidR="000632A6" w:rsidRDefault="000632A6" w:rsidP="000632A6">
      <w:pPr>
        <w:pStyle w:val="Section"/>
      </w:pPr>
      <w:r>
        <w:t>References</w:t>
      </w:r>
    </w:p>
    <w:p w14:paraId="2440A06B" w14:textId="77777777" w:rsidR="006059B8" w:rsidRDefault="006059B8" w:rsidP="006059B8">
      <w:pPr>
        <w:pStyle w:val="ListParagraph"/>
        <w:numPr>
          <w:ilvl w:val="0"/>
          <w:numId w:val="27"/>
        </w:numPr>
        <w:ind w:left="90" w:hanging="90"/>
      </w:pPr>
      <w:bookmarkStart w:id="2" w:name="_Ref514676603"/>
      <w:bookmarkStart w:id="3" w:name="_Ref459731069"/>
      <w:r>
        <w:t>J.L. Foster and H.S. Estes, “A Parametric Analysis of Orbital Debris Collision Probability and Maneuver Rate for Space Vehicles,” NASA/JSC-25898, Aug. 1992.</w:t>
      </w:r>
      <w:bookmarkEnd w:id="2"/>
    </w:p>
    <w:p w14:paraId="46E841A4" w14:textId="77777777" w:rsidR="006059B8" w:rsidRDefault="006059B8" w:rsidP="006059B8">
      <w:pPr>
        <w:pStyle w:val="ListParagraph"/>
        <w:numPr>
          <w:ilvl w:val="0"/>
          <w:numId w:val="27"/>
        </w:numPr>
        <w:ind w:left="90" w:hanging="90"/>
      </w:pPr>
      <w:bookmarkStart w:id="4" w:name="_Ref514676846"/>
      <w:r>
        <w:t xml:space="preserve">M.R. Akella and K.T. Alfriend, “The Probability of Collision Between Space Objects,” </w:t>
      </w:r>
      <w:r w:rsidRPr="000632A6">
        <w:rPr>
          <w:i/>
        </w:rPr>
        <w:t>Journal of Guidance, Control, and Dynamics</w:t>
      </w:r>
      <w:r>
        <w:t>, Vol. 23, No. 5, pp. 769-772, 2000.</w:t>
      </w:r>
      <w:bookmarkEnd w:id="4"/>
    </w:p>
    <w:p w14:paraId="27B48E22" w14:textId="06156F9A" w:rsidR="006059B8" w:rsidRDefault="006059B8" w:rsidP="006059B8">
      <w:pPr>
        <w:pStyle w:val="ListParagraph"/>
        <w:numPr>
          <w:ilvl w:val="0"/>
          <w:numId w:val="27"/>
        </w:numPr>
        <w:ind w:left="90" w:hanging="90"/>
      </w:pPr>
      <w:bookmarkStart w:id="5" w:name="_Ref514676608"/>
      <w:r>
        <w:t xml:space="preserve">K. Chan, </w:t>
      </w:r>
      <w:r w:rsidRPr="000632A6">
        <w:rPr>
          <w:i/>
        </w:rPr>
        <w:t>Spacecraft Collision Probability</w:t>
      </w:r>
      <w:r>
        <w:t>, El Segundo, CA, The AeroSpace Corporation, 2008.</w:t>
      </w:r>
      <w:bookmarkEnd w:id="5"/>
    </w:p>
    <w:p w14:paraId="58C8F9A8" w14:textId="78CAB9AB" w:rsidR="006059B8" w:rsidRDefault="006059B8" w:rsidP="006059B8">
      <w:pPr>
        <w:pStyle w:val="ListParagraph"/>
        <w:numPr>
          <w:ilvl w:val="0"/>
          <w:numId w:val="27"/>
        </w:numPr>
        <w:ind w:left="90" w:hanging="90"/>
      </w:pPr>
      <w:bookmarkStart w:id="6" w:name="_Ref6464558"/>
      <w:r>
        <w:t>D. Hall</w:t>
      </w:r>
      <w:r w:rsidR="00BF0228">
        <w:t>, S.J. Casali, L.C. Johnson, B.B. Skrehart, and L.G. Baars</w:t>
      </w:r>
      <w:r>
        <w:t>, “</w:t>
      </w:r>
      <w:r w:rsidR="00180961">
        <w:t>High-fidelity</w:t>
      </w:r>
      <w:r>
        <w:t xml:space="preserve"> Collision Probabilities Estimated Using Brute Force Monte Carlo Simulations,” </w:t>
      </w:r>
      <w:r w:rsidRPr="000632A6">
        <w:rPr>
          <w:i/>
        </w:rPr>
        <w:t xml:space="preserve">AAS </w:t>
      </w:r>
      <w:r>
        <w:rPr>
          <w:i/>
        </w:rPr>
        <w:t>Astrodynamics Specialist Conference</w:t>
      </w:r>
      <w:r>
        <w:t>, Snowbird, UT, Paper 18-244, Aug. 2018.</w:t>
      </w:r>
      <w:bookmarkEnd w:id="6"/>
    </w:p>
    <w:p w14:paraId="070C12A1" w14:textId="61C6FAA3" w:rsidR="009F2C97" w:rsidRDefault="009F2C97" w:rsidP="006059B8">
      <w:pPr>
        <w:pStyle w:val="ListParagraph"/>
        <w:numPr>
          <w:ilvl w:val="0"/>
          <w:numId w:val="27"/>
        </w:numPr>
        <w:ind w:left="90" w:hanging="90"/>
      </w:pPr>
      <w:bookmarkStart w:id="7" w:name="_Ref459723484"/>
      <w:r>
        <w:t xml:space="preserve">V.T. Coppola, “Evaluating the Short Encounter Assumption of the Probability of Collision Formula,” </w:t>
      </w:r>
      <w:r w:rsidRPr="003747A6">
        <w:rPr>
          <w:i/>
        </w:rPr>
        <w:t>AAS/AIAA Spaceflight Mechanics Meeting</w:t>
      </w:r>
      <w:r>
        <w:t>, Charleston SC, Paper 12-248, Feb. 2012</w:t>
      </w:r>
      <w:r w:rsidRPr="00704B24">
        <w:t>.</w:t>
      </w:r>
      <w:bookmarkEnd w:id="7"/>
    </w:p>
    <w:p w14:paraId="51E2C63A" w14:textId="77777777" w:rsidR="000632A6" w:rsidRDefault="009737A6" w:rsidP="000632A6">
      <w:pPr>
        <w:pStyle w:val="ListParagraph"/>
        <w:numPr>
          <w:ilvl w:val="0"/>
          <w:numId w:val="27"/>
        </w:numPr>
        <w:ind w:left="90" w:hanging="90"/>
      </w:pPr>
      <w:bookmarkStart w:id="8" w:name="_Ref514676578"/>
      <w:bookmarkEnd w:id="3"/>
      <w:r>
        <w:t xml:space="preserve">B.D. Tapley, B.E. Schutz, and G.H. Born, </w:t>
      </w:r>
      <w:r w:rsidRPr="000632A6">
        <w:rPr>
          <w:i/>
        </w:rPr>
        <w:t>Statistical Orbit Determination</w:t>
      </w:r>
      <w:r>
        <w:t>, Elsevier Academic Press, Burlington, MA, 2004.</w:t>
      </w:r>
      <w:bookmarkEnd w:id="8"/>
    </w:p>
    <w:p w14:paraId="3DBE4726" w14:textId="23F4C907" w:rsidR="000632A6" w:rsidRDefault="004B3BBA" w:rsidP="000632A6">
      <w:pPr>
        <w:pStyle w:val="ListParagraph"/>
        <w:numPr>
          <w:ilvl w:val="0"/>
          <w:numId w:val="27"/>
        </w:numPr>
        <w:ind w:left="90" w:hanging="90"/>
      </w:pPr>
      <w:bookmarkStart w:id="9" w:name="_Ref514676675"/>
      <w:r>
        <w:t xml:space="preserve">D.A. Vallado, </w:t>
      </w:r>
      <w:r w:rsidRPr="000632A6">
        <w:rPr>
          <w:i/>
        </w:rPr>
        <w:t>Fundamentals of Astrodynamics and Applications</w:t>
      </w:r>
      <w:r>
        <w:t>, 2</w:t>
      </w:r>
      <w:r w:rsidRPr="000632A6">
        <w:rPr>
          <w:vertAlign w:val="superscript"/>
        </w:rPr>
        <w:t>rd</w:t>
      </w:r>
      <w:r>
        <w:t xml:space="preserve"> ed., Microcosm Press, El Segundo CA, 2001.</w:t>
      </w:r>
      <w:bookmarkEnd w:id="9"/>
    </w:p>
    <w:p w14:paraId="555EBB5B" w14:textId="44F62AD4" w:rsidR="00754E99" w:rsidRDefault="00754E99" w:rsidP="00754E99">
      <w:pPr>
        <w:pStyle w:val="ListParagraph"/>
        <w:numPr>
          <w:ilvl w:val="0"/>
          <w:numId w:val="27"/>
        </w:numPr>
        <w:ind w:left="90" w:hanging="90"/>
      </w:pPr>
      <w:bookmarkStart w:id="10" w:name="_Ref514746819"/>
      <w:bookmarkStart w:id="11" w:name="_Ref514677083"/>
      <w:r>
        <w:lastRenderedPageBreak/>
        <w:t xml:space="preserve">D.T. Hall, M.D. Hejduk, and L.C. Johnson, “Remediating Non-Positive Definite State Covariances for Collision Probability Estimation,” </w:t>
      </w:r>
      <w:r w:rsidRPr="000632A6">
        <w:rPr>
          <w:i/>
        </w:rPr>
        <w:t xml:space="preserve">AAS </w:t>
      </w:r>
      <w:r>
        <w:rPr>
          <w:i/>
        </w:rPr>
        <w:t>Astrodynamics Specialist Conference</w:t>
      </w:r>
      <w:r>
        <w:t>, Columbia Valley, WA, Paper 17-567, 2017.</w:t>
      </w:r>
      <w:bookmarkEnd w:id="10"/>
    </w:p>
    <w:p w14:paraId="32D5D4DE" w14:textId="74D4976F" w:rsidR="001540CE" w:rsidRDefault="001540CE" w:rsidP="00754E99">
      <w:pPr>
        <w:pStyle w:val="ListParagraph"/>
        <w:numPr>
          <w:ilvl w:val="0"/>
          <w:numId w:val="27"/>
        </w:numPr>
        <w:ind w:left="90" w:hanging="90"/>
      </w:pPr>
      <w:bookmarkStart w:id="12" w:name="_Ref459798960"/>
      <w:r>
        <w:t xml:space="preserve">S.W. Shepperd, “Universal Keplerian State Transition Matrix,” </w:t>
      </w:r>
      <w:r>
        <w:rPr>
          <w:i/>
        </w:rPr>
        <w:t>Celestial Mechanics</w:t>
      </w:r>
      <w:r>
        <w:t>, Vol. 35, pp. 129-144, 1985.</w:t>
      </w:r>
      <w:bookmarkEnd w:id="12"/>
    </w:p>
    <w:p w14:paraId="45BB3669" w14:textId="1031FD6D" w:rsidR="001540CE" w:rsidRDefault="001540CE" w:rsidP="00754E99">
      <w:pPr>
        <w:pStyle w:val="ListParagraph"/>
        <w:numPr>
          <w:ilvl w:val="0"/>
          <w:numId w:val="27"/>
        </w:numPr>
        <w:ind w:left="90" w:hanging="90"/>
      </w:pPr>
      <w:bookmarkStart w:id="13" w:name="_Ref514740245"/>
      <w:r>
        <w:t xml:space="preserve">D. Vallado, “Covariance Transformation for Satellite Flight Dynamics Operations,” </w:t>
      </w:r>
      <w:r>
        <w:rPr>
          <w:i/>
        </w:rPr>
        <w:t>AAS/AIAA Astrodynamics Specialist Conference</w:t>
      </w:r>
      <w:r>
        <w:t>, Big Sky, MT, Paper 03-526, 2003.</w:t>
      </w:r>
      <w:bookmarkEnd w:id="13"/>
    </w:p>
    <w:p w14:paraId="00D0DB20" w14:textId="3B36EB85" w:rsidR="009F2C97" w:rsidRDefault="001540CE" w:rsidP="001540CE">
      <w:pPr>
        <w:pStyle w:val="ListParagraph"/>
        <w:numPr>
          <w:ilvl w:val="0"/>
          <w:numId w:val="27"/>
        </w:numPr>
        <w:ind w:left="90" w:hanging="90"/>
      </w:pPr>
      <w:bookmarkStart w:id="14" w:name="_Ref514740249"/>
      <w:r>
        <w:t xml:space="preserve">D. Vallado and S. Alfano, “Updated Analytical Partials for Covariance Transformations and Optimization,” </w:t>
      </w:r>
      <w:r>
        <w:rPr>
          <w:i/>
        </w:rPr>
        <w:t>AAS/AIAA Space Flight Mechanics Meeting</w:t>
      </w:r>
      <w:r>
        <w:t>, Williamsburg, VA, Paper 15-537, 2015.</w:t>
      </w:r>
      <w:bookmarkEnd w:id="11"/>
      <w:bookmarkEnd w:id="14"/>
    </w:p>
    <w:p w14:paraId="23884E6B" w14:textId="7D7078D6" w:rsidR="00083304" w:rsidRDefault="00173756" w:rsidP="000632A6">
      <w:pPr>
        <w:pStyle w:val="ListParagraph"/>
        <w:numPr>
          <w:ilvl w:val="0"/>
          <w:numId w:val="27"/>
        </w:numPr>
        <w:ind w:left="90" w:hanging="90"/>
      </w:pPr>
      <w:bookmarkStart w:id="15" w:name="_Ref8293501"/>
      <w:r>
        <w:t xml:space="preserve">W.H. Press </w:t>
      </w:r>
      <w:r w:rsidRPr="00173756">
        <w:rPr>
          <w:i/>
        </w:rPr>
        <w:t>et al</w:t>
      </w:r>
      <w:r>
        <w:t xml:space="preserve">, </w:t>
      </w:r>
      <w:r>
        <w:rPr>
          <w:i/>
        </w:rPr>
        <w:t>Numerical Recipes in FORTRAN: The Art of Scientific Computing</w:t>
      </w:r>
      <w:r>
        <w:t>, 2</w:t>
      </w:r>
      <w:r w:rsidRPr="00173756">
        <w:rPr>
          <w:vertAlign w:val="superscript"/>
        </w:rPr>
        <w:t>nd</w:t>
      </w:r>
      <w:r>
        <w:t xml:space="preserve"> edition, Cambridge University Press, New York, NY, 1992.</w:t>
      </w:r>
      <w:bookmarkEnd w:id="15"/>
    </w:p>
    <w:p w14:paraId="5ED8A586" w14:textId="3D671746" w:rsidR="00A546CA" w:rsidRDefault="00A546CA" w:rsidP="00A546CA">
      <w:pPr>
        <w:pStyle w:val="ListParagraph"/>
        <w:numPr>
          <w:ilvl w:val="0"/>
          <w:numId w:val="27"/>
        </w:numPr>
        <w:ind w:left="90" w:hanging="90"/>
      </w:pPr>
      <w:bookmarkStart w:id="16" w:name="_Ref8724143"/>
      <w:r>
        <w:t>V</w:t>
      </w:r>
      <w:r w:rsidRPr="00704B24">
        <w:t>.</w:t>
      </w:r>
      <w:r>
        <w:t>T</w:t>
      </w:r>
      <w:r w:rsidRPr="00704B24">
        <w:t xml:space="preserve">. </w:t>
      </w:r>
      <w:r>
        <w:t xml:space="preserve">Coppola, “Including Velocity Uncertainty in the Probability of Collision between Space Objects,” </w:t>
      </w:r>
      <w:r w:rsidRPr="000632A6">
        <w:rPr>
          <w:i/>
        </w:rPr>
        <w:t>AAS/AIAA Spaceflight Mechanics Meeting</w:t>
      </w:r>
      <w:r>
        <w:t>, Charleston SC, Paper 12-247, Feb. 2012</w:t>
      </w:r>
      <w:r w:rsidRPr="00704B24">
        <w:t>.</w:t>
      </w:r>
      <w:bookmarkEnd w:id="16"/>
    </w:p>
    <w:sectPr w:rsidR="00A546CA" w:rsidSect="009572CB">
      <w:footerReference w:type="even" r:id="rId11"/>
      <w:footerReference w:type="default" r:id="rId12"/>
      <w:footnotePr>
        <w:numFmt w:val="chicago"/>
        <w:numRestart w:val="eachPage"/>
      </w:footnotePr>
      <w:endnotePr>
        <w:numFmt w:val="decimal"/>
      </w:endnotePr>
      <w:pgSz w:w="12240" w:h="15840"/>
      <w:pgMar w:top="1080" w:right="1800" w:bottom="21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423B" w14:textId="77777777" w:rsidR="002B2625" w:rsidRPr="00862E9E" w:rsidRDefault="002B2625" w:rsidP="00FE7C46">
      <w:pPr>
        <w:pStyle w:val="Section"/>
      </w:pPr>
      <w:r>
        <w:t>References</w:t>
      </w:r>
    </w:p>
  </w:endnote>
  <w:endnote w:type="continuationSeparator" w:id="0">
    <w:p w14:paraId="15AEFD2A" w14:textId="77777777" w:rsidR="002B2625" w:rsidRPr="008048E9" w:rsidRDefault="002B2625" w:rsidP="00FE7C46">
      <w:pPr>
        <w:pStyle w:val="Footer"/>
        <w:rPr>
          <w:sz w:val="2"/>
          <w:szCs w:val="2"/>
        </w:rPr>
      </w:pPr>
    </w:p>
  </w:endnote>
  <w:endnote w:type="continuationNotice" w:id="1">
    <w:p w14:paraId="3C754E88" w14:textId="77777777" w:rsidR="002B2625" w:rsidRDefault="002B2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7613B" w14:textId="77777777" w:rsidR="00421D9E" w:rsidRDefault="00421D9E" w:rsidP="009572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5A1D1A" w14:textId="77777777" w:rsidR="00421D9E" w:rsidRDefault="00421D9E" w:rsidP="00C34C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D581" w14:textId="120A1259" w:rsidR="00421D9E" w:rsidRDefault="00421D9E" w:rsidP="009572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5B1761B2" w14:textId="77777777" w:rsidR="00421D9E" w:rsidRDefault="00421D9E" w:rsidP="00C34C94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C4A9" w14:textId="77777777" w:rsidR="002B2625" w:rsidRDefault="002B2625" w:rsidP="002D5428">
      <w:r w:rsidRPr="002D5428">
        <w:separator/>
      </w:r>
    </w:p>
  </w:footnote>
  <w:footnote w:type="continuationSeparator" w:id="0">
    <w:p w14:paraId="35C9B124" w14:textId="77777777" w:rsidR="002B2625" w:rsidRDefault="002B2625" w:rsidP="00FE7C46">
      <w:r>
        <w:continuationSeparator/>
      </w:r>
    </w:p>
  </w:footnote>
  <w:footnote w:type="continuationNotice" w:id="1">
    <w:p w14:paraId="5838A61A" w14:textId="77777777" w:rsidR="002B2625" w:rsidRPr="00DD36A5" w:rsidRDefault="002B2625" w:rsidP="00FE7C46"/>
  </w:footnote>
  <w:footnote w:id="2">
    <w:p w14:paraId="1DB18CDD" w14:textId="73175267" w:rsidR="00B637B0" w:rsidRDefault="00B637B0">
      <w:pPr>
        <w:pStyle w:val="FootnoteText"/>
      </w:pPr>
      <w:r>
        <w:rPr>
          <w:rStyle w:val="FootnoteReference"/>
        </w:rPr>
        <w:footnoteRef/>
      </w:r>
      <w:r w:rsidR="00AB0D10">
        <w:t>Senior Conjunction Assessment Research Scientist</w:t>
      </w:r>
      <w:r>
        <w:t>, Omitron Inc., 555 E. Pikes Peak Ave, #205, Colorado Springs, CO  80903.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3A5A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9787D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E9A50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1D0A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B00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5FE2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46C9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1B0B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3A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00F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3BEA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375892"/>
    <w:multiLevelType w:val="hybridMultilevel"/>
    <w:tmpl w:val="31DC3D66"/>
    <w:lvl w:ilvl="0" w:tplc="B022815C">
      <w:start w:val="1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F50E2B"/>
    <w:multiLevelType w:val="multilevel"/>
    <w:tmpl w:val="D7F219AC"/>
    <w:lvl w:ilvl="0">
      <w:start w:val="1"/>
      <w:numFmt w:val="decimal"/>
      <w:lvlText w:val="(%1)"/>
      <w:lvlJc w:val="right"/>
      <w:pPr>
        <w:tabs>
          <w:tab w:val="num" w:pos="0"/>
        </w:tabs>
        <w:ind w:left="1656" w:firstLine="69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24712C"/>
    <w:multiLevelType w:val="hybridMultilevel"/>
    <w:tmpl w:val="F0F0EE0C"/>
    <w:lvl w:ilvl="0" w:tplc="43C441DA">
      <w:start w:val="1"/>
      <w:numFmt w:val="decimal"/>
      <w:lvlText w:val="%1"/>
      <w:lvlJc w:val="righ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A253FD"/>
    <w:multiLevelType w:val="hybridMultilevel"/>
    <w:tmpl w:val="99F83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2A1E13"/>
    <w:multiLevelType w:val="hybridMultilevel"/>
    <w:tmpl w:val="36D4E7B2"/>
    <w:lvl w:ilvl="0" w:tplc="52F868A6">
      <w:start w:val="1"/>
      <w:numFmt w:val="decimal"/>
      <w:lvlText w:val="(%1)"/>
      <w:lvlJc w:val="right"/>
      <w:pPr>
        <w:tabs>
          <w:tab w:val="num" w:pos="0"/>
        </w:tabs>
        <w:ind w:left="216" w:firstLine="8424"/>
      </w:pPr>
      <w:rPr>
        <w:rFonts w:hint="default"/>
      </w:rPr>
    </w:lvl>
    <w:lvl w:ilvl="1" w:tplc="216CA5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E9083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B07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065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BC36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320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6F3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6649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D77BA7"/>
    <w:multiLevelType w:val="hybridMultilevel"/>
    <w:tmpl w:val="36248B10"/>
    <w:lvl w:ilvl="0" w:tplc="C4C2B9B4">
      <w:start w:val="1"/>
      <w:numFmt w:val="decimal"/>
      <w:lvlText w:val="%1"/>
      <w:lvlJc w:val="center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C24149"/>
    <w:multiLevelType w:val="hybridMultilevel"/>
    <w:tmpl w:val="DCD6B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497F82"/>
    <w:multiLevelType w:val="multilevel"/>
    <w:tmpl w:val="36D4E7B2"/>
    <w:lvl w:ilvl="0">
      <w:start w:val="1"/>
      <w:numFmt w:val="decimal"/>
      <w:lvlText w:val="(%1)"/>
      <w:lvlJc w:val="right"/>
      <w:pPr>
        <w:tabs>
          <w:tab w:val="num" w:pos="0"/>
        </w:tabs>
        <w:ind w:left="216" w:firstLine="842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FD0698"/>
    <w:multiLevelType w:val="hybridMultilevel"/>
    <w:tmpl w:val="A43C15F6"/>
    <w:lvl w:ilvl="0" w:tplc="54DE22F6">
      <w:start w:val="1"/>
      <w:numFmt w:val="decimal"/>
      <w:lvlText w:val="%1"/>
      <w:lvlJc w:val="right"/>
      <w:pPr>
        <w:ind w:left="360" w:hanging="360"/>
      </w:pPr>
      <w:rPr>
        <w:rFonts w:hint="default"/>
        <w:spacing w:val="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22386B"/>
    <w:multiLevelType w:val="hybridMultilevel"/>
    <w:tmpl w:val="1FD47FFA"/>
    <w:lvl w:ilvl="0" w:tplc="744C2974">
      <w:start w:val="1"/>
      <w:numFmt w:val="decimal"/>
      <w:lvlText w:val="(%1)"/>
      <w:lvlJc w:val="right"/>
      <w:pPr>
        <w:tabs>
          <w:tab w:val="num" w:pos="1008"/>
        </w:tabs>
        <w:ind w:left="1008" w:hanging="360"/>
      </w:pPr>
      <w:rPr>
        <w:rFonts w:hint="default"/>
      </w:rPr>
    </w:lvl>
    <w:lvl w:ilvl="1" w:tplc="ABA20E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74E8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A49F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00C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3C4D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C83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E2C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9E3A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965D07"/>
    <w:multiLevelType w:val="hybridMultilevel"/>
    <w:tmpl w:val="1F402498"/>
    <w:lvl w:ilvl="0" w:tplc="32C667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CC6D21"/>
    <w:multiLevelType w:val="hybridMultilevel"/>
    <w:tmpl w:val="C00C388A"/>
    <w:lvl w:ilvl="0" w:tplc="D22EB5F8">
      <w:start w:val="1"/>
      <w:numFmt w:val="decimal"/>
      <w:lvlText w:val="%1."/>
      <w:lvlJc w:val="left"/>
      <w:pPr>
        <w:tabs>
          <w:tab w:val="num" w:pos="808"/>
        </w:tabs>
        <w:ind w:left="808" w:hanging="520"/>
      </w:pPr>
      <w:rPr>
        <w:rFonts w:hint="default"/>
      </w:rPr>
    </w:lvl>
    <w:lvl w:ilvl="1" w:tplc="6BCCE436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AE963CB4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521EB80E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7CFADE72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3D66CAB2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ADC637B8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DD405C08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1BB41AEC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3" w15:restartNumberingAfterBreak="0">
    <w:nsid w:val="4E554AD7"/>
    <w:multiLevelType w:val="multilevel"/>
    <w:tmpl w:val="1FD47FFA"/>
    <w:lvl w:ilvl="0">
      <w:start w:val="1"/>
      <w:numFmt w:val="decimal"/>
      <w:lvlText w:val="(%1)"/>
      <w:lvlJc w:val="right"/>
      <w:pPr>
        <w:tabs>
          <w:tab w:val="num" w:pos="1008"/>
        </w:tabs>
        <w:ind w:left="10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701EC4"/>
    <w:multiLevelType w:val="hybridMultilevel"/>
    <w:tmpl w:val="E4C62BC8"/>
    <w:lvl w:ilvl="0" w:tplc="E8302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A00F8"/>
    <w:multiLevelType w:val="hybridMultilevel"/>
    <w:tmpl w:val="9F5885AC"/>
    <w:lvl w:ilvl="0" w:tplc="43C441DA">
      <w:start w:val="1"/>
      <w:numFmt w:val="decimal"/>
      <w:lvlText w:val="%1"/>
      <w:lvlJc w:val="righ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A3058"/>
    <w:multiLevelType w:val="hybridMultilevel"/>
    <w:tmpl w:val="A0C42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EE621C"/>
    <w:multiLevelType w:val="multilevel"/>
    <w:tmpl w:val="764CDFE0"/>
    <w:lvl w:ilvl="0">
      <w:start w:val="1"/>
      <w:numFmt w:val="decimal"/>
      <w:lvlText w:val="(%1)"/>
      <w:lvlJc w:val="right"/>
      <w:pPr>
        <w:tabs>
          <w:tab w:val="num" w:pos="-8640"/>
        </w:tabs>
        <w:ind w:left="1656" w:firstLine="69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107AB7"/>
    <w:multiLevelType w:val="hybridMultilevel"/>
    <w:tmpl w:val="AA6A326A"/>
    <w:lvl w:ilvl="0" w:tplc="C8E2027A">
      <w:start w:val="1"/>
      <w:numFmt w:val="decimal"/>
      <w:lvlText w:val="%1"/>
      <w:lvlJc w:val="right"/>
      <w:pPr>
        <w:ind w:left="446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9" w15:restartNumberingAfterBreak="0">
    <w:nsid w:val="723944C3"/>
    <w:multiLevelType w:val="hybridMultilevel"/>
    <w:tmpl w:val="42CA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3F3E7A"/>
    <w:multiLevelType w:val="hybridMultilevel"/>
    <w:tmpl w:val="155270E2"/>
    <w:lvl w:ilvl="0" w:tplc="C4C2B9B4">
      <w:start w:val="1"/>
      <w:numFmt w:val="decimal"/>
      <w:lvlText w:val="%1"/>
      <w:lvlJc w:val="center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0B6CB9"/>
    <w:multiLevelType w:val="hybridMultilevel"/>
    <w:tmpl w:val="5776D354"/>
    <w:lvl w:ilvl="0" w:tplc="C8E2027A">
      <w:start w:val="1"/>
      <w:numFmt w:val="decimal"/>
      <w:lvlText w:val="%1"/>
      <w:lvlJc w:val="righ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E4577C"/>
    <w:multiLevelType w:val="hybridMultilevel"/>
    <w:tmpl w:val="4C188226"/>
    <w:lvl w:ilvl="0" w:tplc="B022815C">
      <w:start w:val="1"/>
      <w:numFmt w:val="decimal"/>
      <w:lvlText w:val="%1"/>
      <w:lvlJc w:val="left"/>
      <w:pPr>
        <w:ind w:left="36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20"/>
  </w:num>
  <w:num w:numId="13">
    <w:abstractNumId w:val="23"/>
  </w:num>
  <w:num w:numId="14">
    <w:abstractNumId w:val="15"/>
  </w:num>
  <w:num w:numId="15">
    <w:abstractNumId w:val="12"/>
  </w:num>
  <w:num w:numId="16">
    <w:abstractNumId w:val="27"/>
  </w:num>
  <w:num w:numId="17">
    <w:abstractNumId w:val="18"/>
  </w:num>
  <w:num w:numId="18">
    <w:abstractNumId w:val="22"/>
  </w:num>
  <w:num w:numId="19">
    <w:abstractNumId w:val="32"/>
  </w:num>
  <w:num w:numId="20">
    <w:abstractNumId w:val="16"/>
  </w:num>
  <w:num w:numId="21">
    <w:abstractNumId w:val="13"/>
  </w:num>
  <w:num w:numId="22">
    <w:abstractNumId w:val="11"/>
  </w:num>
  <w:num w:numId="23">
    <w:abstractNumId w:val="30"/>
  </w:num>
  <w:num w:numId="24">
    <w:abstractNumId w:val="19"/>
  </w:num>
  <w:num w:numId="25">
    <w:abstractNumId w:val="21"/>
  </w:num>
  <w:num w:numId="26">
    <w:abstractNumId w:val="25"/>
  </w:num>
  <w:num w:numId="27">
    <w:abstractNumId w:val="31"/>
  </w:num>
  <w:num w:numId="28">
    <w:abstractNumId w:val="17"/>
  </w:num>
  <w:num w:numId="29">
    <w:abstractNumId w:val="14"/>
  </w:num>
  <w:num w:numId="30">
    <w:abstractNumId w:val="28"/>
  </w:num>
  <w:num w:numId="31">
    <w:abstractNumId w:val="24"/>
  </w:num>
  <w:num w:numId="32">
    <w:abstractNumId w:val="2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070"/>
    <w:rsid w:val="0000020B"/>
    <w:rsid w:val="00000DD2"/>
    <w:rsid w:val="00000EA5"/>
    <w:rsid w:val="00001AF1"/>
    <w:rsid w:val="00001C1B"/>
    <w:rsid w:val="00001F5D"/>
    <w:rsid w:val="000020ED"/>
    <w:rsid w:val="00002521"/>
    <w:rsid w:val="00002704"/>
    <w:rsid w:val="00002C16"/>
    <w:rsid w:val="00002C6D"/>
    <w:rsid w:val="0000335E"/>
    <w:rsid w:val="00003529"/>
    <w:rsid w:val="000039A7"/>
    <w:rsid w:val="00003BD9"/>
    <w:rsid w:val="00003D3E"/>
    <w:rsid w:val="00004A34"/>
    <w:rsid w:val="00005FD9"/>
    <w:rsid w:val="00006013"/>
    <w:rsid w:val="00006E6F"/>
    <w:rsid w:val="000078AC"/>
    <w:rsid w:val="00007CB0"/>
    <w:rsid w:val="00007FFD"/>
    <w:rsid w:val="000107FE"/>
    <w:rsid w:val="00010944"/>
    <w:rsid w:val="00010A88"/>
    <w:rsid w:val="00010B90"/>
    <w:rsid w:val="00011295"/>
    <w:rsid w:val="000123FD"/>
    <w:rsid w:val="000125D7"/>
    <w:rsid w:val="00012739"/>
    <w:rsid w:val="00013135"/>
    <w:rsid w:val="0001371E"/>
    <w:rsid w:val="00013980"/>
    <w:rsid w:val="000139BF"/>
    <w:rsid w:val="00014087"/>
    <w:rsid w:val="00014907"/>
    <w:rsid w:val="00014E87"/>
    <w:rsid w:val="000152B4"/>
    <w:rsid w:val="00016004"/>
    <w:rsid w:val="00016645"/>
    <w:rsid w:val="00016793"/>
    <w:rsid w:val="00016A82"/>
    <w:rsid w:val="00017617"/>
    <w:rsid w:val="00017D7B"/>
    <w:rsid w:val="00020820"/>
    <w:rsid w:val="0002105F"/>
    <w:rsid w:val="0002143F"/>
    <w:rsid w:val="00021818"/>
    <w:rsid w:val="00021C70"/>
    <w:rsid w:val="00021D3B"/>
    <w:rsid w:val="000221D1"/>
    <w:rsid w:val="000226B2"/>
    <w:rsid w:val="00022EA8"/>
    <w:rsid w:val="000235F7"/>
    <w:rsid w:val="00023A44"/>
    <w:rsid w:val="000258AD"/>
    <w:rsid w:val="00025DE8"/>
    <w:rsid w:val="000261F2"/>
    <w:rsid w:val="000262AE"/>
    <w:rsid w:val="00027AC2"/>
    <w:rsid w:val="00030B20"/>
    <w:rsid w:val="00031A0A"/>
    <w:rsid w:val="00031AA3"/>
    <w:rsid w:val="00032AA5"/>
    <w:rsid w:val="00032AD4"/>
    <w:rsid w:val="00032EA0"/>
    <w:rsid w:val="000335F0"/>
    <w:rsid w:val="00033805"/>
    <w:rsid w:val="00033C12"/>
    <w:rsid w:val="00034438"/>
    <w:rsid w:val="000348F9"/>
    <w:rsid w:val="00034F72"/>
    <w:rsid w:val="00035268"/>
    <w:rsid w:val="000355D7"/>
    <w:rsid w:val="00035BF1"/>
    <w:rsid w:val="00035DB5"/>
    <w:rsid w:val="00035E63"/>
    <w:rsid w:val="0003674F"/>
    <w:rsid w:val="00036F39"/>
    <w:rsid w:val="00036F80"/>
    <w:rsid w:val="0003714D"/>
    <w:rsid w:val="000374B9"/>
    <w:rsid w:val="0003791A"/>
    <w:rsid w:val="0004018A"/>
    <w:rsid w:val="0004063A"/>
    <w:rsid w:val="000407CB"/>
    <w:rsid w:val="00041440"/>
    <w:rsid w:val="000419FC"/>
    <w:rsid w:val="0004232E"/>
    <w:rsid w:val="000428A5"/>
    <w:rsid w:val="00043812"/>
    <w:rsid w:val="00043ABB"/>
    <w:rsid w:val="00043F60"/>
    <w:rsid w:val="00045469"/>
    <w:rsid w:val="00045488"/>
    <w:rsid w:val="00045E48"/>
    <w:rsid w:val="00046F0A"/>
    <w:rsid w:val="0004765B"/>
    <w:rsid w:val="000476EB"/>
    <w:rsid w:val="000479D0"/>
    <w:rsid w:val="0005023A"/>
    <w:rsid w:val="00050AE9"/>
    <w:rsid w:val="000511FB"/>
    <w:rsid w:val="00051A4B"/>
    <w:rsid w:val="00051B5C"/>
    <w:rsid w:val="00051DC4"/>
    <w:rsid w:val="00052666"/>
    <w:rsid w:val="0005283A"/>
    <w:rsid w:val="000529FD"/>
    <w:rsid w:val="00052F2A"/>
    <w:rsid w:val="00052FD9"/>
    <w:rsid w:val="00053876"/>
    <w:rsid w:val="00053E90"/>
    <w:rsid w:val="000541CC"/>
    <w:rsid w:val="000541D8"/>
    <w:rsid w:val="0005469A"/>
    <w:rsid w:val="00054C9C"/>
    <w:rsid w:val="00054D5D"/>
    <w:rsid w:val="00054D9D"/>
    <w:rsid w:val="00056D5A"/>
    <w:rsid w:val="000572A2"/>
    <w:rsid w:val="000574A3"/>
    <w:rsid w:val="00057AEB"/>
    <w:rsid w:val="00060457"/>
    <w:rsid w:val="00061165"/>
    <w:rsid w:val="000615F5"/>
    <w:rsid w:val="000619B2"/>
    <w:rsid w:val="00062875"/>
    <w:rsid w:val="00063277"/>
    <w:rsid w:val="000632A6"/>
    <w:rsid w:val="000633B6"/>
    <w:rsid w:val="00063745"/>
    <w:rsid w:val="00063EBD"/>
    <w:rsid w:val="00065E16"/>
    <w:rsid w:val="00066001"/>
    <w:rsid w:val="0006619D"/>
    <w:rsid w:val="0006631E"/>
    <w:rsid w:val="00066AE8"/>
    <w:rsid w:val="00066BB7"/>
    <w:rsid w:val="00066DE0"/>
    <w:rsid w:val="00067272"/>
    <w:rsid w:val="000675F1"/>
    <w:rsid w:val="00067BC9"/>
    <w:rsid w:val="000704DE"/>
    <w:rsid w:val="0007102E"/>
    <w:rsid w:val="00072098"/>
    <w:rsid w:val="00072231"/>
    <w:rsid w:val="000724DA"/>
    <w:rsid w:val="00072D11"/>
    <w:rsid w:val="00072DAA"/>
    <w:rsid w:val="00072E31"/>
    <w:rsid w:val="00073275"/>
    <w:rsid w:val="00074CF6"/>
    <w:rsid w:val="00075907"/>
    <w:rsid w:val="00075C7C"/>
    <w:rsid w:val="00076046"/>
    <w:rsid w:val="000766A0"/>
    <w:rsid w:val="00076872"/>
    <w:rsid w:val="00077141"/>
    <w:rsid w:val="00077660"/>
    <w:rsid w:val="0007776B"/>
    <w:rsid w:val="00077CD9"/>
    <w:rsid w:val="000801CB"/>
    <w:rsid w:val="00080222"/>
    <w:rsid w:val="00080C61"/>
    <w:rsid w:val="00080D23"/>
    <w:rsid w:val="000811A5"/>
    <w:rsid w:val="00081892"/>
    <w:rsid w:val="00081BB9"/>
    <w:rsid w:val="00081D69"/>
    <w:rsid w:val="00082C81"/>
    <w:rsid w:val="00083304"/>
    <w:rsid w:val="0008391A"/>
    <w:rsid w:val="000839E9"/>
    <w:rsid w:val="00084078"/>
    <w:rsid w:val="0008479D"/>
    <w:rsid w:val="000863C4"/>
    <w:rsid w:val="0008726B"/>
    <w:rsid w:val="00087B15"/>
    <w:rsid w:val="00087FAF"/>
    <w:rsid w:val="000907A9"/>
    <w:rsid w:val="00090824"/>
    <w:rsid w:val="00091947"/>
    <w:rsid w:val="00092D03"/>
    <w:rsid w:val="000932B5"/>
    <w:rsid w:val="0009405B"/>
    <w:rsid w:val="000946CD"/>
    <w:rsid w:val="00094B27"/>
    <w:rsid w:val="00095B81"/>
    <w:rsid w:val="00096415"/>
    <w:rsid w:val="00096506"/>
    <w:rsid w:val="000967EC"/>
    <w:rsid w:val="000967F7"/>
    <w:rsid w:val="00096E0A"/>
    <w:rsid w:val="000979C6"/>
    <w:rsid w:val="00097D9D"/>
    <w:rsid w:val="00097DED"/>
    <w:rsid w:val="00097E51"/>
    <w:rsid w:val="00097FB8"/>
    <w:rsid w:val="000A05DD"/>
    <w:rsid w:val="000A0AA0"/>
    <w:rsid w:val="000A10E6"/>
    <w:rsid w:val="000A1807"/>
    <w:rsid w:val="000A189B"/>
    <w:rsid w:val="000A219E"/>
    <w:rsid w:val="000A2233"/>
    <w:rsid w:val="000A40A5"/>
    <w:rsid w:val="000A40F5"/>
    <w:rsid w:val="000A4342"/>
    <w:rsid w:val="000A4C71"/>
    <w:rsid w:val="000A53AC"/>
    <w:rsid w:val="000A6DEC"/>
    <w:rsid w:val="000A7DCD"/>
    <w:rsid w:val="000B0932"/>
    <w:rsid w:val="000B1110"/>
    <w:rsid w:val="000B1208"/>
    <w:rsid w:val="000B194E"/>
    <w:rsid w:val="000B2220"/>
    <w:rsid w:val="000B240B"/>
    <w:rsid w:val="000B25A3"/>
    <w:rsid w:val="000B3570"/>
    <w:rsid w:val="000B3B5E"/>
    <w:rsid w:val="000B3E4B"/>
    <w:rsid w:val="000B3E5F"/>
    <w:rsid w:val="000B4283"/>
    <w:rsid w:val="000B499A"/>
    <w:rsid w:val="000B59DF"/>
    <w:rsid w:val="000B65F4"/>
    <w:rsid w:val="000B6DD1"/>
    <w:rsid w:val="000B7528"/>
    <w:rsid w:val="000B78DA"/>
    <w:rsid w:val="000B79A3"/>
    <w:rsid w:val="000B7A30"/>
    <w:rsid w:val="000C007C"/>
    <w:rsid w:val="000C046A"/>
    <w:rsid w:val="000C074D"/>
    <w:rsid w:val="000C0A47"/>
    <w:rsid w:val="000C0CCC"/>
    <w:rsid w:val="000C0D8C"/>
    <w:rsid w:val="000C17F1"/>
    <w:rsid w:val="000C3613"/>
    <w:rsid w:val="000C36B5"/>
    <w:rsid w:val="000C3DC1"/>
    <w:rsid w:val="000C3FE6"/>
    <w:rsid w:val="000C41C8"/>
    <w:rsid w:val="000C5283"/>
    <w:rsid w:val="000C5910"/>
    <w:rsid w:val="000C61B1"/>
    <w:rsid w:val="000C6574"/>
    <w:rsid w:val="000C6618"/>
    <w:rsid w:val="000C6675"/>
    <w:rsid w:val="000C752D"/>
    <w:rsid w:val="000D01AF"/>
    <w:rsid w:val="000D057B"/>
    <w:rsid w:val="000D0FBE"/>
    <w:rsid w:val="000D20DF"/>
    <w:rsid w:val="000D22EC"/>
    <w:rsid w:val="000D23B1"/>
    <w:rsid w:val="000D2654"/>
    <w:rsid w:val="000D288D"/>
    <w:rsid w:val="000D2B13"/>
    <w:rsid w:val="000D4296"/>
    <w:rsid w:val="000D45EC"/>
    <w:rsid w:val="000D47F6"/>
    <w:rsid w:val="000D4C26"/>
    <w:rsid w:val="000D5871"/>
    <w:rsid w:val="000D6125"/>
    <w:rsid w:val="000D7EC1"/>
    <w:rsid w:val="000E0A20"/>
    <w:rsid w:val="000E0AD9"/>
    <w:rsid w:val="000E1285"/>
    <w:rsid w:val="000E2E09"/>
    <w:rsid w:val="000E3175"/>
    <w:rsid w:val="000E398D"/>
    <w:rsid w:val="000E3D74"/>
    <w:rsid w:val="000E4318"/>
    <w:rsid w:val="000E4BB8"/>
    <w:rsid w:val="000E6077"/>
    <w:rsid w:val="000E7148"/>
    <w:rsid w:val="000E7388"/>
    <w:rsid w:val="000E7670"/>
    <w:rsid w:val="000E7D41"/>
    <w:rsid w:val="000F1459"/>
    <w:rsid w:val="000F161E"/>
    <w:rsid w:val="000F1F9E"/>
    <w:rsid w:val="000F26EE"/>
    <w:rsid w:val="000F2A13"/>
    <w:rsid w:val="000F2F44"/>
    <w:rsid w:val="000F2F45"/>
    <w:rsid w:val="000F3D8E"/>
    <w:rsid w:val="000F3E1F"/>
    <w:rsid w:val="000F412F"/>
    <w:rsid w:val="000F4871"/>
    <w:rsid w:val="000F6688"/>
    <w:rsid w:val="000F69E9"/>
    <w:rsid w:val="000F6DF6"/>
    <w:rsid w:val="0010067B"/>
    <w:rsid w:val="001007DC"/>
    <w:rsid w:val="001016DF"/>
    <w:rsid w:val="00103D46"/>
    <w:rsid w:val="001042DE"/>
    <w:rsid w:val="0010457B"/>
    <w:rsid w:val="00104A4A"/>
    <w:rsid w:val="0010517C"/>
    <w:rsid w:val="001054F8"/>
    <w:rsid w:val="00105AC3"/>
    <w:rsid w:val="0010639B"/>
    <w:rsid w:val="001101E0"/>
    <w:rsid w:val="00110212"/>
    <w:rsid w:val="00111494"/>
    <w:rsid w:val="00111504"/>
    <w:rsid w:val="00112CEE"/>
    <w:rsid w:val="00113528"/>
    <w:rsid w:val="00114118"/>
    <w:rsid w:val="00114911"/>
    <w:rsid w:val="00115258"/>
    <w:rsid w:val="0011567A"/>
    <w:rsid w:val="001159B9"/>
    <w:rsid w:val="0011788F"/>
    <w:rsid w:val="00121005"/>
    <w:rsid w:val="00121905"/>
    <w:rsid w:val="00121C01"/>
    <w:rsid w:val="00121DCB"/>
    <w:rsid w:val="00121F33"/>
    <w:rsid w:val="0012271E"/>
    <w:rsid w:val="00122BF5"/>
    <w:rsid w:val="00122D65"/>
    <w:rsid w:val="00123048"/>
    <w:rsid w:val="00123705"/>
    <w:rsid w:val="00123734"/>
    <w:rsid w:val="00123A7D"/>
    <w:rsid w:val="00123E4B"/>
    <w:rsid w:val="00124151"/>
    <w:rsid w:val="0012449F"/>
    <w:rsid w:val="00124BD8"/>
    <w:rsid w:val="001251BD"/>
    <w:rsid w:val="0012548A"/>
    <w:rsid w:val="00125B21"/>
    <w:rsid w:val="001260F4"/>
    <w:rsid w:val="0012713E"/>
    <w:rsid w:val="001277F8"/>
    <w:rsid w:val="00130FE5"/>
    <w:rsid w:val="0013191C"/>
    <w:rsid w:val="00131CE4"/>
    <w:rsid w:val="00131ED7"/>
    <w:rsid w:val="00132218"/>
    <w:rsid w:val="001335DA"/>
    <w:rsid w:val="00133841"/>
    <w:rsid w:val="0013388D"/>
    <w:rsid w:val="00134238"/>
    <w:rsid w:val="001357C3"/>
    <w:rsid w:val="00135D55"/>
    <w:rsid w:val="00137D51"/>
    <w:rsid w:val="00140937"/>
    <w:rsid w:val="00140ABC"/>
    <w:rsid w:val="00140B51"/>
    <w:rsid w:val="00141FE5"/>
    <w:rsid w:val="00142855"/>
    <w:rsid w:val="00142B3F"/>
    <w:rsid w:val="00142E81"/>
    <w:rsid w:val="00143520"/>
    <w:rsid w:val="001438D9"/>
    <w:rsid w:val="00143979"/>
    <w:rsid w:val="00144664"/>
    <w:rsid w:val="0014520F"/>
    <w:rsid w:val="001452B3"/>
    <w:rsid w:val="001454EF"/>
    <w:rsid w:val="001455DC"/>
    <w:rsid w:val="00145A34"/>
    <w:rsid w:val="00146FD1"/>
    <w:rsid w:val="001476C3"/>
    <w:rsid w:val="00147AE6"/>
    <w:rsid w:val="001524AE"/>
    <w:rsid w:val="00152671"/>
    <w:rsid w:val="00152AD4"/>
    <w:rsid w:val="001532DD"/>
    <w:rsid w:val="00153B61"/>
    <w:rsid w:val="00153D2F"/>
    <w:rsid w:val="001540CE"/>
    <w:rsid w:val="0015419D"/>
    <w:rsid w:val="00154476"/>
    <w:rsid w:val="001566F4"/>
    <w:rsid w:val="00160703"/>
    <w:rsid w:val="00160A71"/>
    <w:rsid w:val="00160CCB"/>
    <w:rsid w:val="0016150E"/>
    <w:rsid w:val="001616C3"/>
    <w:rsid w:val="00161877"/>
    <w:rsid w:val="0016269D"/>
    <w:rsid w:val="00162BDA"/>
    <w:rsid w:val="001637D1"/>
    <w:rsid w:val="00163B5A"/>
    <w:rsid w:val="00164306"/>
    <w:rsid w:val="001647ED"/>
    <w:rsid w:val="00164ACB"/>
    <w:rsid w:val="00165EB7"/>
    <w:rsid w:val="00165F02"/>
    <w:rsid w:val="001666C2"/>
    <w:rsid w:val="00166868"/>
    <w:rsid w:val="00166F9E"/>
    <w:rsid w:val="00167243"/>
    <w:rsid w:val="00167691"/>
    <w:rsid w:val="001704BB"/>
    <w:rsid w:val="001707A6"/>
    <w:rsid w:val="00170890"/>
    <w:rsid w:val="0017204E"/>
    <w:rsid w:val="001725C7"/>
    <w:rsid w:val="00173756"/>
    <w:rsid w:val="00173BC9"/>
    <w:rsid w:val="00173D24"/>
    <w:rsid w:val="00174DF5"/>
    <w:rsid w:val="001758B4"/>
    <w:rsid w:val="00175B66"/>
    <w:rsid w:val="00175D2B"/>
    <w:rsid w:val="001760D1"/>
    <w:rsid w:val="00176BBD"/>
    <w:rsid w:val="00176E33"/>
    <w:rsid w:val="00176ED8"/>
    <w:rsid w:val="00177E37"/>
    <w:rsid w:val="00180961"/>
    <w:rsid w:val="00180A48"/>
    <w:rsid w:val="00180EEC"/>
    <w:rsid w:val="0018113A"/>
    <w:rsid w:val="0018175E"/>
    <w:rsid w:val="00182859"/>
    <w:rsid w:val="00183382"/>
    <w:rsid w:val="00183B85"/>
    <w:rsid w:val="00184048"/>
    <w:rsid w:val="00184C05"/>
    <w:rsid w:val="00185973"/>
    <w:rsid w:val="00186D0C"/>
    <w:rsid w:val="0018717F"/>
    <w:rsid w:val="00190EA1"/>
    <w:rsid w:val="00190F76"/>
    <w:rsid w:val="00190F98"/>
    <w:rsid w:val="00191267"/>
    <w:rsid w:val="00191705"/>
    <w:rsid w:val="001928E4"/>
    <w:rsid w:val="0019467B"/>
    <w:rsid w:val="001946ED"/>
    <w:rsid w:val="0019527D"/>
    <w:rsid w:val="001955F0"/>
    <w:rsid w:val="00195927"/>
    <w:rsid w:val="00195F41"/>
    <w:rsid w:val="0019620E"/>
    <w:rsid w:val="00196F2B"/>
    <w:rsid w:val="001973BB"/>
    <w:rsid w:val="00197A08"/>
    <w:rsid w:val="001A0481"/>
    <w:rsid w:val="001A07FD"/>
    <w:rsid w:val="001A0986"/>
    <w:rsid w:val="001A205C"/>
    <w:rsid w:val="001A24B1"/>
    <w:rsid w:val="001A2C35"/>
    <w:rsid w:val="001A49B2"/>
    <w:rsid w:val="001A78DC"/>
    <w:rsid w:val="001A7916"/>
    <w:rsid w:val="001A7B52"/>
    <w:rsid w:val="001B03C6"/>
    <w:rsid w:val="001B0783"/>
    <w:rsid w:val="001B11C5"/>
    <w:rsid w:val="001B23F0"/>
    <w:rsid w:val="001B2432"/>
    <w:rsid w:val="001B2AB2"/>
    <w:rsid w:val="001B33A0"/>
    <w:rsid w:val="001B3707"/>
    <w:rsid w:val="001B5327"/>
    <w:rsid w:val="001B56B8"/>
    <w:rsid w:val="001B6482"/>
    <w:rsid w:val="001B68E2"/>
    <w:rsid w:val="001B6A50"/>
    <w:rsid w:val="001B7071"/>
    <w:rsid w:val="001B779D"/>
    <w:rsid w:val="001B7D11"/>
    <w:rsid w:val="001C026B"/>
    <w:rsid w:val="001C11DF"/>
    <w:rsid w:val="001C126F"/>
    <w:rsid w:val="001C19A3"/>
    <w:rsid w:val="001C2591"/>
    <w:rsid w:val="001C26ED"/>
    <w:rsid w:val="001C272E"/>
    <w:rsid w:val="001C311B"/>
    <w:rsid w:val="001C3639"/>
    <w:rsid w:val="001C3931"/>
    <w:rsid w:val="001C4292"/>
    <w:rsid w:val="001C4CB0"/>
    <w:rsid w:val="001C539A"/>
    <w:rsid w:val="001C6493"/>
    <w:rsid w:val="001C663B"/>
    <w:rsid w:val="001C6AE2"/>
    <w:rsid w:val="001C750B"/>
    <w:rsid w:val="001D011A"/>
    <w:rsid w:val="001D0604"/>
    <w:rsid w:val="001D16BA"/>
    <w:rsid w:val="001D2384"/>
    <w:rsid w:val="001D26DB"/>
    <w:rsid w:val="001D2894"/>
    <w:rsid w:val="001D28C5"/>
    <w:rsid w:val="001D2F8E"/>
    <w:rsid w:val="001D3A01"/>
    <w:rsid w:val="001D446F"/>
    <w:rsid w:val="001D5C62"/>
    <w:rsid w:val="001D62A0"/>
    <w:rsid w:val="001D62F7"/>
    <w:rsid w:val="001D6791"/>
    <w:rsid w:val="001D720B"/>
    <w:rsid w:val="001D74C6"/>
    <w:rsid w:val="001E0066"/>
    <w:rsid w:val="001E022C"/>
    <w:rsid w:val="001E1689"/>
    <w:rsid w:val="001E1E3C"/>
    <w:rsid w:val="001E277D"/>
    <w:rsid w:val="001E2953"/>
    <w:rsid w:val="001E3109"/>
    <w:rsid w:val="001E3315"/>
    <w:rsid w:val="001E383A"/>
    <w:rsid w:val="001E3F5F"/>
    <w:rsid w:val="001E41EF"/>
    <w:rsid w:val="001E47EA"/>
    <w:rsid w:val="001E4D25"/>
    <w:rsid w:val="001E4DD3"/>
    <w:rsid w:val="001E4F38"/>
    <w:rsid w:val="001E5099"/>
    <w:rsid w:val="001E51DD"/>
    <w:rsid w:val="001E59A7"/>
    <w:rsid w:val="001E5BD9"/>
    <w:rsid w:val="001E64D6"/>
    <w:rsid w:val="001E6AED"/>
    <w:rsid w:val="001E70DE"/>
    <w:rsid w:val="001E7409"/>
    <w:rsid w:val="001E7B84"/>
    <w:rsid w:val="001E7C0B"/>
    <w:rsid w:val="001E7F74"/>
    <w:rsid w:val="001F0A47"/>
    <w:rsid w:val="001F0DC0"/>
    <w:rsid w:val="001F11DC"/>
    <w:rsid w:val="001F1370"/>
    <w:rsid w:val="001F3084"/>
    <w:rsid w:val="001F309B"/>
    <w:rsid w:val="001F33BC"/>
    <w:rsid w:val="001F374C"/>
    <w:rsid w:val="001F41CB"/>
    <w:rsid w:val="001F4207"/>
    <w:rsid w:val="001F4270"/>
    <w:rsid w:val="001F46CA"/>
    <w:rsid w:val="001F4C93"/>
    <w:rsid w:val="001F4DF0"/>
    <w:rsid w:val="001F4E6B"/>
    <w:rsid w:val="001F5108"/>
    <w:rsid w:val="001F5292"/>
    <w:rsid w:val="001F561D"/>
    <w:rsid w:val="001F6AF4"/>
    <w:rsid w:val="001F6B40"/>
    <w:rsid w:val="001F6F83"/>
    <w:rsid w:val="001F7465"/>
    <w:rsid w:val="001F7493"/>
    <w:rsid w:val="001F7C81"/>
    <w:rsid w:val="00200057"/>
    <w:rsid w:val="00200068"/>
    <w:rsid w:val="00200311"/>
    <w:rsid w:val="002004B7"/>
    <w:rsid w:val="00200505"/>
    <w:rsid w:val="0020081D"/>
    <w:rsid w:val="00200E2E"/>
    <w:rsid w:val="0020148D"/>
    <w:rsid w:val="002014D8"/>
    <w:rsid w:val="00203206"/>
    <w:rsid w:val="002042BB"/>
    <w:rsid w:val="002044BB"/>
    <w:rsid w:val="00205868"/>
    <w:rsid w:val="00205E98"/>
    <w:rsid w:val="0020672B"/>
    <w:rsid w:val="002067CC"/>
    <w:rsid w:val="0021083B"/>
    <w:rsid w:val="00210A57"/>
    <w:rsid w:val="00211EDB"/>
    <w:rsid w:val="00211F29"/>
    <w:rsid w:val="002123C1"/>
    <w:rsid w:val="00212911"/>
    <w:rsid w:val="00213E33"/>
    <w:rsid w:val="00215A2A"/>
    <w:rsid w:val="00216BF3"/>
    <w:rsid w:val="00216EA9"/>
    <w:rsid w:val="002170B6"/>
    <w:rsid w:val="00217431"/>
    <w:rsid w:val="00217A41"/>
    <w:rsid w:val="00217BA6"/>
    <w:rsid w:val="002215E5"/>
    <w:rsid w:val="00221DDA"/>
    <w:rsid w:val="00222198"/>
    <w:rsid w:val="0022238E"/>
    <w:rsid w:val="0022274C"/>
    <w:rsid w:val="00222784"/>
    <w:rsid w:val="002232B1"/>
    <w:rsid w:val="00223357"/>
    <w:rsid w:val="0022392F"/>
    <w:rsid w:val="002242FC"/>
    <w:rsid w:val="002259A0"/>
    <w:rsid w:val="00225C7E"/>
    <w:rsid w:val="00225DF6"/>
    <w:rsid w:val="00225FA6"/>
    <w:rsid w:val="002272C5"/>
    <w:rsid w:val="00227887"/>
    <w:rsid w:val="002303F1"/>
    <w:rsid w:val="0023085D"/>
    <w:rsid w:val="00231375"/>
    <w:rsid w:val="00231464"/>
    <w:rsid w:val="00231715"/>
    <w:rsid w:val="00231B11"/>
    <w:rsid w:val="00231C4E"/>
    <w:rsid w:val="0023283F"/>
    <w:rsid w:val="00232998"/>
    <w:rsid w:val="00233100"/>
    <w:rsid w:val="0023351F"/>
    <w:rsid w:val="00233B88"/>
    <w:rsid w:val="00233C04"/>
    <w:rsid w:val="002341C4"/>
    <w:rsid w:val="00234F17"/>
    <w:rsid w:val="00235764"/>
    <w:rsid w:val="00235B42"/>
    <w:rsid w:val="002361A5"/>
    <w:rsid w:val="00236424"/>
    <w:rsid w:val="00236BD3"/>
    <w:rsid w:val="00237427"/>
    <w:rsid w:val="00237B17"/>
    <w:rsid w:val="00237B34"/>
    <w:rsid w:val="0024059E"/>
    <w:rsid w:val="002419F0"/>
    <w:rsid w:val="002433CF"/>
    <w:rsid w:val="00244314"/>
    <w:rsid w:val="002444DF"/>
    <w:rsid w:val="002450FD"/>
    <w:rsid w:val="00245C89"/>
    <w:rsid w:val="0024728E"/>
    <w:rsid w:val="0024742C"/>
    <w:rsid w:val="0024776F"/>
    <w:rsid w:val="00247A0A"/>
    <w:rsid w:val="002504E9"/>
    <w:rsid w:val="0025169B"/>
    <w:rsid w:val="0025232A"/>
    <w:rsid w:val="0025323B"/>
    <w:rsid w:val="002544F9"/>
    <w:rsid w:val="002546C7"/>
    <w:rsid w:val="002546E1"/>
    <w:rsid w:val="00255B8F"/>
    <w:rsid w:val="00255C7B"/>
    <w:rsid w:val="00255CCF"/>
    <w:rsid w:val="00256F5A"/>
    <w:rsid w:val="00257232"/>
    <w:rsid w:val="0025749F"/>
    <w:rsid w:val="00257BFA"/>
    <w:rsid w:val="00257FE5"/>
    <w:rsid w:val="00260150"/>
    <w:rsid w:val="00260595"/>
    <w:rsid w:val="00260FC6"/>
    <w:rsid w:val="0026106C"/>
    <w:rsid w:val="00261E24"/>
    <w:rsid w:val="00261F30"/>
    <w:rsid w:val="00262BEF"/>
    <w:rsid w:val="002632B4"/>
    <w:rsid w:val="00263CD5"/>
    <w:rsid w:val="00264AD3"/>
    <w:rsid w:val="00264CC9"/>
    <w:rsid w:val="00264F95"/>
    <w:rsid w:val="00265DC1"/>
    <w:rsid w:val="00266854"/>
    <w:rsid w:val="002669F4"/>
    <w:rsid w:val="00266E18"/>
    <w:rsid w:val="00270C97"/>
    <w:rsid w:val="00271414"/>
    <w:rsid w:val="00271B5B"/>
    <w:rsid w:val="00271F98"/>
    <w:rsid w:val="00272398"/>
    <w:rsid w:val="0027287E"/>
    <w:rsid w:val="002734F5"/>
    <w:rsid w:val="00273B7E"/>
    <w:rsid w:val="002743DD"/>
    <w:rsid w:val="00274BC7"/>
    <w:rsid w:val="002758C3"/>
    <w:rsid w:val="00275FC7"/>
    <w:rsid w:val="002770D7"/>
    <w:rsid w:val="002771FF"/>
    <w:rsid w:val="00277667"/>
    <w:rsid w:val="00277A28"/>
    <w:rsid w:val="00277C30"/>
    <w:rsid w:val="00277FDD"/>
    <w:rsid w:val="00280349"/>
    <w:rsid w:val="00280B69"/>
    <w:rsid w:val="00280E69"/>
    <w:rsid w:val="00281423"/>
    <w:rsid w:val="00281546"/>
    <w:rsid w:val="00281C03"/>
    <w:rsid w:val="002823D5"/>
    <w:rsid w:val="002839B8"/>
    <w:rsid w:val="00284192"/>
    <w:rsid w:val="00285972"/>
    <w:rsid w:val="002862ED"/>
    <w:rsid w:val="00286850"/>
    <w:rsid w:val="00287486"/>
    <w:rsid w:val="002900DD"/>
    <w:rsid w:val="00290387"/>
    <w:rsid w:val="00290662"/>
    <w:rsid w:val="00290AFC"/>
    <w:rsid w:val="00290F9C"/>
    <w:rsid w:val="00291395"/>
    <w:rsid w:val="00292113"/>
    <w:rsid w:val="00292C33"/>
    <w:rsid w:val="002932A0"/>
    <w:rsid w:val="00293B70"/>
    <w:rsid w:val="00293C75"/>
    <w:rsid w:val="002951EF"/>
    <w:rsid w:val="00296487"/>
    <w:rsid w:val="002965C4"/>
    <w:rsid w:val="0029696D"/>
    <w:rsid w:val="00296BC3"/>
    <w:rsid w:val="00296C32"/>
    <w:rsid w:val="00296CEE"/>
    <w:rsid w:val="002974CE"/>
    <w:rsid w:val="0029786D"/>
    <w:rsid w:val="002A0F5B"/>
    <w:rsid w:val="002A1BD7"/>
    <w:rsid w:val="002A30AF"/>
    <w:rsid w:val="002A3685"/>
    <w:rsid w:val="002A3871"/>
    <w:rsid w:val="002A47EB"/>
    <w:rsid w:val="002A480B"/>
    <w:rsid w:val="002A538F"/>
    <w:rsid w:val="002A57B7"/>
    <w:rsid w:val="002A5ED9"/>
    <w:rsid w:val="002A6C5D"/>
    <w:rsid w:val="002A772D"/>
    <w:rsid w:val="002B0943"/>
    <w:rsid w:val="002B0D17"/>
    <w:rsid w:val="002B0EC3"/>
    <w:rsid w:val="002B123A"/>
    <w:rsid w:val="002B1734"/>
    <w:rsid w:val="002B175A"/>
    <w:rsid w:val="002B2625"/>
    <w:rsid w:val="002B2714"/>
    <w:rsid w:val="002B33D8"/>
    <w:rsid w:val="002B39DC"/>
    <w:rsid w:val="002B3AC8"/>
    <w:rsid w:val="002B3AD6"/>
    <w:rsid w:val="002B3D32"/>
    <w:rsid w:val="002B506D"/>
    <w:rsid w:val="002B5A0D"/>
    <w:rsid w:val="002B5E68"/>
    <w:rsid w:val="002B6983"/>
    <w:rsid w:val="002B789B"/>
    <w:rsid w:val="002C0BFE"/>
    <w:rsid w:val="002C0C9A"/>
    <w:rsid w:val="002C1C4B"/>
    <w:rsid w:val="002C23BD"/>
    <w:rsid w:val="002C288D"/>
    <w:rsid w:val="002C2A51"/>
    <w:rsid w:val="002C330F"/>
    <w:rsid w:val="002C3595"/>
    <w:rsid w:val="002C3E84"/>
    <w:rsid w:val="002C4E4C"/>
    <w:rsid w:val="002C77E9"/>
    <w:rsid w:val="002C79F0"/>
    <w:rsid w:val="002C7A38"/>
    <w:rsid w:val="002D1615"/>
    <w:rsid w:val="002D1B9E"/>
    <w:rsid w:val="002D2749"/>
    <w:rsid w:val="002D29AC"/>
    <w:rsid w:val="002D2B1D"/>
    <w:rsid w:val="002D357F"/>
    <w:rsid w:val="002D372E"/>
    <w:rsid w:val="002D3DE5"/>
    <w:rsid w:val="002D48DF"/>
    <w:rsid w:val="002D4BD0"/>
    <w:rsid w:val="002D4C81"/>
    <w:rsid w:val="002D4D4D"/>
    <w:rsid w:val="002D5428"/>
    <w:rsid w:val="002D62C9"/>
    <w:rsid w:val="002D6599"/>
    <w:rsid w:val="002D6A5E"/>
    <w:rsid w:val="002D6BAE"/>
    <w:rsid w:val="002D6F02"/>
    <w:rsid w:val="002D6F0D"/>
    <w:rsid w:val="002D71FF"/>
    <w:rsid w:val="002E0AC4"/>
    <w:rsid w:val="002E10BA"/>
    <w:rsid w:val="002E120C"/>
    <w:rsid w:val="002E149C"/>
    <w:rsid w:val="002E23D9"/>
    <w:rsid w:val="002E2AEE"/>
    <w:rsid w:val="002E2E2A"/>
    <w:rsid w:val="002E30A2"/>
    <w:rsid w:val="002E387B"/>
    <w:rsid w:val="002E3D5D"/>
    <w:rsid w:val="002E3DEC"/>
    <w:rsid w:val="002E42A1"/>
    <w:rsid w:val="002E44E3"/>
    <w:rsid w:val="002E45F0"/>
    <w:rsid w:val="002E48C0"/>
    <w:rsid w:val="002E49F3"/>
    <w:rsid w:val="002E4B14"/>
    <w:rsid w:val="002E4D49"/>
    <w:rsid w:val="002E4DF0"/>
    <w:rsid w:val="002E539F"/>
    <w:rsid w:val="002E593B"/>
    <w:rsid w:val="002E5C8A"/>
    <w:rsid w:val="002E5DCF"/>
    <w:rsid w:val="002E5ED4"/>
    <w:rsid w:val="002E7592"/>
    <w:rsid w:val="002E7B74"/>
    <w:rsid w:val="002F1186"/>
    <w:rsid w:val="002F13F3"/>
    <w:rsid w:val="002F16E6"/>
    <w:rsid w:val="002F1812"/>
    <w:rsid w:val="002F1C2C"/>
    <w:rsid w:val="002F1D8E"/>
    <w:rsid w:val="002F2781"/>
    <w:rsid w:val="002F356D"/>
    <w:rsid w:val="002F35AE"/>
    <w:rsid w:val="002F4242"/>
    <w:rsid w:val="002F4694"/>
    <w:rsid w:val="002F561B"/>
    <w:rsid w:val="002F5632"/>
    <w:rsid w:val="002F56C1"/>
    <w:rsid w:val="002F6166"/>
    <w:rsid w:val="002F621E"/>
    <w:rsid w:val="002F6B25"/>
    <w:rsid w:val="002F6D7E"/>
    <w:rsid w:val="002F7CB1"/>
    <w:rsid w:val="0030018C"/>
    <w:rsid w:val="003002B6"/>
    <w:rsid w:val="00300FA1"/>
    <w:rsid w:val="00301BA9"/>
    <w:rsid w:val="0030243C"/>
    <w:rsid w:val="00302F8F"/>
    <w:rsid w:val="00302FAB"/>
    <w:rsid w:val="003031BC"/>
    <w:rsid w:val="003063E8"/>
    <w:rsid w:val="003079C8"/>
    <w:rsid w:val="00311107"/>
    <w:rsid w:val="00311601"/>
    <w:rsid w:val="00311799"/>
    <w:rsid w:val="00311EDC"/>
    <w:rsid w:val="003122D5"/>
    <w:rsid w:val="00312ECB"/>
    <w:rsid w:val="0031332E"/>
    <w:rsid w:val="00313E56"/>
    <w:rsid w:val="0031401C"/>
    <w:rsid w:val="00314ADC"/>
    <w:rsid w:val="00316244"/>
    <w:rsid w:val="003162CC"/>
    <w:rsid w:val="00316AB8"/>
    <w:rsid w:val="00316B34"/>
    <w:rsid w:val="00316B50"/>
    <w:rsid w:val="00317261"/>
    <w:rsid w:val="0031737E"/>
    <w:rsid w:val="003179BC"/>
    <w:rsid w:val="00317CB0"/>
    <w:rsid w:val="0032070F"/>
    <w:rsid w:val="00320DF1"/>
    <w:rsid w:val="00321BF0"/>
    <w:rsid w:val="00322EEA"/>
    <w:rsid w:val="00322F68"/>
    <w:rsid w:val="003232C6"/>
    <w:rsid w:val="00323706"/>
    <w:rsid w:val="00324553"/>
    <w:rsid w:val="00325910"/>
    <w:rsid w:val="003259EB"/>
    <w:rsid w:val="00326F74"/>
    <w:rsid w:val="00327831"/>
    <w:rsid w:val="003310D1"/>
    <w:rsid w:val="0033140F"/>
    <w:rsid w:val="0033146E"/>
    <w:rsid w:val="003322D2"/>
    <w:rsid w:val="00332D6E"/>
    <w:rsid w:val="00332DF8"/>
    <w:rsid w:val="003337CE"/>
    <w:rsid w:val="0033411B"/>
    <w:rsid w:val="003345D9"/>
    <w:rsid w:val="00334D73"/>
    <w:rsid w:val="00335668"/>
    <w:rsid w:val="00335937"/>
    <w:rsid w:val="0033622F"/>
    <w:rsid w:val="00336E33"/>
    <w:rsid w:val="00336EFF"/>
    <w:rsid w:val="003373C0"/>
    <w:rsid w:val="00340041"/>
    <w:rsid w:val="00340446"/>
    <w:rsid w:val="003407DB"/>
    <w:rsid w:val="003424B9"/>
    <w:rsid w:val="00342584"/>
    <w:rsid w:val="003427A9"/>
    <w:rsid w:val="00342B0D"/>
    <w:rsid w:val="0034316A"/>
    <w:rsid w:val="003433C9"/>
    <w:rsid w:val="00343492"/>
    <w:rsid w:val="00343964"/>
    <w:rsid w:val="00343E18"/>
    <w:rsid w:val="00345C19"/>
    <w:rsid w:val="003479F8"/>
    <w:rsid w:val="00347C23"/>
    <w:rsid w:val="00350006"/>
    <w:rsid w:val="003503F9"/>
    <w:rsid w:val="00350E1D"/>
    <w:rsid w:val="0035285F"/>
    <w:rsid w:val="00352AAE"/>
    <w:rsid w:val="00352C7C"/>
    <w:rsid w:val="00353B6E"/>
    <w:rsid w:val="00353DFF"/>
    <w:rsid w:val="00354668"/>
    <w:rsid w:val="00354D84"/>
    <w:rsid w:val="003555CA"/>
    <w:rsid w:val="003558ED"/>
    <w:rsid w:val="003567FE"/>
    <w:rsid w:val="003576D8"/>
    <w:rsid w:val="00360C6D"/>
    <w:rsid w:val="00361C0B"/>
    <w:rsid w:val="003626E2"/>
    <w:rsid w:val="0036273E"/>
    <w:rsid w:val="003641C3"/>
    <w:rsid w:val="00365054"/>
    <w:rsid w:val="0036546C"/>
    <w:rsid w:val="00365509"/>
    <w:rsid w:val="00370769"/>
    <w:rsid w:val="00370809"/>
    <w:rsid w:val="00371EBB"/>
    <w:rsid w:val="003721C5"/>
    <w:rsid w:val="0037279B"/>
    <w:rsid w:val="00372B82"/>
    <w:rsid w:val="00372C7E"/>
    <w:rsid w:val="003731F2"/>
    <w:rsid w:val="003733CB"/>
    <w:rsid w:val="00373C30"/>
    <w:rsid w:val="00373DD8"/>
    <w:rsid w:val="00374355"/>
    <w:rsid w:val="00374472"/>
    <w:rsid w:val="003747A6"/>
    <w:rsid w:val="00375210"/>
    <w:rsid w:val="00375E46"/>
    <w:rsid w:val="00377417"/>
    <w:rsid w:val="003774C4"/>
    <w:rsid w:val="00377CE0"/>
    <w:rsid w:val="0038058E"/>
    <w:rsid w:val="00381DB2"/>
    <w:rsid w:val="00382542"/>
    <w:rsid w:val="003826E5"/>
    <w:rsid w:val="0038274C"/>
    <w:rsid w:val="00382F15"/>
    <w:rsid w:val="00383388"/>
    <w:rsid w:val="00383925"/>
    <w:rsid w:val="00383C87"/>
    <w:rsid w:val="00384AAC"/>
    <w:rsid w:val="00384FFC"/>
    <w:rsid w:val="00385336"/>
    <w:rsid w:val="00385D26"/>
    <w:rsid w:val="00385D81"/>
    <w:rsid w:val="00385ED4"/>
    <w:rsid w:val="00386E94"/>
    <w:rsid w:val="00386F48"/>
    <w:rsid w:val="003872E9"/>
    <w:rsid w:val="00387462"/>
    <w:rsid w:val="00387B9A"/>
    <w:rsid w:val="00390288"/>
    <w:rsid w:val="00390F93"/>
    <w:rsid w:val="003913F3"/>
    <w:rsid w:val="003917D6"/>
    <w:rsid w:val="003925BD"/>
    <w:rsid w:val="003929FA"/>
    <w:rsid w:val="003931B3"/>
    <w:rsid w:val="00393D7E"/>
    <w:rsid w:val="00393F7F"/>
    <w:rsid w:val="003943D8"/>
    <w:rsid w:val="003948C6"/>
    <w:rsid w:val="00395914"/>
    <w:rsid w:val="00395F26"/>
    <w:rsid w:val="003960FD"/>
    <w:rsid w:val="00396904"/>
    <w:rsid w:val="00396C73"/>
    <w:rsid w:val="0039717E"/>
    <w:rsid w:val="003974BD"/>
    <w:rsid w:val="00397677"/>
    <w:rsid w:val="003979B0"/>
    <w:rsid w:val="00397D8D"/>
    <w:rsid w:val="003A0307"/>
    <w:rsid w:val="003A0591"/>
    <w:rsid w:val="003A0649"/>
    <w:rsid w:val="003A0EA4"/>
    <w:rsid w:val="003A1B59"/>
    <w:rsid w:val="003A1BFE"/>
    <w:rsid w:val="003A2D41"/>
    <w:rsid w:val="003A2FF8"/>
    <w:rsid w:val="003A3C2C"/>
    <w:rsid w:val="003A52E3"/>
    <w:rsid w:val="003A537A"/>
    <w:rsid w:val="003A56B4"/>
    <w:rsid w:val="003A5829"/>
    <w:rsid w:val="003A5A03"/>
    <w:rsid w:val="003A6DC5"/>
    <w:rsid w:val="003A745A"/>
    <w:rsid w:val="003B020A"/>
    <w:rsid w:val="003B04B7"/>
    <w:rsid w:val="003B08BB"/>
    <w:rsid w:val="003B08C8"/>
    <w:rsid w:val="003B0D0D"/>
    <w:rsid w:val="003B1496"/>
    <w:rsid w:val="003B1A62"/>
    <w:rsid w:val="003B20A1"/>
    <w:rsid w:val="003B2A3B"/>
    <w:rsid w:val="003B2AE9"/>
    <w:rsid w:val="003B2E90"/>
    <w:rsid w:val="003B2FB3"/>
    <w:rsid w:val="003B38E3"/>
    <w:rsid w:val="003B43AA"/>
    <w:rsid w:val="003B4A2D"/>
    <w:rsid w:val="003B4C36"/>
    <w:rsid w:val="003B4DFC"/>
    <w:rsid w:val="003B53C9"/>
    <w:rsid w:val="003B55A7"/>
    <w:rsid w:val="003B565B"/>
    <w:rsid w:val="003B5748"/>
    <w:rsid w:val="003B57E5"/>
    <w:rsid w:val="003B6558"/>
    <w:rsid w:val="003B6A4F"/>
    <w:rsid w:val="003B737C"/>
    <w:rsid w:val="003B7A35"/>
    <w:rsid w:val="003C018C"/>
    <w:rsid w:val="003C01FD"/>
    <w:rsid w:val="003C0862"/>
    <w:rsid w:val="003C0C42"/>
    <w:rsid w:val="003C1761"/>
    <w:rsid w:val="003C1C89"/>
    <w:rsid w:val="003C2264"/>
    <w:rsid w:val="003C22FB"/>
    <w:rsid w:val="003C2BAF"/>
    <w:rsid w:val="003C2DFF"/>
    <w:rsid w:val="003C38F9"/>
    <w:rsid w:val="003C3B91"/>
    <w:rsid w:val="003C4441"/>
    <w:rsid w:val="003C4458"/>
    <w:rsid w:val="003C5196"/>
    <w:rsid w:val="003C56F5"/>
    <w:rsid w:val="003C6F72"/>
    <w:rsid w:val="003C7D22"/>
    <w:rsid w:val="003C7E8B"/>
    <w:rsid w:val="003C7FC7"/>
    <w:rsid w:val="003D039B"/>
    <w:rsid w:val="003D042F"/>
    <w:rsid w:val="003D12BD"/>
    <w:rsid w:val="003D1356"/>
    <w:rsid w:val="003D2291"/>
    <w:rsid w:val="003D3066"/>
    <w:rsid w:val="003D3165"/>
    <w:rsid w:val="003D3A88"/>
    <w:rsid w:val="003D3B93"/>
    <w:rsid w:val="003D3D22"/>
    <w:rsid w:val="003D4837"/>
    <w:rsid w:val="003D56A7"/>
    <w:rsid w:val="003D612B"/>
    <w:rsid w:val="003D6E1E"/>
    <w:rsid w:val="003D6E2F"/>
    <w:rsid w:val="003D7682"/>
    <w:rsid w:val="003D7CEC"/>
    <w:rsid w:val="003E051E"/>
    <w:rsid w:val="003E162D"/>
    <w:rsid w:val="003E193F"/>
    <w:rsid w:val="003E23BD"/>
    <w:rsid w:val="003E252F"/>
    <w:rsid w:val="003E33CE"/>
    <w:rsid w:val="003E38C2"/>
    <w:rsid w:val="003E3F2E"/>
    <w:rsid w:val="003E3FDF"/>
    <w:rsid w:val="003E3FF2"/>
    <w:rsid w:val="003E5152"/>
    <w:rsid w:val="003E59F8"/>
    <w:rsid w:val="003E5FB9"/>
    <w:rsid w:val="003E6AA9"/>
    <w:rsid w:val="003E7911"/>
    <w:rsid w:val="003E79ED"/>
    <w:rsid w:val="003F0B56"/>
    <w:rsid w:val="003F0BED"/>
    <w:rsid w:val="003F168A"/>
    <w:rsid w:val="003F1BA5"/>
    <w:rsid w:val="003F238C"/>
    <w:rsid w:val="003F23A1"/>
    <w:rsid w:val="003F2981"/>
    <w:rsid w:val="003F33BC"/>
    <w:rsid w:val="003F3D54"/>
    <w:rsid w:val="003F482C"/>
    <w:rsid w:val="003F6519"/>
    <w:rsid w:val="003F6796"/>
    <w:rsid w:val="003F6945"/>
    <w:rsid w:val="003F70C1"/>
    <w:rsid w:val="003F79E1"/>
    <w:rsid w:val="004007DD"/>
    <w:rsid w:val="0040140A"/>
    <w:rsid w:val="004018A6"/>
    <w:rsid w:val="00401BD2"/>
    <w:rsid w:val="00402015"/>
    <w:rsid w:val="00402DFF"/>
    <w:rsid w:val="00402E25"/>
    <w:rsid w:val="00402F51"/>
    <w:rsid w:val="00403B0D"/>
    <w:rsid w:val="00403BFE"/>
    <w:rsid w:val="0040471E"/>
    <w:rsid w:val="0040499F"/>
    <w:rsid w:val="004056D5"/>
    <w:rsid w:val="00405974"/>
    <w:rsid w:val="00405E1C"/>
    <w:rsid w:val="00405ECB"/>
    <w:rsid w:val="00405F59"/>
    <w:rsid w:val="00405FDB"/>
    <w:rsid w:val="0040661C"/>
    <w:rsid w:val="004066B9"/>
    <w:rsid w:val="00406A2E"/>
    <w:rsid w:val="00406BA5"/>
    <w:rsid w:val="00406C4A"/>
    <w:rsid w:val="004104AF"/>
    <w:rsid w:val="004104C6"/>
    <w:rsid w:val="004105FA"/>
    <w:rsid w:val="00410BF0"/>
    <w:rsid w:val="00411C58"/>
    <w:rsid w:val="0041270B"/>
    <w:rsid w:val="004128CB"/>
    <w:rsid w:val="00412D0D"/>
    <w:rsid w:val="00413278"/>
    <w:rsid w:val="00414979"/>
    <w:rsid w:val="0041598D"/>
    <w:rsid w:val="0041601E"/>
    <w:rsid w:val="004160DC"/>
    <w:rsid w:val="004165B6"/>
    <w:rsid w:val="004166D3"/>
    <w:rsid w:val="00416DFA"/>
    <w:rsid w:val="00416E33"/>
    <w:rsid w:val="004170BD"/>
    <w:rsid w:val="004171F9"/>
    <w:rsid w:val="004174B6"/>
    <w:rsid w:val="0042071A"/>
    <w:rsid w:val="00420732"/>
    <w:rsid w:val="004208FD"/>
    <w:rsid w:val="00421221"/>
    <w:rsid w:val="00421474"/>
    <w:rsid w:val="004214EF"/>
    <w:rsid w:val="00421926"/>
    <w:rsid w:val="00421D9E"/>
    <w:rsid w:val="004228F8"/>
    <w:rsid w:val="00422E36"/>
    <w:rsid w:val="00423C81"/>
    <w:rsid w:val="00423DF3"/>
    <w:rsid w:val="0042485A"/>
    <w:rsid w:val="00424EFF"/>
    <w:rsid w:val="004250D3"/>
    <w:rsid w:val="004250D6"/>
    <w:rsid w:val="00425383"/>
    <w:rsid w:val="004257B4"/>
    <w:rsid w:val="00425F57"/>
    <w:rsid w:val="0042629F"/>
    <w:rsid w:val="0042739F"/>
    <w:rsid w:val="0042762A"/>
    <w:rsid w:val="00427DEC"/>
    <w:rsid w:val="00427FE4"/>
    <w:rsid w:val="0043015F"/>
    <w:rsid w:val="004301DE"/>
    <w:rsid w:val="0043088C"/>
    <w:rsid w:val="00430A5F"/>
    <w:rsid w:val="0043188A"/>
    <w:rsid w:val="00431CA9"/>
    <w:rsid w:val="004325D6"/>
    <w:rsid w:val="0043262F"/>
    <w:rsid w:val="0043298D"/>
    <w:rsid w:val="0043412E"/>
    <w:rsid w:val="0043501F"/>
    <w:rsid w:val="0043528C"/>
    <w:rsid w:val="0043548D"/>
    <w:rsid w:val="00435531"/>
    <w:rsid w:val="00435DAB"/>
    <w:rsid w:val="00436A2E"/>
    <w:rsid w:val="00437BA1"/>
    <w:rsid w:val="00440607"/>
    <w:rsid w:val="00440773"/>
    <w:rsid w:val="00440C14"/>
    <w:rsid w:val="00441049"/>
    <w:rsid w:val="00441815"/>
    <w:rsid w:val="004418EF"/>
    <w:rsid w:val="004419C1"/>
    <w:rsid w:val="00441DED"/>
    <w:rsid w:val="0044217F"/>
    <w:rsid w:val="00443022"/>
    <w:rsid w:val="00443086"/>
    <w:rsid w:val="0044375A"/>
    <w:rsid w:val="004437CD"/>
    <w:rsid w:val="0044495F"/>
    <w:rsid w:val="004456D2"/>
    <w:rsid w:val="00445A2D"/>
    <w:rsid w:val="00446478"/>
    <w:rsid w:val="00446547"/>
    <w:rsid w:val="0044751C"/>
    <w:rsid w:val="004475D9"/>
    <w:rsid w:val="00447E1E"/>
    <w:rsid w:val="004503B1"/>
    <w:rsid w:val="00450854"/>
    <w:rsid w:val="00451F40"/>
    <w:rsid w:val="00451F49"/>
    <w:rsid w:val="00452134"/>
    <w:rsid w:val="0045241F"/>
    <w:rsid w:val="00452877"/>
    <w:rsid w:val="00453B78"/>
    <w:rsid w:val="00453E8A"/>
    <w:rsid w:val="00454C11"/>
    <w:rsid w:val="0045518E"/>
    <w:rsid w:val="004556EB"/>
    <w:rsid w:val="00455969"/>
    <w:rsid w:val="00456220"/>
    <w:rsid w:val="0045654C"/>
    <w:rsid w:val="00456CD0"/>
    <w:rsid w:val="00456D6E"/>
    <w:rsid w:val="00456D77"/>
    <w:rsid w:val="00457645"/>
    <w:rsid w:val="004608C7"/>
    <w:rsid w:val="00460F9C"/>
    <w:rsid w:val="0046102E"/>
    <w:rsid w:val="004614D5"/>
    <w:rsid w:val="004614ED"/>
    <w:rsid w:val="00461D55"/>
    <w:rsid w:val="0046267C"/>
    <w:rsid w:val="0046330C"/>
    <w:rsid w:val="0046441D"/>
    <w:rsid w:val="00464B1A"/>
    <w:rsid w:val="00465DCE"/>
    <w:rsid w:val="00465DE9"/>
    <w:rsid w:val="004662EF"/>
    <w:rsid w:val="00467106"/>
    <w:rsid w:val="0046746F"/>
    <w:rsid w:val="00467A5B"/>
    <w:rsid w:val="00467BA7"/>
    <w:rsid w:val="0047121F"/>
    <w:rsid w:val="00471310"/>
    <w:rsid w:val="00471E75"/>
    <w:rsid w:val="0047206B"/>
    <w:rsid w:val="004721D3"/>
    <w:rsid w:val="0047240D"/>
    <w:rsid w:val="00472601"/>
    <w:rsid w:val="00472AF0"/>
    <w:rsid w:val="0047323C"/>
    <w:rsid w:val="00473D35"/>
    <w:rsid w:val="00473E35"/>
    <w:rsid w:val="00476408"/>
    <w:rsid w:val="00476C81"/>
    <w:rsid w:val="0047722D"/>
    <w:rsid w:val="004809B3"/>
    <w:rsid w:val="004816B7"/>
    <w:rsid w:val="00482194"/>
    <w:rsid w:val="00482BB1"/>
    <w:rsid w:val="00483697"/>
    <w:rsid w:val="00483C1F"/>
    <w:rsid w:val="004840A6"/>
    <w:rsid w:val="004841F1"/>
    <w:rsid w:val="004848A2"/>
    <w:rsid w:val="00484A8A"/>
    <w:rsid w:val="00484BCC"/>
    <w:rsid w:val="00485450"/>
    <w:rsid w:val="00486033"/>
    <w:rsid w:val="00487395"/>
    <w:rsid w:val="0048788B"/>
    <w:rsid w:val="00487BB4"/>
    <w:rsid w:val="00487DBB"/>
    <w:rsid w:val="004903B5"/>
    <w:rsid w:val="00490E8C"/>
    <w:rsid w:val="00491242"/>
    <w:rsid w:val="00492752"/>
    <w:rsid w:val="00492A97"/>
    <w:rsid w:val="00493287"/>
    <w:rsid w:val="004933F4"/>
    <w:rsid w:val="0049348B"/>
    <w:rsid w:val="00493B59"/>
    <w:rsid w:val="00494EC7"/>
    <w:rsid w:val="004954A5"/>
    <w:rsid w:val="00495DEF"/>
    <w:rsid w:val="00496468"/>
    <w:rsid w:val="00496AD1"/>
    <w:rsid w:val="004A0186"/>
    <w:rsid w:val="004A05CE"/>
    <w:rsid w:val="004A0DF3"/>
    <w:rsid w:val="004A0FA8"/>
    <w:rsid w:val="004A1955"/>
    <w:rsid w:val="004A1A60"/>
    <w:rsid w:val="004A1C71"/>
    <w:rsid w:val="004A285C"/>
    <w:rsid w:val="004A303B"/>
    <w:rsid w:val="004A356E"/>
    <w:rsid w:val="004A3C9C"/>
    <w:rsid w:val="004A3FF1"/>
    <w:rsid w:val="004A44A8"/>
    <w:rsid w:val="004A4E9F"/>
    <w:rsid w:val="004A53B8"/>
    <w:rsid w:val="004A6C81"/>
    <w:rsid w:val="004A7241"/>
    <w:rsid w:val="004B13E3"/>
    <w:rsid w:val="004B1EAA"/>
    <w:rsid w:val="004B1FA7"/>
    <w:rsid w:val="004B26EB"/>
    <w:rsid w:val="004B2BD2"/>
    <w:rsid w:val="004B2CA3"/>
    <w:rsid w:val="004B3247"/>
    <w:rsid w:val="004B3A87"/>
    <w:rsid w:val="004B3BBA"/>
    <w:rsid w:val="004B6C5E"/>
    <w:rsid w:val="004B72BE"/>
    <w:rsid w:val="004B75D3"/>
    <w:rsid w:val="004B782D"/>
    <w:rsid w:val="004B7A44"/>
    <w:rsid w:val="004C0274"/>
    <w:rsid w:val="004C0A6F"/>
    <w:rsid w:val="004C0CF2"/>
    <w:rsid w:val="004C0E95"/>
    <w:rsid w:val="004C1DFE"/>
    <w:rsid w:val="004C219D"/>
    <w:rsid w:val="004C3088"/>
    <w:rsid w:val="004C3A16"/>
    <w:rsid w:val="004C4FEA"/>
    <w:rsid w:val="004C5E08"/>
    <w:rsid w:val="004C669F"/>
    <w:rsid w:val="004C68CB"/>
    <w:rsid w:val="004C6C42"/>
    <w:rsid w:val="004C7894"/>
    <w:rsid w:val="004C7912"/>
    <w:rsid w:val="004D0F50"/>
    <w:rsid w:val="004D176A"/>
    <w:rsid w:val="004D1A81"/>
    <w:rsid w:val="004D2006"/>
    <w:rsid w:val="004D23E1"/>
    <w:rsid w:val="004D301B"/>
    <w:rsid w:val="004D3193"/>
    <w:rsid w:val="004D379F"/>
    <w:rsid w:val="004D43C9"/>
    <w:rsid w:val="004D4843"/>
    <w:rsid w:val="004D5E26"/>
    <w:rsid w:val="004D676A"/>
    <w:rsid w:val="004E15F3"/>
    <w:rsid w:val="004E1AFB"/>
    <w:rsid w:val="004E2AF9"/>
    <w:rsid w:val="004E3565"/>
    <w:rsid w:val="004E35C4"/>
    <w:rsid w:val="004E4A9E"/>
    <w:rsid w:val="004E4D57"/>
    <w:rsid w:val="004E57D8"/>
    <w:rsid w:val="004E5BAB"/>
    <w:rsid w:val="004E60CF"/>
    <w:rsid w:val="004E69E2"/>
    <w:rsid w:val="004E7444"/>
    <w:rsid w:val="004F0294"/>
    <w:rsid w:val="004F04DA"/>
    <w:rsid w:val="004F072A"/>
    <w:rsid w:val="004F1212"/>
    <w:rsid w:val="004F12E5"/>
    <w:rsid w:val="004F2296"/>
    <w:rsid w:val="004F29BD"/>
    <w:rsid w:val="004F4CE5"/>
    <w:rsid w:val="004F4F93"/>
    <w:rsid w:val="004F5A85"/>
    <w:rsid w:val="004F7124"/>
    <w:rsid w:val="004F7AED"/>
    <w:rsid w:val="00500F09"/>
    <w:rsid w:val="00501026"/>
    <w:rsid w:val="005011CC"/>
    <w:rsid w:val="0050157D"/>
    <w:rsid w:val="00501C23"/>
    <w:rsid w:val="005020AE"/>
    <w:rsid w:val="00503904"/>
    <w:rsid w:val="00503FF5"/>
    <w:rsid w:val="0050428C"/>
    <w:rsid w:val="005045F5"/>
    <w:rsid w:val="00504AB7"/>
    <w:rsid w:val="00505397"/>
    <w:rsid w:val="00505624"/>
    <w:rsid w:val="00506442"/>
    <w:rsid w:val="0050694C"/>
    <w:rsid w:val="00506BDC"/>
    <w:rsid w:val="00506E6D"/>
    <w:rsid w:val="00507111"/>
    <w:rsid w:val="00507FF8"/>
    <w:rsid w:val="005111BA"/>
    <w:rsid w:val="0051175E"/>
    <w:rsid w:val="00512416"/>
    <w:rsid w:val="005133CB"/>
    <w:rsid w:val="00513670"/>
    <w:rsid w:val="005137B3"/>
    <w:rsid w:val="00513B3E"/>
    <w:rsid w:val="005144DD"/>
    <w:rsid w:val="00515154"/>
    <w:rsid w:val="00515F8B"/>
    <w:rsid w:val="005162E1"/>
    <w:rsid w:val="00516806"/>
    <w:rsid w:val="005174C8"/>
    <w:rsid w:val="005204E4"/>
    <w:rsid w:val="00520E92"/>
    <w:rsid w:val="00521265"/>
    <w:rsid w:val="00521386"/>
    <w:rsid w:val="00521879"/>
    <w:rsid w:val="00523B6B"/>
    <w:rsid w:val="00523C74"/>
    <w:rsid w:val="00524469"/>
    <w:rsid w:val="00524D35"/>
    <w:rsid w:val="00525252"/>
    <w:rsid w:val="0052583C"/>
    <w:rsid w:val="0052598D"/>
    <w:rsid w:val="00526650"/>
    <w:rsid w:val="00527651"/>
    <w:rsid w:val="00527A8E"/>
    <w:rsid w:val="00530724"/>
    <w:rsid w:val="005310F5"/>
    <w:rsid w:val="0053137E"/>
    <w:rsid w:val="00531380"/>
    <w:rsid w:val="00531C46"/>
    <w:rsid w:val="00532168"/>
    <w:rsid w:val="00532274"/>
    <w:rsid w:val="00532824"/>
    <w:rsid w:val="005330FD"/>
    <w:rsid w:val="0053315A"/>
    <w:rsid w:val="0053319A"/>
    <w:rsid w:val="0053438A"/>
    <w:rsid w:val="00534934"/>
    <w:rsid w:val="0053510F"/>
    <w:rsid w:val="00535902"/>
    <w:rsid w:val="005378F3"/>
    <w:rsid w:val="00540724"/>
    <w:rsid w:val="00540743"/>
    <w:rsid w:val="00541057"/>
    <w:rsid w:val="0054163C"/>
    <w:rsid w:val="005419AE"/>
    <w:rsid w:val="00541AFA"/>
    <w:rsid w:val="00541C65"/>
    <w:rsid w:val="00542492"/>
    <w:rsid w:val="005426B9"/>
    <w:rsid w:val="005428C0"/>
    <w:rsid w:val="00542DD0"/>
    <w:rsid w:val="005452E8"/>
    <w:rsid w:val="0054577E"/>
    <w:rsid w:val="00545AA3"/>
    <w:rsid w:val="00545E08"/>
    <w:rsid w:val="0054607C"/>
    <w:rsid w:val="00547C34"/>
    <w:rsid w:val="00550034"/>
    <w:rsid w:val="005502DB"/>
    <w:rsid w:val="00550841"/>
    <w:rsid w:val="00550BA2"/>
    <w:rsid w:val="00551C53"/>
    <w:rsid w:val="00551E0F"/>
    <w:rsid w:val="005522F0"/>
    <w:rsid w:val="0055267D"/>
    <w:rsid w:val="00552BDB"/>
    <w:rsid w:val="00552CE4"/>
    <w:rsid w:val="005531CB"/>
    <w:rsid w:val="005534B5"/>
    <w:rsid w:val="005539A2"/>
    <w:rsid w:val="005539AB"/>
    <w:rsid w:val="00553C4D"/>
    <w:rsid w:val="00553E8E"/>
    <w:rsid w:val="005563DC"/>
    <w:rsid w:val="00557A0A"/>
    <w:rsid w:val="00557DDF"/>
    <w:rsid w:val="005608E6"/>
    <w:rsid w:val="00561E66"/>
    <w:rsid w:val="00562139"/>
    <w:rsid w:val="00562386"/>
    <w:rsid w:val="005631B4"/>
    <w:rsid w:val="00563E09"/>
    <w:rsid w:val="00564F60"/>
    <w:rsid w:val="005657B9"/>
    <w:rsid w:val="00566A5F"/>
    <w:rsid w:val="00566AFD"/>
    <w:rsid w:val="00566C0E"/>
    <w:rsid w:val="00567414"/>
    <w:rsid w:val="005706B4"/>
    <w:rsid w:val="00570B7A"/>
    <w:rsid w:val="00570D46"/>
    <w:rsid w:val="0057138F"/>
    <w:rsid w:val="00573524"/>
    <w:rsid w:val="005735C5"/>
    <w:rsid w:val="00574296"/>
    <w:rsid w:val="00575091"/>
    <w:rsid w:val="00575950"/>
    <w:rsid w:val="00575F96"/>
    <w:rsid w:val="00576B7F"/>
    <w:rsid w:val="00577C0D"/>
    <w:rsid w:val="00577E62"/>
    <w:rsid w:val="00580BC7"/>
    <w:rsid w:val="005816FD"/>
    <w:rsid w:val="00582F0B"/>
    <w:rsid w:val="00584133"/>
    <w:rsid w:val="005842E6"/>
    <w:rsid w:val="00584FB6"/>
    <w:rsid w:val="00585422"/>
    <w:rsid w:val="005856B6"/>
    <w:rsid w:val="0058592C"/>
    <w:rsid w:val="00585A8F"/>
    <w:rsid w:val="00586121"/>
    <w:rsid w:val="00586485"/>
    <w:rsid w:val="00587C2A"/>
    <w:rsid w:val="00587EF4"/>
    <w:rsid w:val="00590DA8"/>
    <w:rsid w:val="00591472"/>
    <w:rsid w:val="00592A9F"/>
    <w:rsid w:val="00593D3C"/>
    <w:rsid w:val="00594257"/>
    <w:rsid w:val="005949A7"/>
    <w:rsid w:val="00594B2E"/>
    <w:rsid w:val="00594E79"/>
    <w:rsid w:val="00594ECB"/>
    <w:rsid w:val="005956F1"/>
    <w:rsid w:val="005965E1"/>
    <w:rsid w:val="0059770F"/>
    <w:rsid w:val="00597C25"/>
    <w:rsid w:val="005A00A4"/>
    <w:rsid w:val="005A09BA"/>
    <w:rsid w:val="005A0C67"/>
    <w:rsid w:val="005A0F11"/>
    <w:rsid w:val="005A1302"/>
    <w:rsid w:val="005A1631"/>
    <w:rsid w:val="005A18B5"/>
    <w:rsid w:val="005A2000"/>
    <w:rsid w:val="005A2A66"/>
    <w:rsid w:val="005A38EE"/>
    <w:rsid w:val="005A3C31"/>
    <w:rsid w:val="005A4BEB"/>
    <w:rsid w:val="005A5049"/>
    <w:rsid w:val="005A51C1"/>
    <w:rsid w:val="005A598C"/>
    <w:rsid w:val="005A61C4"/>
    <w:rsid w:val="005A6A76"/>
    <w:rsid w:val="005A7966"/>
    <w:rsid w:val="005B09E2"/>
    <w:rsid w:val="005B0FE2"/>
    <w:rsid w:val="005B17E1"/>
    <w:rsid w:val="005B1DCB"/>
    <w:rsid w:val="005B1E23"/>
    <w:rsid w:val="005B1F3D"/>
    <w:rsid w:val="005B242B"/>
    <w:rsid w:val="005B2769"/>
    <w:rsid w:val="005B28D4"/>
    <w:rsid w:val="005B2F46"/>
    <w:rsid w:val="005B3228"/>
    <w:rsid w:val="005B3932"/>
    <w:rsid w:val="005B3A09"/>
    <w:rsid w:val="005B42AD"/>
    <w:rsid w:val="005B4328"/>
    <w:rsid w:val="005B4562"/>
    <w:rsid w:val="005B51CF"/>
    <w:rsid w:val="005B5709"/>
    <w:rsid w:val="005B5795"/>
    <w:rsid w:val="005B5CD9"/>
    <w:rsid w:val="005B6C01"/>
    <w:rsid w:val="005B6D15"/>
    <w:rsid w:val="005B6E35"/>
    <w:rsid w:val="005B735F"/>
    <w:rsid w:val="005B787E"/>
    <w:rsid w:val="005B78C0"/>
    <w:rsid w:val="005C0056"/>
    <w:rsid w:val="005C0164"/>
    <w:rsid w:val="005C0894"/>
    <w:rsid w:val="005C09FD"/>
    <w:rsid w:val="005C29E2"/>
    <w:rsid w:val="005C2BFD"/>
    <w:rsid w:val="005C2ED9"/>
    <w:rsid w:val="005C3767"/>
    <w:rsid w:val="005C3D27"/>
    <w:rsid w:val="005C4888"/>
    <w:rsid w:val="005C68D8"/>
    <w:rsid w:val="005C6BA4"/>
    <w:rsid w:val="005C6EA5"/>
    <w:rsid w:val="005C77FE"/>
    <w:rsid w:val="005D03F5"/>
    <w:rsid w:val="005D0BE1"/>
    <w:rsid w:val="005D0CAB"/>
    <w:rsid w:val="005D1598"/>
    <w:rsid w:val="005D1A3A"/>
    <w:rsid w:val="005D1A4C"/>
    <w:rsid w:val="005D38E3"/>
    <w:rsid w:val="005D39F4"/>
    <w:rsid w:val="005D42FA"/>
    <w:rsid w:val="005D459C"/>
    <w:rsid w:val="005D45F2"/>
    <w:rsid w:val="005D609A"/>
    <w:rsid w:val="005D60AD"/>
    <w:rsid w:val="005D6882"/>
    <w:rsid w:val="005D6C96"/>
    <w:rsid w:val="005D6E4A"/>
    <w:rsid w:val="005D7070"/>
    <w:rsid w:val="005D73CA"/>
    <w:rsid w:val="005D7C51"/>
    <w:rsid w:val="005E014C"/>
    <w:rsid w:val="005E0760"/>
    <w:rsid w:val="005E0839"/>
    <w:rsid w:val="005E08F8"/>
    <w:rsid w:val="005E09D8"/>
    <w:rsid w:val="005E09DC"/>
    <w:rsid w:val="005E0F7A"/>
    <w:rsid w:val="005E10F0"/>
    <w:rsid w:val="005E15A7"/>
    <w:rsid w:val="005E1704"/>
    <w:rsid w:val="005E177A"/>
    <w:rsid w:val="005E185F"/>
    <w:rsid w:val="005E1D85"/>
    <w:rsid w:val="005E22FB"/>
    <w:rsid w:val="005E23CA"/>
    <w:rsid w:val="005E3636"/>
    <w:rsid w:val="005E40C0"/>
    <w:rsid w:val="005E49ED"/>
    <w:rsid w:val="005E5150"/>
    <w:rsid w:val="005E5BEB"/>
    <w:rsid w:val="005E6C55"/>
    <w:rsid w:val="005E6FE2"/>
    <w:rsid w:val="005E70BB"/>
    <w:rsid w:val="005F0378"/>
    <w:rsid w:val="005F05CA"/>
    <w:rsid w:val="005F14DF"/>
    <w:rsid w:val="005F16E3"/>
    <w:rsid w:val="005F1987"/>
    <w:rsid w:val="005F1BCE"/>
    <w:rsid w:val="005F2AD7"/>
    <w:rsid w:val="005F3512"/>
    <w:rsid w:val="005F352F"/>
    <w:rsid w:val="005F4166"/>
    <w:rsid w:val="005F43BC"/>
    <w:rsid w:val="005F58A0"/>
    <w:rsid w:val="005F5F86"/>
    <w:rsid w:val="005F689F"/>
    <w:rsid w:val="005F6AEF"/>
    <w:rsid w:val="005F7033"/>
    <w:rsid w:val="005F776E"/>
    <w:rsid w:val="005F7826"/>
    <w:rsid w:val="0060016F"/>
    <w:rsid w:val="006005E4"/>
    <w:rsid w:val="006014A7"/>
    <w:rsid w:val="00602E6D"/>
    <w:rsid w:val="006036B5"/>
    <w:rsid w:val="006038F6"/>
    <w:rsid w:val="00603E99"/>
    <w:rsid w:val="0060484F"/>
    <w:rsid w:val="006048D4"/>
    <w:rsid w:val="00605200"/>
    <w:rsid w:val="006059B8"/>
    <w:rsid w:val="00606142"/>
    <w:rsid w:val="00606400"/>
    <w:rsid w:val="00606526"/>
    <w:rsid w:val="0060666C"/>
    <w:rsid w:val="00606BF3"/>
    <w:rsid w:val="00606C51"/>
    <w:rsid w:val="006078F5"/>
    <w:rsid w:val="00610A9F"/>
    <w:rsid w:val="00610D1D"/>
    <w:rsid w:val="00611369"/>
    <w:rsid w:val="00611928"/>
    <w:rsid w:val="00611FF9"/>
    <w:rsid w:val="0061339B"/>
    <w:rsid w:val="00613AF0"/>
    <w:rsid w:val="006147C7"/>
    <w:rsid w:val="00615670"/>
    <w:rsid w:val="00615888"/>
    <w:rsid w:val="00617544"/>
    <w:rsid w:val="006178DF"/>
    <w:rsid w:val="006209DD"/>
    <w:rsid w:val="00620BE7"/>
    <w:rsid w:val="00621196"/>
    <w:rsid w:val="006213D6"/>
    <w:rsid w:val="00622093"/>
    <w:rsid w:val="00622472"/>
    <w:rsid w:val="006225A6"/>
    <w:rsid w:val="00623627"/>
    <w:rsid w:val="00623865"/>
    <w:rsid w:val="006238A7"/>
    <w:rsid w:val="006238C0"/>
    <w:rsid w:val="00623C9A"/>
    <w:rsid w:val="00623D93"/>
    <w:rsid w:val="00623FE8"/>
    <w:rsid w:val="0062424B"/>
    <w:rsid w:val="00624729"/>
    <w:rsid w:val="00624FDA"/>
    <w:rsid w:val="0062551B"/>
    <w:rsid w:val="00626C4A"/>
    <w:rsid w:val="00626DF0"/>
    <w:rsid w:val="00627EC3"/>
    <w:rsid w:val="006300F6"/>
    <w:rsid w:val="00630104"/>
    <w:rsid w:val="00630BAF"/>
    <w:rsid w:val="006313CF"/>
    <w:rsid w:val="00633702"/>
    <w:rsid w:val="00633772"/>
    <w:rsid w:val="006350F9"/>
    <w:rsid w:val="00636501"/>
    <w:rsid w:val="00637336"/>
    <w:rsid w:val="0063736E"/>
    <w:rsid w:val="00637D14"/>
    <w:rsid w:val="00637DD9"/>
    <w:rsid w:val="00637F56"/>
    <w:rsid w:val="00641BE4"/>
    <w:rsid w:val="00641C3D"/>
    <w:rsid w:val="0064262A"/>
    <w:rsid w:val="00643526"/>
    <w:rsid w:val="00643DE7"/>
    <w:rsid w:val="00644092"/>
    <w:rsid w:val="006444A7"/>
    <w:rsid w:val="00644AA9"/>
    <w:rsid w:val="00644E90"/>
    <w:rsid w:val="00645037"/>
    <w:rsid w:val="006457BE"/>
    <w:rsid w:val="00645D55"/>
    <w:rsid w:val="006462CF"/>
    <w:rsid w:val="006466A4"/>
    <w:rsid w:val="00647F22"/>
    <w:rsid w:val="006507DC"/>
    <w:rsid w:val="006512BE"/>
    <w:rsid w:val="00651C4E"/>
    <w:rsid w:val="00651CA3"/>
    <w:rsid w:val="0065230D"/>
    <w:rsid w:val="006523FB"/>
    <w:rsid w:val="00652D84"/>
    <w:rsid w:val="00653472"/>
    <w:rsid w:val="00653D40"/>
    <w:rsid w:val="006546A3"/>
    <w:rsid w:val="00654844"/>
    <w:rsid w:val="00654C1B"/>
    <w:rsid w:val="00654CF7"/>
    <w:rsid w:val="00655BD9"/>
    <w:rsid w:val="0065705F"/>
    <w:rsid w:val="00657F49"/>
    <w:rsid w:val="00660268"/>
    <w:rsid w:val="006605FE"/>
    <w:rsid w:val="00660B95"/>
    <w:rsid w:val="006611A4"/>
    <w:rsid w:val="006612DA"/>
    <w:rsid w:val="00661397"/>
    <w:rsid w:val="00661AA2"/>
    <w:rsid w:val="00661C40"/>
    <w:rsid w:val="00664345"/>
    <w:rsid w:val="006643B8"/>
    <w:rsid w:val="0066455F"/>
    <w:rsid w:val="006647F7"/>
    <w:rsid w:val="00665755"/>
    <w:rsid w:val="0066654D"/>
    <w:rsid w:val="00666FB6"/>
    <w:rsid w:val="00667930"/>
    <w:rsid w:val="00667D25"/>
    <w:rsid w:val="00670362"/>
    <w:rsid w:val="00671387"/>
    <w:rsid w:val="006716FA"/>
    <w:rsid w:val="0067171A"/>
    <w:rsid w:val="00671815"/>
    <w:rsid w:val="006719B4"/>
    <w:rsid w:val="00672E1B"/>
    <w:rsid w:val="006730C9"/>
    <w:rsid w:val="00673390"/>
    <w:rsid w:val="0067409A"/>
    <w:rsid w:val="00674742"/>
    <w:rsid w:val="00674994"/>
    <w:rsid w:val="00674D9B"/>
    <w:rsid w:val="00675407"/>
    <w:rsid w:val="00675444"/>
    <w:rsid w:val="006757B1"/>
    <w:rsid w:val="006759F4"/>
    <w:rsid w:val="00676226"/>
    <w:rsid w:val="00676639"/>
    <w:rsid w:val="0067687C"/>
    <w:rsid w:val="006769F7"/>
    <w:rsid w:val="00676E20"/>
    <w:rsid w:val="006802BA"/>
    <w:rsid w:val="006816F4"/>
    <w:rsid w:val="006818A2"/>
    <w:rsid w:val="00681F17"/>
    <w:rsid w:val="006822E1"/>
    <w:rsid w:val="00682ACA"/>
    <w:rsid w:val="0068364E"/>
    <w:rsid w:val="006836F4"/>
    <w:rsid w:val="00685502"/>
    <w:rsid w:val="006857E2"/>
    <w:rsid w:val="00685B6A"/>
    <w:rsid w:val="00685E24"/>
    <w:rsid w:val="0068613C"/>
    <w:rsid w:val="0068675D"/>
    <w:rsid w:val="006873B8"/>
    <w:rsid w:val="00687538"/>
    <w:rsid w:val="00690ED9"/>
    <w:rsid w:val="0069147F"/>
    <w:rsid w:val="00691C04"/>
    <w:rsid w:val="006940B7"/>
    <w:rsid w:val="006940C1"/>
    <w:rsid w:val="00694400"/>
    <w:rsid w:val="0069455F"/>
    <w:rsid w:val="006955A8"/>
    <w:rsid w:val="00695993"/>
    <w:rsid w:val="0069638A"/>
    <w:rsid w:val="00696398"/>
    <w:rsid w:val="0069718F"/>
    <w:rsid w:val="006978A5"/>
    <w:rsid w:val="006A04EB"/>
    <w:rsid w:val="006A09DA"/>
    <w:rsid w:val="006A0F3E"/>
    <w:rsid w:val="006A11E9"/>
    <w:rsid w:val="006A16F9"/>
    <w:rsid w:val="006A1B10"/>
    <w:rsid w:val="006A1D0C"/>
    <w:rsid w:val="006A2C3C"/>
    <w:rsid w:val="006A2CA2"/>
    <w:rsid w:val="006A3422"/>
    <w:rsid w:val="006A3449"/>
    <w:rsid w:val="006A3F32"/>
    <w:rsid w:val="006A4083"/>
    <w:rsid w:val="006A4DC9"/>
    <w:rsid w:val="006A57B9"/>
    <w:rsid w:val="006A685E"/>
    <w:rsid w:val="006A6D1F"/>
    <w:rsid w:val="006A787D"/>
    <w:rsid w:val="006A7C33"/>
    <w:rsid w:val="006B0195"/>
    <w:rsid w:val="006B0248"/>
    <w:rsid w:val="006B07D2"/>
    <w:rsid w:val="006B17D0"/>
    <w:rsid w:val="006B1BDA"/>
    <w:rsid w:val="006B2161"/>
    <w:rsid w:val="006B2218"/>
    <w:rsid w:val="006B268C"/>
    <w:rsid w:val="006B29EA"/>
    <w:rsid w:val="006B3688"/>
    <w:rsid w:val="006B3818"/>
    <w:rsid w:val="006B3F5F"/>
    <w:rsid w:val="006B553A"/>
    <w:rsid w:val="006B5D26"/>
    <w:rsid w:val="006B60CE"/>
    <w:rsid w:val="006B679A"/>
    <w:rsid w:val="006B6A40"/>
    <w:rsid w:val="006B6CB1"/>
    <w:rsid w:val="006B7250"/>
    <w:rsid w:val="006B7CBC"/>
    <w:rsid w:val="006C05A3"/>
    <w:rsid w:val="006C0BDB"/>
    <w:rsid w:val="006C0F75"/>
    <w:rsid w:val="006C1CA0"/>
    <w:rsid w:val="006C227A"/>
    <w:rsid w:val="006C22F1"/>
    <w:rsid w:val="006C35F4"/>
    <w:rsid w:val="006C37E1"/>
    <w:rsid w:val="006C3C6F"/>
    <w:rsid w:val="006C4E4C"/>
    <w:rsid w:val="006C51B8"/>
    <w:rsid w:val="006C5339"/>
    <w:rsid w:val="006C5949"/>
    <w:rsid w:val="006C5BA0"/>
    <w:rsid w:val="006C7B68"/>
    <w:rsid w:val="006D1BAF"/>
    <w:rsid w:val="006D1C47"/>
    <w:rsid w:val="006D2056"/>
    <w:rsid w:val="006D2296"/>
    <w:rsid w:val="006D2809"/>
    <w:rsid w:val="006D2A48"/>
    <w:rsid w:val="006D386E"/>
    <w:rsid w:val="006D3880"/>
    <w:rsid w:val="006D428E"/>
    <w:rsid w:val="006D4B3F"/>
    <w:rsid w:val="006D52F1"/>
    <w:rsid w:val="006D53A3"/>
    <w:rsid w:val="006D540D"/>
    <w:rsid w:val="006D56F7"/>
    <w:rsid w:val="006D660C"/>
    <w:rsid w:val="006D7933"/>
    <w:rsid w:val="006E0669"/>
    <w:rsid w:val="006E0A77"/>
    <w:rsid w:val="006E0C4E"/>
    <w:rsid w:val="006E13B3"/>
    <w:rsid w:val="006E13BC"/>
    <w:rsid w:val="006E1505"/>
    <w:rsid w:val="006E1766"/>
    <w:rsid w:val="006E1D02"/>
    <w:rsid w:val="006E38E5"/>
    <w:rsid w:val="006E3EC2"/>
    <w:rsid w:val="006E5005"/>
    <w:rsid w:val="006E51EE"/>
    <w:rsid w:val="006E54C1"/>
    <w:rsid w:val="006E5526"/>
    <w:rsid w:val="006E6A21"/>
    <w:rsid w:val="006E6FBD"/>
    <w:rsid w:val="006E722A"/>
    <w:rsid w:val="006E79ED"/>
    <w:rsid w:val="006E7DAD"/>
    <w:rsid w:val="006F0550"/>
    <w:rsid w:val="006F0854"/>
    <w:rsid w:val="006F093D"/>
    <w:rsid w:val="006F15A2"/>
    <w:rsid w:val="006F3A99"/>
    <w:rsid w:val="006F4319"/>
    <w:rsid w:val="006F4A27"/>
    <w:rsid w:val="006F565E"/>
    <w:rsid w:val="006F7091"/>
    <w:rsid w:val="006F76B6"/>
    <w:rsid w:val="006F7897"/>
    <w:rsid w:val="00700065"/>
    <w:rsid w:val="0070009A"/>
    <w:rsid w:val="007000C4"/>
    <w:rsid w:val="0070049D"/>
    <w:rsid w:val="00700C6C"/>
    <w:rsid w:val="00700D74"/>
    <w:rsid w:val="00700E23"/>
    <w:rsid w:val="00700E32"/>
    <w:rsid w:val="00701173"/>
    <w:rsid w:val="007029CC"/>
    <w:rsid w:val="00703010"/>
    <w:rsid w:val="007035E8"/>
    <w:rsid w:val="007036EA"/>
    <w:rsid w:val="007038AB"/>
    <w:rsid w:val="00704B24"/>
    <w:rsid w:val="00705587"/>
    <w:rsid w:val="00705AB4"/>
    <w:rsid w:val="00705FF2"/>
    <w:rsid w:val="007069CF"/>
    <w:rsid w:val="00706B6D"/>
    <w:rsid w:val="00706C31"/>
    <w:rsid w:val="00707D10"/>
    <w:rsid w:val="00710AA8"/>
    <w:rsid w:val="00711C2C"/>
    <w:rsid w:val="00711F3B"/>
    <w:rsid w:val="00712735"/>
    <w:rsid w:val="00712E16"/>
    <w:rsid w:val="007133D0"/>
    <w:rsid w:val="00714155"/>
    <w:rsid w:val="0071424D"/>
    <w:rsid w:val="0071449D"/>
    <w:rsid w:val="00714A7E"/>
    <w:rsid w:val="00714EFA"/>
    <w:rsid w:val="0071598E"/>
    <w:rsid w:val="00715C85"/>
    <w:rsid w:val="0071620C"/>
    <w:rsid w:val="007163F2"/>
    <w:rsid w:val="00716C98"/>
    <w:rsid w:val="00716FB8"/>
    <w:rsid w:val="00717499"/>
    <w:rsid w:val="0071798D"/>
    <w:rsid w:val="00717EF6"/>
    <w:rsid w:val="00717F79"/>
    <w:rsid w:val="00720088"/>
    <w:rsid w:val="00720A26"/>
    <w:rsid w:val="00721740"/>
    <w:rsid w:val="00721E01"/>
    <w:rsid w:val="0072215B"/>
    <w:rsid w:val="00722502"/>
    <w:rsid w:val="00722E18"/>
    <w:rsid w:val="007241F7"/>
    <w:rsid w:val="00725A10"/>
    <w:rsid w:val="00725CB6"/>
    <w:rsid w:val="00726962"/>
    <w:rsid w:val="00726C7A"/>
    <w:rsid w:val="00730010"/>
    <w:rsid w:val="007314B7"/>
    <w:rsid w:val="00732667"/>
    <w:rsid w:val="00732B6E"/>
    <w:rsid w:val="00732EE4"/>
    <w:rsid w:val="007331EA"/>
    <w:rsid w:val="00733EEE"/>
    <w:rsid w:val="007343DA"/>
    <w:rsid w:val="0073481B"/>
    <w:rsid w:val="00734966"/>
    <w:rsid w:val="00734D43"/>
    <w:rsid w:val="00735175"/>
    <w:rsid w:val="0073700B"/>
    <w:rsid w:val="00737343"/>
    <w:rsid w:val="007374C9"/>
    <w:rsid w:val="0073753D"/>
    <w:rsid w:val="007378D2"/>
    <w:rsid w:val="00737FFE"/>
    <w:rsid w:val="007420FD"/>
    <w:rsid w:val="00742CDD"/>
    <w:rsid w:val="00742F66"/>
    <w:rsid w:val="007435AD"/>
    <w:rsid w:val="007436ED"/>
    <w:rsid w:val="00743EFF"/>
    <w:rsid w:val="00744022"/>
    <w:rsid w:val="007444BB"/>
    <w:rsid w:val="007445E6"/>
    <w:rsid w:val="007446A6"/>
    <w:rsid w:val="007447A3"/>
    <w:rsid w:val="007460BE"/>
    <w:rsid w:val="00746346"/>
    <w:rsid w:val="007475AC"/>
    <w:rsid w:val="007477E1"/>
    <w:rsid w:val="007479A8"/>
    <w:rsid w:val="00747C7E"/>
    <w:rsid w:val="00750319"/>
    <w:rsid w:val="0075085D"/>
    <w:rsid w:val="0075088C"/>
    <w:rsid w:val="00750FB8"/>
    <w:rsid w:val="00751A87"/>
    <w:rsid w:val="00751DC0"/>
    <w:rsid w:val="007521E0"/>
    <w:rsid w:val="007523C7"/>
    <w:rsid w:val="0075267B"/>
    <w:rsid w:val="00752D32"/>
    <w:rsid w:val="0075389F"/>
    <w:rsid w:val="00753C5F"/>
    <w:rsid w:val="00753D02"/>
    <w:rsid w:val="00754AFD"/>
    <w:rsid w:val="00754C9B"/>
    <w:rsid w:val="00754E99"/>
    <w:rsid w:val="00755C2F"/>
    <w:rsid w:val="0075644E"/>
    <w:rsid w:val="00756F0E"/>
    <w:rsid w:val="00757791"/>
    <w:rsid w:val="00760B93"/>
    <w:rsid w:val="00760E14"/>
    <w:rsid w:val="0076175E"/>
    <w:rsid w:val="00761818"/>
    <w:rsid w:val="00761BBA"/>
    <w:rsid w:val="007622BA"/>
    <w:rsid w:val="00762DEF"/>
    <w:rsid w:val="00763049"/>
    <w:rsid w:val="00763659"/>
    <w:rsid w:val="007644E9"/>
    <w:rsid w:val="007648DA"/>
    <w:rsid w:val="00764A07"/>
    <w:rsid w:val="00765ECF"/>
    <w:rsid w:val="00765ED2"/>
    <w:rsid w:val="00766133"/>
    <w:rsid w:val="00766B34"/>
    <w:rsid w:val="0076723E"/>
    <w:rsid w:val="007674B6"/>
    <w:rsid w:val="00767700"/>
    <w:rsid w:val="00767710"/>
    <w:rsid w:val="00767852"/>
    <w:rsid w:val="0076790A"/>
    <w:rsid w:val="00770230"/>
    <w:rsid w:val="0077056C"/>
    <w:rsid w:val="007711B9"/>
    <w:rsid w:val="007716D1"/>
    <w:rsid w:val="00771EB8"/>
    <w:rsid w:val="00772CC9"/>
    <w:rsid w:val="007738EE"/>
    <w:rsid w:val="00773A56"/>
    <w:rsid w:val="00773CE3"/>
    <w:rsid w:val="00774613"/>
    <w:rsid w:val="00774756"/>
    <w:rsid w:val="00774BEA"/>
    <w:rsid w:val="0077561C"/>
    <w:rsid w:val="00775BB5"/>
    <w:rsid w:val="00776536"/>
    <w:rsid w:val="00777BB6"/>
    <w:rsid w:val="007808EE"/>
    <w:rsid w:val="007809B7"/>
    <w:rsid w:val="007809C0"/>
    <w:rsid w:val="00780DC0"/>
    <w:rsid w:val="007810D6"/>
    <w:rsid w:val="007820FD"/>
    <w:rsid w:val="00782E7A"/>
    <w:rsid w:val="00782F44"/>
    <w:rsid w:val="00783160"/>
    <w:rsid w:val="007845C3"/>
    <w:rsid w:val="00785C02"/>
    <w:rsid w:val="00786B9E"/>
    <w:rsid w:val="00786D50"/>
    <w:rsid w:val="00786D62"/>
    <w:rsid w:val="00786E09"/>
    <w:rsid w:val="007901D3"/>
    <w:rsid w:val="007910A2"/>
    <w:rsid w:val="00791D79"/>
    <w:rsid w:val="00791F8E"/>
    <w:rsid w:val="00792190"/>
    <w:rsid w:val="007930F7"/>
    <w:rsid w:val="007933A0"/>
    <w:rsid w:val="007937C0"/>
    <w:rsid w:val="00794E29"/>
    <w:rsid w:val="007953F7"/>
    <w:rsid w:val="0079618F"/>
    <w:rsid w:val="00796575"/>
    <w:rsid w:val="007967E1"/>
    <w:rsid w:val="0079687E"/>
    <w:rsid w:val="00797695"/>
    <w:rsid w:val="00797A08"/>
    <w:rsid w:val="00797FFA"/>
    <w:rsid w:val="007A035E"/>
    <w:rsid w:val="007A0926"/>
    <w:rsid w:val="007A18D1"/>
    <w:rsid w:val="007A1D39"/>
    <w:rsid w:val="007A1D91"/>
    <w:rsid w:val="007A26A2"/>
    <w:rsid w:val="007A2898"/>
    <w:rsid w:val="007A351A"/>
    <w:rsid w:val="007A3A3C"/>
    <w:rsid w:val="007A4884"/>
    <w:rsid w:val="007A57E4"/>
    <w:rsid w:val="007A5A16"/>
    <w:rsid w:val="007A5C07"/>
    <w:rsid w:val="007A6034"/>
    <w:rsid w:val="007A6C0F"/>
    <w:rsid w:val="007A7E9D"/>
    <w:rsid w:val="007B08FA"/>
    <w:rsid w:val="007B0E34"/>
    <w:rsid w:val="007B1E66"/>
    <w:rsid w:val="007B2788"/>
    <w:rsid w:val="007B3140"/>
    <w:rsid w:val="007B4BC8"/>
    <w:rsid w:val="007B5D53"/>
    <w:rsid w:val="007B5D91"/>
    <w:rsid w:val="007B6515"/>
    <w:rsid w:val="007B6CAD"/>
    <w:rsid w:val="007B7681"/>
    <w:rsid w:val="007B7E86"/>
    <w:rsid w:val="007C1EEA"/>
    <w:rsid w:val="007C25DB"/>
    <w:rsid w:val="007C358E"/>
    <w:rsid w:val="007C3993"/>
    <w:rsid w:val="007C3BD0"/>
    <w:rsid w:val="007C3E88"/>
    <w:rsid w:val="007C3EA3"/>
    <w:rsid w:val="007C3EED"/>
    <w:rsid w:val="007C44A6"/>
    <w:rsid w:val="007C47BD"/>
    <w:rsid w:val="007C4C85"/>
    <w:rsid w:val="007C50CA"/>
    <w:rsid w:val="007C515C"/>
    <w:rsid w:val="007C518C"/>
    <w:rsid w:val="007C52CB"/>
    <w:rsid w:val="007C5352"/>
    <w:rsid w:val="007C5C66"/>
    <w:rsid w:val="007C6AC0"/>
    <w:rsid w:val="007C7424"/>
    <w:rsid w:val="007D08DB"/>
    <w:rsid w:val="007D0D76"/>
    <w:rsid w:val="007D16A4"/>
    <w:rsid w:val="007D23E7"/>
    <w:rsid w:val="007D29BC"/>
    <w:rsid w:val="007D2F87"/>
    <w:rsid w:val="007D3C4E"/>
    <w:rsid w:val="007D3CF6"/>
    <w:rsid w:val="007D3D5D"/>
    <w:rsid w:val="007D5595"/>
    <w:rsid w:val="007D608C"/>
    <w:rsid w:val="007D6F9C"/>
    <w:rsid w:val="007D7C8F"/>
    <w:rsid w:val="007E0575"/>
    <w:rsid w:val="007E16DE"/>
    <w:rsid w:val="007E1D3C"/>
    <w:rsid w:val="007E2278"/>
    <w:rsid w:val="007E27ED"/>
    <w:rsid w:val="007E27F4"/>
    <w:rsid w:val="007E306B"/>
    <w:rsid w:val="007E3174"/>
    <w:rsid w:val="007E3EFF"/>
    <w:rsid w:val="007E49B0"/>
    <w:rsid w:val="007E49DD"/>
    <w:rsid w:val="007E55C5"/>
    <w:rsid w:val="007E5FB6"/>
    <w:rsid w:val="007E6072"/>
    <w:rsid w:val="007E6A0B"/>
    <w:rsid w:val="007E7A7B"/>
    <w:rsid w:val="007F02BF"/>
    <w:rsid w:val="007F144B"/>
    <w:rsid w:val="007F1979"/>
    <w:rsid w:val="007F2B9E"/>
    <w:rsid w:val="007F2D34"/>
    <w:rsid w:val="007F31C7"/>
    <w:rsid w:val="007F36FB"/>
    <w:rsid w:val="007F3F14"/>
    <w:rsid w:val="007F456E"/>
    <w:rsid w:val="007F4D19"/>
    <w:rsid w:val="007F5888"/>
    <w:rsid w:val="007F5A6A"/>
    <w:rsid w:val="007F5B0A"/>
    <w:rsid w:val="007F5DAF"/>
    <w:rsid w:val="007F6FE5"/>
    <w:rsid w:val="007F7166"/>
    <w:rsid w:val="007F7784"/>
    <w:rsid w:val="007F7B3D"/>
    <w:rsid w:val="00801B0A"/>
    <w:rsid w:val="00801DE3"/>
    <w:rsid w:val="00801FE2"/>
    <w:rsid w:val="00803BFF"/>
    <w:rsid w:val="008052A5"/>
    <w:rsid w:val="0080569B"/>
    <w:rsid w:val="00805BA2"/>
    <w:rsid w:val="00805FCD"/>
    <w:rsid w:val="00806B67"/>
    <w:rsid w:val="00806E4B"/>
    <w:rsid w:val="00806FFF"/>
    <w:rsid w:val="008073AF"/>
    <w:rsid w:val="008115BA"/>
    <w:rsid w:val="00811809"/>
    <w:rsid w:val="00811962"/>
    <w:rsid w:val="00811C91"/>
    <w:rsid w:val="00812F61"/>
    <w:rsid w:val="008130E7"/>
    <w:rsid w:val="008132E4"/>
    <w:rsid w:val="00813E92"/>
    <w:rsid w:val="008143E7"/>
    <w:rsid w:val="00814668"/>
    <w:rsid w:val="008146CA"/>
    <w:rsid w:val="00814729"/>
    <w:rsid w:val="00814C16"/>
    <w:rsid w:val="00815059"/>
    <w:rsid w:val="008162B8"/>
    <w:rsid w:val="00816933"/>
    <w:rsid w:val="00816A9A"/>
    <w:rsid w:val="008172EE"/>
    <w:rsid w:val="00817A1F"/>
    <w:rsid w:val="00820586"/>
    <w:rsid w:val="00820F10"/>
    <w:rsid w:val="00821136"/>
    <w:rsid w:val="008212D8"/>
    <w:rsid w:val="008217FE"/>
    <w:rsid w:val="00821CF3"/>
    <w:rsid w:val="00821F56"/>
    <w:rsid w:val="008225D2"/>
    <w:rsid w:val="00823384"/>
    <w:rsid w:val="008241DA"/>
    <w:rsid w:val="00824944"/>
    <w:rsid w:val="00824A40"/>
    <w:rsid w:val="00825313"/>
    <w:rsid w:val="008267DB"/>
    <w:rsid w:val="00826976"/>
    <w:rsid w:val="00826A7A"/>
    <w:rsid w:val="00826AA3"/>
    <w:rsid w:val="00826AB9"/>
    <w:rsid w:val="0082710B"/>
    <w:rsid w:val="00827169"/>
    <w:rsid w:val="00827411"/>
    <w:rsid w:val="008310AB"/>
    <w:rsid w:val="008321C2"/>
    <w:rsid w:val="00832301"/>
    <w:rsid w:val="00832764"/>
    <w:rsid w:val="008328E7"/>
    <w:rsid w:val="0083330E"/>
    <w:rsid w:val="0083359F"/>
    <w:rsid w:val="008337CD"/>
    <w:rsid w:val="0083440D"/>
    <w:rsid w:val="008357AB"/>
    <w:rsid w:val="00835A21"/>
    <w:rsid w:val="00835A63"/>
    <w:rsid w:val="00835E2B"/>
    <w:rsid w:val="008360E3"/>
    <w:rsid w:val="008365FC"/>
    <w:rsid w:val="008372D5"/>
    <w:rsid w:val="0083777B"/>
    <w:rsid w:val="00837B4B"/>
    <w:rsid w:val="00840F29"/>
    <w:rsid w:val="00841173"/>
    <w:rsid w:val="008414BF"/>
    <w:rsid w:val="008418A2"/>
    <w:rsid w:val="00841918"/>
    <w:rsid w:val="00841B3C"/>
    <w:rsid w:val="0084249E"/>
    <w:rsid w:val="00845079"/>
    <w:rsid w:val="0084589F"/>
    <w:rsid w:val="0084615C"/>
    <w:rsid w:val="00846A69"/>
    <w:rsid w:val="0084747F"/>
    <w:rsid w:val="00847DA0"/>
    <w:rsid w:val="00850E31"/>
    <w:rsid w:val="00850E59"/>
    <w:rsid w:val="0085146A"/>
    <w:rsid w:val="00851AEE"/>
    <w:rsid w:val="00852836"/>
    <w:rsid w:val="00852B2B"/>
    <w:rsid w:val="00853107"/>
    <w:rsid w:val="00856271"/>
    <w:rsid w:val="00856918"/>
    <w:rsid w:val="00856989"/>
    <w:rsid w:val="00856E50"/>
    <w:rsid w:val="0086094D"/>
    <w:rsid w:val="00860C5B"/>
    <w:rsid w:val="008618A1"/>
    <w:rsid w:val="00862294"/>
    <w:rsid w:val="00862955"/>
    <w:rsid w:val="0086296F"/>
    <w:rsid w:val="00862E91"/>
    <w:rsid w:val="00863BE9"/>
    <w:rsid w:val="0086402F"/>
    <w:rsid w:val="00864717"/>
    <w:rsid w:val="00864BA8"/>
    <w:rsid w:val="008651FA"/>
    <w:rsid w:val="00865C9C"/>
    <w:rsid w:val="0086682D"/>
    <w:rsid w:val="0086763A"/>
    <w:rsid w:val="00867810"/>
    <w:rsid w:val="00867FE5"/>
    <w:rsid w:val="008707D7"/>
    <w:rsid w:val="00871AFF"/>
    <w:rsid w:val="00872986"/>
    <w:rsid w:val="00872FD3"/>
    <w:rsid w:val="008743C2"/>
    <w:rsid w:val="008745A9"/>
    <w:rsid w:val="00874E05"/>
    <w:rsid w:val="008750AB"/>
    <w:rsid w:val="008751AA"/>
    <w:rsid w:val="008753CC"/>
    <w:rsid w:val="00876469"/>
    <w:rsid w:val="0088127D"/>
    <w:rsid w:val="00881477"/>
    <w:rsid w:val="00881B73"/>
    <w:rsid w:val="00881D19"/>
    <w:rsid w:val="00881E8E"/>
    <w:rsid w:val="0088205F"/>
    <w:rsid w:val="00882588"/>
    <w:rsid w:val="00882E9E"/>
    <w:rsid w:val="008833B1"/>
    <w:rsid w:val="00883623"/>
    <w:rsid w:val="0088398B"/>
    <w:rsid w:val="008843B2"/>
    <w:rsid w:val="00884EEF"/>
    <w:rsid w:val="008864B1"/>
    <w:rsid w:val="008864D3"/>
    <w:rsid w:val="0088655D"/>
    <w:rsid w:val="00886EBC"/>
    <w:rsid w:val="008901ED"/>
    <w:rsid w:val="00890300"/>
    <w:rsid w:val="008904C1"/>
    <w:rsid w:val="008909BE"/>
    <w:rsid w:val="00890F2C"/>
    <w:rsid w:val="008919CB"/>
    <w:rsid w:val="00891B7E"/>
    <w:rsid w:val="00891BD6"/>
    <w:rsid w:val="008923E0"/>
    <w:rsid w:val="0089266B"/>
    <w:rsid w:val="0089269E"/>
    <w:rsid w:val="00893712"/>
    <w:rsid w:val="00894365"/>
    <w:rsid w:val="00894896"/>
    <w:rsid w:val="00894A81"/>
    <w:rsid w:val="00894E19"/>
    <w:rsid w:val="00895493"/>
    <w:rsid w:val="00896B4F"/>
    <w:rsid w:val="0089774A"/>
    <w:rsid w:val="00897822"/>
    <w:rsid w:val="00897A40"/>
    <w:rsid w:val="008A07E9"/>
    <w:rsid w:val="008A08E6"/>
    <w:rsid w:val="008A0D05"/>
    <w:rsid w:val="008A0FEB"/>
    <w:rsid w:val="008A102E"/>
    <w:rsid w:val="008A24D9"/>
    <w:rsid w:val="008A296D"/>
    <w:rsid w:val="008A2B6F"/>
    <w:rsid w:val="008A2C89"/>
    <w:rsid w:val="008A32C0"/>
    <w:rsid w:val="008A3870"/>
    <w:rsid w:val="008A3955"/>
    <w:rsid w:val="008A3FE9"/>
    <w:rsid w:val="008A43DE"/>
    <w:rsid w:val="008A45E3"/>
    <w:rsid w:val="008A4711"/>
    <w:rsid w:val="008A4F2F"/>
    <w:rsid w:val="008A4F9F"/>
    <w:rsid w:val="008A64AE"/>
    <w:rsid w:val="008A6D49"/>
    <w:rsid w:val="008A7173"/>
    <w:rsid w:val="008B0E71"/>
    <w:rsid w:val="008B20B3"/>
    <w:rsid w:val="008B21B3"/>
    <w:rsid w:val="008B2738"/>
    <w:rsid w:val="008B43B9"/>
    <w:rsid w:val="008B4AEA"/>
    <w:rsid w:val="008B4B28"/>
    <w:rsid w:val="008B5469"/>
    <w:rsid w:val="008B6227"/>
    <w:rsid w:val="008B651B"/>
    <w:rsid w:val="008B6A2C"/>
    <w:rsid w:val="008B6C9B"/>
    <w:rsid w:val="008B6E31"/>
    <w:rsid w:val="008B6EAE"/>
    <w:rsid w:val="008B7657"/>
    <w:rsid w:val="008C02B0"/>
    <w:rsid w:val="008C02FB"/>
    <w:rsid w:val="008C03BA"/>
    <w:rsid w:val="008C3035"/>
    <w:rsid w:val="008C3A32"/>
    <w:rsid w:val="008C3DBF"/>
    <w:rsid w:val="008C4295"/>
    <w:rsid w:val="008C4914"/>
    <w:rsid w:val="008C4DF5"/>
    <w:rsid w:val="008C51D4"/>
    <w:rsid w:val="008C59BC"/>
    <w:rsid w:val="008C5A4A"/>
    <w:rsid w:val="008C5C83"/>
    <w:rsid w:val="008C606E"/>
    <w:rsid w:val="008C66E3"/>
    <w:rsid w:val="008C6B85"/>
    <w:rsid w:val="008C6FD8"/>
    <w:rsid w:val="008C73D8"/>
    <w:rsid w:val="008C78C4"/>
    <w:rsid w:val="008C7CCC"/>
    <w:rsid w:val="008D0303"/>
    <w:rsid w:val="008D0AB6"/>
    <w:rsid w:val="008D0DB7"/>
    <w:rsid w:val="008D1DAA"/>
    <w:rsid w:val="008D2C93"/>
    <w:rsid w:val="008D2E4F"/>
    <w:rsid w:val="008D3C2F"/>
    <w:rsid w:val="008D3EDA"/>
    <w:rsid w:val="008D43A4"/>
    <w:rsid w:val="008D43C5"/>
    <w:rsid w:val="008D5455"/>
    <w:rsid w:val="008D5E68"/>
    <w:rsid w:val="008D5E8A"/>
    <w:rsid w:val="008D6432"/>
    <w:rsid w:val="008D72F0"/>
    <w:rsid w:val="008D7C8B"/>
    <w:rsid w:val="008E0181"/>
    <w:rsid w:val="008E08F4"/>
    <w:rsid w:val="008E093A"/>
    <w:rsid w:val="008E0A53"/>
    <w:rsid w:val="008E0B1A"/>
    <w:rsid w:val="008E2107"/>
    <w:rsid w:val="008E2D73"/>
    <w:rsid w:val="008E2EC8"/>
    <w:rsid w:val="008E38B1"/>
    <w:rsid w:val="008E3CE5"/>
    <w:rsid w:val="008E5227"/>
    <w:rsid w:val="008E5F8F"/>
    <w:rsid w:val="008E67C3"/>
    <w:rsid w:val="008E72AF"/>
    <w:rsid w:val="008E75FB"/>
    <w:rsid w:val="008F0055"/>
    <w:rsid w:val="008F0AD7"/>
    <w:rsid w:val="008F0FF3"/>
    <w:rsid w:val="008F1057"/>
    <w:rsid w:val="008F153A"/>
    <w:rsid w:val="008F1C7C"/>
    <w:rsid w:val="008F2546"/>
    <w:rsid w:val="008F3180"/>
    <w:rsid w:val="008F47CC"/>
    <w:rsid w:val="008F4DCE"/>
    <w:rsid w:val="008F5094"/>
    <w:rsid w:val="008F52AE"/>
    <w:rsid w:val="008F531D"/>
    <w:rsid w:val="008F5A7D"/>
    <w:rsid w:val="008F6533"/>
    <w:rsid w:val="008F6BBE"/>
    <w:rsid w:val="008F6BEE"/>
    <w:rsid w:val="008F7C08"/>
    <w:rsid w:val="008F7C7F"/>
    <w:rsid w:val="009000DE"/>
    <w:rsid w:val="00900DE4"/>
    <w:rsid w:val="009014A2"/>
    <w:rsid w:val="0090233B"/>
    <w:rsid w:val="009031B6"/>
    <w:rsid w:val="009032E1"/>
    <w:rsid w:val="0090468A"/>
    <w:rsid w:val="00904EA6"/>
    <w:rsid w:val="00906B4D"/>
    <w:rsid w:val="00906CFD"/>
    <w:rsid w:val="00906F48"/>
    <w:rsid w:val="00907754"/>
    <w:rsid w:val="00907A4E"/>
    <w:rsid w:val="009108B8"/>
    <w:rsid w:val="00910C8A"/>
    <w:rsid w:val="009114C7"/>
    <w:rsid w:val="00911A66"/>
    <w:rsid w:val="009120F8"/>
    <w:rsid w:val="009121D8"/>
    <w:rsid w:val="0091242D"/>
    <w:rsid w:val="00913C6B"/>
    <w:rsid w:val="0091509C"/>
    <w:rsid w:val="0091736E"/>
    <w:rsid w:val="0091791D"/>
    <w:rsid w:val="00920974"/>
    <w:rsid w:val="00921544"/>
    <w:rsid w:val="00921794"/>
    <w:rsid w:val="009220B5"/>
    <w:rsid w:val="0092363A"/>
    <w:rsid w:val="00923677"/>
    <w:rsid w:val="009249D7"/>
    <w:rsid w:val="00924C12"/>
    <w:rsid w:val="00925174"/>
    <w:rsid w:val="00925475"/>
    <w:rsid w:val="00925700"/>
    <w:rsid w:val="00925B27"/>
    <w:rsid w:val="00925C88"/>
    <w:rsid w:val="00926755"/>
    <w:rsid w:val="009313A4"/>
    <w:rsid w:val="00932428"/>
    <w:rsid w:val="009337DA"/>
    <w:rsid w:val="00933910"/>
    <w:rsid w:val="00933A45"/>
    <w:rsid w:val="009347F7"/>
    <w:rsid w:val="0093499C"/>
    <w:rsid w:val="00934C51"/>
    <w:rsid w:val="0093547B"/>
    <w:rsid w:val="00935E2D"/>
    <w:rsid w:val="009366BF"/>
    <w:rsid w:val="009366D5"/>
    <w:rsid w:val="009368CD"/>
    <w:rsid w:val="009369E9"/>
    <w:rsid w:val="00936D28"/>
    <w:rsid w:val="009371A2"/>
    <w:rsid w:val="009372DA"/>
    <w:rsid w:val="00937BC1"/>
    <w:rsid w:val="00940722"/>
    <w:rsid w:val="00940CB3"/>
    <w:rsid w:val="009410CE"/>
    <w:rsid w:val="0094184B"/>
    <w:rsid w:val="00941861"/>
    <w:rsid w:val="009422BA"/>
    <w:rsid w:val="00942DB7"/>
    <w:rsid w:val="0094340C"/>
    <w:rsid w:val="00943884"/>
    <w:rsid w:val="00944343"/>
    <w:rsid w:val="00944C58"/>
    <w:rsid w:val="009468BC"/>
    <w:rsid w:val="00946B9F"/>
    <w:rsid w:val="00946BA0"/>
    <w:rsid w:val="00946CA2"/>
    <w:rsid w:val="00947A43"/>
    <w:rsid w:val="00947F86"/>
    <w:rsid w:val="009501A5"/>
    <w:rsid w:val="009506A1"/>
    <w:rsid w:val="009518D0"/>
    <w:rsid w:val="00951985"/>
    <w:rsid w:val="00951BB9"/>
    <w:rsid w:val="00952E0E"/>
    <w:rsid w:val="009534C5"/>
    <w:rsid w:val="009539FF"/>
    <w:rsid w:val="00954723"/>
    <w:rsid w:val="00954A71"/>
    <w:rsid w:val="00954E5B"/>
    <w:rsid w:val="00955087"/>
    <w:rsid w:val="00955D0E"/>
    <w:rsid w:val="00956C60"/>
    <w:rsid w:val="009572CB"/>
    <w:rsid w:val="009575C7"/>
    <w:rsid w:val="00957884"/>
    <w:rsid w:val="0096004E"/>
    <w:rsid w:val="00960141"/>
    <w:rsid w:val="00960C2C"/>
    <w:rsid w:val="009610FB"/>
    <w:rsid w:val="00961707"/>
    <w:rsid w:val="009646A2"/>
    <w:rsid w:val="00964A4F"/>
    <w:rsid w:val="00965E20"/>
    <w:rsid w:val="0096614F"/>
    <w:rsid w:val="00966636"/>
    <w:rsid w:val="0096792C"/>
    <w:rsid w:val="00967A37"/>
    <w:rsid w:val="0097047A"/>
    <w:rsid w:val="0097098B"/>
    <w:rsid w:val="00970A94"/>
    <w:rsid w:val="0097163E"/>
    <w:rsid w:val="009718D1"/>
    <w:rsid w:val="00971D22"/>
    <w:rsid w:val="009726A7"/>
    <w:rsid w:val="0097278E"/>
    <w:rsid w:val="009727AD"/>
    <w:rsid w:val="00972C90"/>
    <w:rsid w:val="009737A6"/>
    <w:rsid w:val="00973F16"/>
    <w:rsid w:val="009745C2"/>
    <w:rsid w:val="00974AE5"/>
    <w:rsid w:val="00974D78"/>
    <w:rsid w:val="009754F7"/>
    <w:rsid w:val="00975949"/>
    <w:rsid w:val="0097607F"/>
    <w:rsid w:val="0097624D"/>
    <w:rsid w:val="00976F9B"/>
    <w:rsid w:val="0098005E"/>
    <w:rsid w:val="00980AD3"/>
    <w:rsid w:val="00981248"/>
    <w:rsid w:val="00981D3C"/>
    <w:rsid w:val="00982176"/>
    <w:rsid w:val="009823F5"/>
    <w:rsid w:val="009825BF"/>
    <w:rsid w:val="00983044"/>
    <w:rsid w:val="0098322D"/>
    <w:rsid w:val="00983A5E"/>
    <w:rsid w:val="00983AD9"/>
    <w:rsid w:val="00984529"/>
    <w:rsid w:val="009846F7"/>
    <w:rsid w:val="0098471C"/>
    <w:rsid w:val="0098472B"/>
    <w:rsid w:val="009867C2"/>
    <w:rsid w:val="009870E3"/>
    <w:rsid w:val="009871A6"/>
    <w:rsid w:val="00987581"/>
    <w:rsid w:val="009879A9"/>
    <w:rsid w:val="00990551"/>
    <w:rsid w:val="009907B5"/>
    <w:rsid w:val="00990E65"/>
    <w:rsid w:val="0099174E"/>
    <w:rsid w:val="00992371"/>
    <w:rsid w:val="00992E8C"/>
    <w:rsid w:val="009930E0"/>
    <w:rsid w:val="00993EB5"/>
    <w:rsid w:val="009945B1"/>
    <w:rsid w:val="009946CC"/>
    <w:rsid w:val="00994AA3"/>
    <w:rsid w:val="00995580"/>
    <w:rsid w:val="009957CA"/>
    <w:rsid w:val="0099584F"/>
    <w:rsid w:val="00996775"/>
    <w:rsid w:val="0099690C"/>
    <w:rsid w:val="00997178"/>
    <w:rsid w:val="009A02D1"/>
    <w:rsid w:val="009A0346"/>
    <w:rsid w:val="009A094D"/>
    <w:rsid w:val="009A0C07"/>
    <w:rsid w:val="009A12C4"/>
    <w:rsid w:val="009A166A"/>
    <w:rsid w:val="009A19DF"/>
    <w:rsid w:val="009A205F"/>
    <w:rsid w:val="009A2BB1"/>
    <w:rsid w:val="009A3663"/>
    <w:rsid w:val="009A407C"/>
    <w:rsid w:val="009A5A35"/>
    <w:rsid w:val="009A5AC5"/>
    <w:rsid w:val="009A60E4"/>
    <w:rsid w:val="009A6E04"/>
    <w:rsid w:val="009B0907"/>
    <w:rsid w:val="009B0CDB"/>
    <w:rsid w:val="009B18CC"/>
    <w:rsid w:val="009B1E0B"/>
    <w:rsid w:val="009B2B6C"/>
    <w:rsid w:val="009B2BF7"/>
    <w:rsid w:val="009B2F32"/>
    <w:rsid w:val="009B327B"/>
    <w:rsid w:val="009B3F5C"/>
    <w:rsid w:val="009B595A"/>
    <w:rsid w:val="009B5CCE"/>
    <w:rsid w:val="009B7944"/>
    <w:rsid w:val="009C02C3"/>
    <w:rsid w:val="009C0982"/>
    <w:rsid w:val="009C0F91"/>
    <w:rsid w:val="009C14BA"/>
    <w:rsid w:val="009C3160"/>
    <w:rsid w:val="009C582D"/>
    <w:rsid w:val="009C5F19"/>
    <w:rsid w:val="009C62EA"/>
    <w:rsid w:val="009C72D4"/>
    <w:rsid w:val="009C760D"/>
    <w:rsid w:val="009D0075"/>
    <w:rsid w:val="009D01DF"/>
    <w:rsid w:val="009D0D2E"/>
    <w:rsid w:val="009D1657"/>
    <w:rsid w:val="009D177B"/>
    <w:rsid w:val="009D2331"/>
    <w:rsid w:val="009D24F6"/>
    <w:rsid w:val="009D2DA3"/>
    <w:rsid w:val="009D2EDD"/>
    <w:rsid w:val="009D32BE"/>
    <w:rsid w:val="009D37DD"/>
    <w:rsid w:val="009D3855"/>
    <w:rsid w:val="009D3A15"/>
    <w:rsid w:val="009D54F7"/>
    <w:rsid w:val="009D622D"/>
    <w:rsid w:val="009D623A"/>
    <w:rsid w:val="009D658F"/>
    <w:rsid w:val="009D7EC4"/>
    <w:rsid w:val="009E1B67"/>
    <w:rsid w:val="009E2233"/>
    <w:rsid w:val="009E2292"/>
    <w:rsid w:val="009E2A0E"/>
    <w:rsid w:val="009E2B45"/>
    <w:rsid w:val="009E2E6C"/>
    <w:rsid w:val="009E3412"/>
    <w:rsid w:val="009E38F8"/>
    <w:rsid w:val="009E40AD"/>
    <w:rsid w:val="009E40DA"/>
    <w:rsid w:val="009E42B7"/>
    <w:rsid w:val="009E4DA0"/>
    <w:rsid w:val="009E5890"/>
    <w:rsid w:val="009E5934"/>
    <w:rsid w:val="009E593D"/>
    <w:rsid w:val="009E63D9"/>
    <w:rsid w:val="009E76FF"/>
    <w:rsid w:val="009F08ED"/>
    <w:rsid w:val="009F1F99"/>
    <w:rsid w:val="009F298D"/>
    <w:rsid w:val="009F2C27"/>
    <w:rsid w:val="009F2C97"/>
    <w:rsid w:val="009F2ED3"/>
    <w:rsid w:val="009F3992"/>
    <w:rsid w:val="009F3D43"/>
    <w:rsid w:val="009F42BB"/>
    <w:rsid w:val="009F4D00"/>
    <w:rsid w:val="009F54C8"/>
    <w:rsid w:val="009F5505"/>
    <w:rsid w:val="009F5690"/>
    <w:rsid w:val="009F62EE"/>
    <w:rsid w:val="009F6608"/>
    <w:rsid w:val="009F6729"/>
    <w:rsid w:val="009F7916"/>
    <w:rsid w:val="009F79B9"/>
    <w:rsid w:val="00A00ED2"/>
    <w:rsid w:val="00A019A4"/>
    <w:rsid w:val="00A02A5A"/>
    <w:rsid w:val="00A034B3"/>
    <w:rsid w:val="00A04879"/>
    <w:rsid w:val="00A04B09"/>
    <w:rsid w:val="00A05963"/>
    <w:rsid w:val="00A05A66"/>
    <w:rsid w:val="00A05E61"/>
    <w:rsid w:val="00A06513"/>
    <w:rsid w:val="00A06E01"/>
    <w:rsid w:val="00A0783F"/>
    <w:rsid w:val="00A10DA2"/>
    <w:rsid w:val="00A113DF"/>
    <w:rsid w:val="00A1169C"/>
    <w:rsid w:val="00A11BA9"/>
    <w:rsid w:val="00A11DA3"/>
    <w:rsid w:val="00A12927"/>
    <w:rsid w:val="00A129D6"/>
    <w:rsid w:val="00A12A03"/>
    <w:rsid w:val="00A12B2A"/>
    <w:rsid w:val="00A143D7"/>
    <w:rsid w:val="00A15458"/>
    <w:rsid w:val="00A15E22"/>
    <w:rsid w:val="00A172E0"/>
    <w:rsid w:val="00A17B42"/>
    <w:rsid w:val="00A17EF0"/>
    <w:rsid w:val="00A208D9"/>
    <w:rsid w:val="00A21021"/>
    <w:rsid w:val="00A21574"/>
    <w:rsid w:val="00A21955"/>
    <w:rsid w:val="00A21B72"/>
    <w:rsid w:val="00A21C49"/>
    <w:rsid w:val="00A22E49"/>
    <w:rsid w:val="00A22F1B"/>
    <w:rsid w:val="00A2317F"/>
    <w:rsid w:val="00A236BC"/>
    <w:rsid w:val="00A2376C"/>
    <w:rsid w:val="00A24691"/>
    <w:rsid w:val="00A24B10"/>
    <w:rsid w:val="00A262AC"/>
    <w:rsid w:val="00A263D1"/>
    <w:rsid w:val="00A263ED"/>
    <w:rsid w:val="00A2643B"/>
    <w:rsid w:val="00A2734A"/>
    <w:rsid w:val="00A27879"/>
    <w:rsid w:val="00A27BCE"/>
    <w:rsid w:val="00A300A6"/>
    <w:rsid w:val="00A304E9"/>
    <w:rsid w:val="00A30F80"/>
    <w:rsid w:val="00A31419"/>
    <w:rsid w:val="00A31601"/>
    <w:rsid w:val="00A33081"/>
    <w:rsid w:val="00A330E7"/>
    <w:rsid w:val="00A33453"/>
    <w:rsid w:val="00A35906"/>
    <w:rsid w:val="00A35AA1"/>
    <w:rsid w:val="00A363A0"/>
    <w:rsid w:val="00A363B9"/>
    <w:rsid w:val="00A3720D"/>
    <w:rsid w:val="00A37872"/>
    <w:rsid w:val="00A4041B"/>
    <w:rsid w:val="00A40434"/>
    <w:rsid w:val="00A408BB"/>
    <w:rsid w:val="00A40C67"/>
    <w:rsid w:val="00A41055"/>
    <w:rsid w:val="00A423F9"/>
    <w:rsid w:val="00A4318E"/>
    <w:rsid w:val="00A444D1"/>
    <w:rsid w:val="00A44F9B"/>
    <w:rsid w:val="00A4626D"/>
    <w:rsid w:val="00A464DD"/>
    <w:rsid w:val="00A4653B"/>
    <w:rsid w:val="00A47236"/>
    <w:rsid w:val="00A478FE"/>
    <w:rsid w:val="00A47A94"/>
    <w:rsid w:val="00A47BC6"/>
    <w:rsid w:val="00A47FE7"/>
    <w:rsid w:val="00A50885"/>
    <w:rsid w:val="00A50A22"/>
    <w:rsid w:val="00A51981"/>
    <w:rsid w:val="00A52E7C"/>
    <w:rsid w:val="00A530D2"/>
    <w:rsid w:val="00A546CA"/>
    <w:rsid w:val="00A54BAC"/>
    <w:rsid w:val="00A560DC"/>
    <w:rsid w:val="00A56AD3"/>
    <w:rsid w:val="00A57195"/>
    <w:rsid w:val="00A571D1"/>
    <w:rsid w:val="00A57347"/>
    <w:rsid w:val="00A57F50"/>
    <w:rsid w:val="00A605D3"/>
    <w:rsid w:val="00A608FC"/>
    <w:rsid w:val="00A61766"/>
    <w:rsid w:val="00A61E2C"/>
    <w:rsid w:val="00A63411"/>
    <w:rsid w:val="00A640BC"/>
    <w:rsid w:val="00A6437F"/>
    <w:rsid w:val="00A64C0B"/>
    <w:rsid w:val="00A65015"/>
    <w:rsid w:val="00A65331"/>
    <w:rsid w:val="00A66709"/>
    <w:rsid w:val="00A66A6D"/>
    <w:rsid w:val="00A677D7"/>
    <w:rsid w:val="00A67E18"/>
    <w:rsid w:val="00A70202"/>
    <w:rsid w:val="00A7144C"/>
    <w:rsid w:val="00A71810"/>
    <w:rsid w:val="00A7246C"/>
    <w:rsid w:val="00A73AED"/>
    <w:rsid w:val="00A73E9A"/>
    <w:rsid w:val="00A744C3"/>
    <w:rsid w:val="00A74867"/>
    <w:rsid w:val="00A766D1"/>
    <w:rsid w:val="00A76E04"/>
    <w:rsid w:val="00A77A2C"/>
    <w:rsid w:val="00A80885"/>
    <w:rsid w:val="00A808FD"/>
    <w:rsid w:val="00A80C6F"/>
    <w:rsid w:val="00A81536"/>
    <w:rsid w:val="00A81941"/>
    <w:rsid w:val="00A8275D"/>
    <w:rsid w:val="00A82794"/>
    <w:rsid w:val="00A828BC"/>
    <w:rsid w:val="00A8293C"/>
    <w:rsid w:val="00A84038"/>
    <w:rsid w:val="00A84052"/>
    <w:rsid w:val="00A842D9"/>
    <w:rsid w:val="00A847C0"/>
    <w:rsid w:val="00A84C47"/>
    <w:rsid w:val="00A850EF"/>
    <w:rsid w:val="00A8533E"/>
    <w:rsid w:val="00A859A0"/>
    <w:rsid w:val="00A85C37"/>
    <w:rsid w:val="00A85E32"/>
    <w:rsid w:val="00A86080"/>
    <w:rsid w:val="00A861FD"/>
    <w:rsid w:val="00A86708"/>
    <w:rsid w:val="00A86DFB"/>
    <w:rsid w:val="00A870C2"/>
    <w:rsid w:val="00A87D2B"/>
    <w:rsid w:val="00A87EB5"/>
    <w:rsid w:val="00A904B3"/>
    <w:rsid w:val="00A90543"/>
    <w:rsid w:val="00A90EF3"/>
    <w:rsid w:val="00A9177A"/>
    <w:rsid w:val="00A918AB"/>
    <w:rsid w:val="00A9246E"/>
    <w:rsid w:val="00A926E9"/>
    <w:rsid w:val="00A929B3"/>
    <w:rsid w:val="00A92F59"/>
    <w:rsid w:val="00A9361D"/>
    <w:rsid w:val="00A94E26"/>
    <w:rsid w:val="00A94E41"/>
    <w:rsid w:val="00A95A26"/>
    <w:rsid w:val="00A9685B"/>
    <w:rsid w:val="00A96C8E"/>
    <w:rsid w:val="00A96CE4"/>
    <w:rsid w:val="00A96DA2"/>
    <w:rsid w:val="00A96E51"/>
    <w:rsid w:val="00A972F9"/>
    <w:rsid w:val="00AA0264"/>
    <w:rsid w:val="00AA06B3"/>
    <w:rsid w:val="00AA0856"/>
    <w:rsid w:val="00AA0ED9"/>
    <w:rsid w:val="00AA0F46"/>
    <w:rsid w:val="00AA12E1"/>
    <w:rsid w:val="00AA21F5"/>
    <w:rsid w:val="00AA2D7A"/>
    <w:rsid w:val="00AA321F"/>
    <w:rsid w:val="00AA3848"/>
    <w:rsid w:val="00AA411B"/>
    <w:rsid w:val="00AA4301"/>
    <w:rsid w:val="00AA4C6F"/>
    <w:rsid w:val="00AA5AFB"/>
    <w:rsid w:val="00AA5D50"/>
    <w:rsid w:val="00AA6326"/>
    <w:rsid w:val="00AA6843"/>
    <w:rsid w:val="00AA6ADA"/>
    <w:rsid w:val="00AA70C9"/>
    <w:rsid w:val="00AA7ED0"/>
    <w:rsid w:val="00AB028D"/>
    <w:rsid w:val="00AB0CB1"/>
    <w:rsid w:val="00AB0D10"/>
    <w:rsid w:val="00AB228B"/>
    <w:rsid w:val="00AB27B5"/>
    <w:rsid w:val="00AB27F5"/>
    <w:rsid w:val="00AB3827"/>
    <w:rsid w:val="00AB3A46"/>
    <w:rsid w:val="00AB4844"/>
    <w:rsid w:val="00AB69D7"/>
    <w:rsid w:val="00AB74F3"/>
    <w:rsid w:val="00AB7F65"/>
    <w:rsid w:val="00AB7F69"/>
    <w:rsid w:val="00AC05E4"/>
    <w:rsid w:val="00AC08D6"/>
    <w:rsid w:val="00AC11B5"/>
    <w:rsid w:val="00AC11D7"/>
    <w:rsid w:val="00AC11FC"/>
    <w:rsid w:val="00AC1266"/>
    <w:rsid w:val="00AC1391"/>
    <w:rsid w:val="00AC1402"/>
    <w:rsid w:val="00AC197B"/>
    <w:rsid w:val="00AC2243"/>
    <w:rsid w:val="00AC29D1"/>
    <w:rsid w:val="00AC2A8D"/>
    <w:rsid w:val="00AC2CBD"/>
    <w:rsid w:val="00AC32AD"/>
    <w:rsid w:val="00AC34FC"/>
    <w:rsid w:val="00AC3C28"/>
    <w:rsid w:val="00AC443A"/>
    <w:rsid w:val="00AC48C7"/>
    <w:rsid w:val="00AC4C83"/>
    <w:rsid w:val="00AC5572"/>
    <w:rsid w:val="00AC5DB9"/>
    <w:rsid w:val="00AC5FF8"/>
    <w:rsid w:val="00AC7644"/>
    <w:rsid w:val="00AD19E0"/>
    <w:rsid w:val="00AD1DDC"/>
    <w:rsid w:val="00AD242B"/>
    <w:rsid w:val="00AD26F2"/>
    <w:rsid w:val="00AD2F48"/>
    <w:rsid w:val="00AD338C"/>
    <w:rsid w:val="00AD44D8"/>
    <w:rsid w:val="00AD47E4"/>
    <w:rsid w:val="00AD49DC"/>
    <w:rsid w:val="00AD5992"/>
    <w:rsid w:val="00AD67E2"/>
    <w:rsid w:val="00AD7082"/>
    <w:rsid w:val="00AD7E22"/>
    <w:rsid w:val="00AD7F59"/>
    <w:rsid w:val="00AE0765"/>
    <w:rsid w:val="00AE2558"/>
    <w:rsid w:val="00AE2BA1"/>
    <w:rsid w:val="00AE3B9B"/>
    <w:rsid w:val="00AE3DFB"/>
    <w:rsid w:val="00AE445D"/>
    <w:rsid w:val="00AE5FC8"/>
    <w:rsid w:val="00AE6148"/>
    <w:rsid w:val="00AE6439"/>
    <w:rsid w:val="00AE7097"/>
    <w:rsid w:val="00AE745D"/>
    <w:rsid w:val="00AE7D74"/>
    <w:rsid w:val="00AF00B6"/>
    <w:rsid w:val="00AF05C6"/>
    <w:rsid w:val="00AF10B2"/>
    <w:rsid w:val="00AF1778"/>
    <w:rsid w:val="00AF187E"/>
    <w:rsid w:val="00AF272F"/>
    <w:rsid w:val="00AF2903"/>
    <w:rsid w:val="00AF49FE"/>
    <w:rsid w:val="00AF5236"/>
    <w:rsid w:val="00AF5C25"/>
    <w:rsid w:val="00AF701F"/>
    <w:rsid w:val="00B00988"/>
    <w:rsid w:val="00B00ED4"/>
    <w:rsid w:val="00B02D35"/>
    <w:rsid w:val="00B03074"/>
    <w:rsid w:val="00B0394D"/>
    <w:rsid w:val="00B041BF"/>
    <w:rsid w:val="00B04D7F"/>
    <w:rsid w:val="00B04D9A"/>
    <w:rsid w:val="00B05489"/>
    <w:rsid w:val="00B05547"/>
    <w:rsid w:val="00B056E3"/>
    <w:rsid w:val="00B05ED5"/>
    <w:rsid w:val="00B07EE5"/>
    <w:rsid w:val="00B10419"/>
    <w:rsid w:val="00B10529"/>
    <w:rsid w:val="00B1056D"/>
    <w:rsid w:val="00B10C1F"/>
    <w:rsid w:val="00B120E5"/>
    <w:rsid w:val="00B120E6"/>
    <w:rsid w:val="00B12146"/>
    <w:rsid w:val="00B1267D"/>
    <w:rsid w:val="00B12828"/>
    <w:rsid w:val="00B129E1"/>
    <w:rsid w:val="00B12DF5"/>
    <w:rsid w:val="00B12E7A"/>
    <w:rsid w:val="00B1446D"/>
    <w:rsid w:val="00B146AE"/>
    <w:rsid w:val="00B14BA0"/>
    <w:rsid w:val="00B15E65"/>
    <w:rsid w:val="00B16023"/>
    <w:rsid w:val="00B16622"/>
    <w:rsid w:val="00B170CA"/>
    <w:rsid w:val="00B17785"/>
    <w:rsid w:val="00B17D42"/>
    <w:rsid w:val="00B200F9"/>
    <w:rsid w:val="00B20C2A"/>
    <w:rsid w:val="00B21268"/>
    <w:rsid w:val="00B215B0"/>
    <w:rsid w:val="00B21633"/>
    <w:rsid w:val="00B217AD"/>
    <w:rsid w:val="00B2293C"/>
    <w:rsid w:val="00B22BE4"/>
    <w:rsid w:val="00B234AC"/>
    <w:rsid w:val="00B24199"/>
    <w:rsid w:val="00B241A6"/>
    <w:rsid w:val="00B24551"/>
    <w:rsid w:val="00B24572"/>
    <w:rsid w:val="00B25117"/>
    <w:rsid w:val="00B25585"/>
    <w:rsid w:val="00B2592A"/>
    <w:rsid w:val="00B300DE"/>
    <w:rsid w:val="00B30AD8"/>
    <w:rsid w:val="00B3143C"/>
    <w:rsid w:val="00B31FBF"/>
    <w:rsid w:val="00B320FC"/>
    <w:rsid w:val="00B3278A"/>
    <w:rsid w:val="00B33706"/>
    <w:rsid w:val="00B34ED3"/>
    <w:rsid w:val="00B3537E"/>
    <w:rsid w:val="00B35830"/>
    <w:rsid w:val="00B3587E"/>
    <w:rsid w:val="00B35DCD"/>
    <w:rsid w:val="00B37F7F"/>
    <w:rsid w:val="00B40402"/>
    <w:rsid w:val="00B4048F"/>
    <w:rsid w:val="00B40504"/>
    <w:rsid w:val="00B41665"/>
    <w:rsid w:val="00B417A3"/>
    <w:rsid w:val="00B42658"/>
    <w:rsid w:val="00B42DAB"/>
    <w:rsid w:val="00B43274"/>
    <w:rsid w:val="00B44663"/>
    <w:rsid w:val="00B44EC3"/>
    <w:rsid w:val="00B4537A"/>
    <w:rsid w:val="00B4598C"/>
    <w:rsid w:val="00B460CA"/>
    <w:rsid w:val="00B46908"/>
    <w:rsid w:val="00B50488"/>
    <w:rsid w:val="00B50647"/>
    <w:rsid w:val="00B507B6"/>
    <w:rsid w:val="00B512CE"/>
    <w:rsid w:val="00B512EA"/>
    <w:rsid w:val="00B522E1"/>
    <w:rsid w:val="00B52359"/>
    <w:rsid w:val="00B539FF"/>
    <w:rsid w:val="00B53AA9"/>
    <w:rsid w:val="00B54E8A"/>
    <w:rsid w:val="00B5510F"/>
    <w:rsid w:val="00B55792"/>
    <w:rsid w:val="00B55C96"/>
    <w:rsid w:val="00B5686B"/>
    <w:rsid w:val="00B5693A"/>
    <w:rsid w:val="00B57042"/>
    <w:rsid w:val="00B57644"/>
    <w:rsid w:val="00B601BC"/>
    <w:rsid w:val="00B60247"/>
    <w:rsid w:val="00B6079B"/>
    <w:rsid w:val="00B60D4C"/>
    <w:rsid w:val="00B61BB4"/>
    <w:rsid w:val="00B61F1E"/>
    <w:rsid w:val="00B624ED"/>
    <w:rsid w:val="00B6286D"/>
    <w:rsid w:val="00B632FB"/>
    <w:rsid w:val="00B637B0"/>
    <w:rsid w:val="00B6427E"/>
    <w:rsid w:val="00B642AA"/>
    <w:rsid w:val="00B6476E"/>
    <w:rsid w:val="00B6479B"/>
    <w:rsid w:val="00B64877"/>
    <w:rsid w:val="00B65396"/>
    <w:rsid w:val="00B6767E"/>
    <w:rsid w:val="00B67B5E"/>
    <w:rsid w:val="00B71021"/>
    <w:rsid w:val="00B71153"/>
    <w:rsid w:val="00B722B9"/>
    <w:rsid w:val="00B725F5"/>
    <w:rsid w:val="00B7269B"/>
    <w:rsid w:val="00B7368B"/>
    <w:rsid w:val="00B74054"/>
    <w:rsid w:val="00B745D5"/>
    <w:rsid w:val="00B75015"/>
    <w:rsid w:val="00B75223"/>
    <w:rsid w:val="00B75DEE"/>
    <w:rsid w:val="00B76A27"/>
    <w:rsid w:val="00B77221"/>
    <w:rsid w:val="00B772A5"/>
    <w:rsid w:val="00B77716"/>
    <w:rsid w:val="00B77F10"/>
    <w:rsid w:val="00B801E5"/>
    <w:rsid w:val="00B819C1"/>
    <w:rsid w:val="00B81B2B"/>
    <w:rsid w:val="00B82A99"/>
    <w:rsid w:val="00B82BA3"/>
    <w:rsid w:val="00B83352"/>
    <w:rsid w:val="00B83773"/>
    <w:rsid w:val="00B83D46"/>
    <w:rsid w:val="00B8420D"/>
    <w:rsid w:val="00B85FF6"/>
    <w:rsid w:val="00B86966"/>
    <w:rsid w:val="00B86B8D"/>
    <w:rsid w:val="00B86C51"/>
    <w:rsid w:val="00B86E6D"/>
    <w:rsid w:val="00B87314"/>
    <w:rsid w:val="00B8744B"/>
    <w:rsid w:val="00B87F79"/>
    <w:rsid w:val="00B90B78"/>
    <w:rsid w:val="00B91D78"/>
    <w:rsid w:val="00B91EF8"/>
    <w:rsid w:val="00B925BA"/>
    <w:rsid w:val="00B93198"/>
    <w:rsid w:val="00B932EF"/>
    <w:rsid w:val="00B9330E"/>
    <w:rsid w:val="00B93639"/>
    <w:rsid w:val="00B93BA6"/>
    <w:rsid w:val="00B948EE"/>
    <w:rsid w:val="00B96A52"/>
    <w:rsid w:val="00B97116"/>
    <w:rsid w:val="00B97876"/>
    <w:rsid w:val="00BA0AEC"/>
    <w:rsid w:val="00BA0C34"/>
    <w:rsid w:val="00BA0EDC"/>
    <w:rsid w:val="00BA1110"/>
    <w:rsid w:val="00BA1587"/>
    <w:rsid w:val="00BA1A83"/>
    <w:rsid w:val="00BA1F0F"/>
    <w:rsid w:val="00BA1FCE"/>
    <w:rsid w:val="00BA21C2"/>
    <w:rsid w:val="00BA237A"/>
    <w:rsid w:val="00BA277B"/>
    <w:rsid w:val="00BA3227"/>
    <w:rsid w:val="00BA32FF"/>
    <w:rsid w:val="00BA385C"/>
    <w:rsid w:val="00BA3BA5"/>
    <w:rsid w:val="00BA433F"/>
    <w:rsid w:val="00BA4B85"/>
    <w:rsid w:val="00BA51FC"/>
    <w:rsid w:val="00BA56FD"/>
    <w:rsid w:val="00BA5CFE"/>
    <w:rsid w:val="00BA67D2"/>
    <w:rsid w:val="00BA7BE0"/>
    <w:rsid w:val="00BB05EB"/>
    <w:rsid w:val="00BB0654"/>
    <w:rsid w:val="00BB0729"/>
    <w:rsid w:val="00BB0B36"/>
    <w:rsid w:val="00BB1196"/>
    <w:rsid w:val="00BB14F1"/>
    <w:rsid w:val="00BB17F8"/>
    <w:rsid w:val="00BB1A75"/>
    <w:rsid w:val="00BB1F4E"/>
    <w:rsid w:val="00BB26B5"/>
    <w:rsid w:val="00BB2A65"/>
    <w:rsid w:val="00BB38FD"/>
    <w:rsid w:val="00BB3C2E"/>
    <w:rsid w:val="00BB4FA5"/>
    <w:rsid w:val="00BB61CF"/>
    <w:rsid w:val="00BB63A5"/>
    <w:rsid w:val="00BB6866"/>
    <w:rsid w:val="00BB68F6"/>
    <w:rsid w:val="00BB6C4E"/>
    <w:rsid w:val="00BB6F2D"/>
    <w:rsid w:val="00BB7F81"/>
    <w:rsid w:val="00BC1793"/>
    <w:rsid w:val="00BC1C62"/>
    <w:rsid w:val="00BC1E50"/>
    <w:rsid w:val="00BC234D"/>
    <w:rsid w:val="00BC277F"/>
    <w:rsid w:val="00BC2D94"/>
    <w:rsid w:val="00BC36A7"/>
    <w:rsid w:val="00BC4523"/>
    <w:rsid w:val="00BC47AA"/>
    <w:rsid w:val="00BC6E36"/>
    <w:rsid w:val="00BC7C7A"/>
    <w:rsid w:val="00BC7E51"/>
    <w:rsid w:val="00BD0001"/>
    <w:rsid w:val="00BD0586"/>
    <w:rsid w:val="00BD0DBC"/>
    <w:rsid w:val="00BD1CAA"/>
    <w:rsid w:val="00BD23FB"/>
    <w:rsid w:val="00BD2C25"/>
    <w:rsid w:val="00BD34BC"/>
    <w:rsid w:val="00BD405E"/>
    <w:rsid w:val="00BD42DF"/>
    <w:rsid w:val="00BD4575"/>
    <w:rsid w:val="00BD4674"/>
    <w:rsid w:val="00BD4711"/>
    <w:rsid w:val="00BD4935"/>
    <w:rsid w:val="00BD5084"/>
    <w:rsid w:val="00BD5322"/>
    <w:rsid w:val="00BD5357"/>
    <w:rsid w:val="00BD53C8"/>
    <w:rsid w:val="00BD5C95"/>
    <w:rsid w:val="00BD5ED0"/>
    <w:rsid w:val="00BD60E7"/>
    <w:rsid w:val="00BD63D3"/>
    <w:rsid w:val="00BD66C0"/>
    <w:rsid w:val="00BD6A5D"/>
    <w:rsid w:val="00BE03F6"/>
    <w:rsid w:val="00BE0704"/>
    <w:rsid w:val="00BE0F63"/>
    <w:rsid w:val="00BE1AAF"/>
    <w:rsid w:val="00BE1BFC"/>
    <w:rsid w:val="00BE3BFE"/>
    <w:rsid w:val="00BE3CCF"/>
    <w:rsid w:val="00BE3F55"/>
    <w:rsid w:val="00BE408C"/>
    <w:rsid w:val="00BE603D"/>
    <w:rsid w:val="00BE60EC"/>
    <w:rsid w:val="00BE6428"/>
    <w:rsid w:val="00BE7A5C"/>
    <w:rsid w:val="00BE7F82"/>
    <w:rsid w:val="00BF0228"/>
    <w:rsid w:val="00BF04F8"/>
    <w:rsid w:val="00BF0919"/>
    <w:rsid w:val="00BF0AFB"/>
    <w:rsid w:val="00BF0D9A"/>
    <w:rsid w:val="00BF16DD"/>
    <w:rsid w:val="00BF22A8"/>
    <w:rsid w:val="00BF2D09"/>
    <w:rsid w:val="00BF3CC8"/>
    <w:rsid w:val="00BF5503"/>
    <w:rsid w:val="00BF5B8C"/>
    <w:rsid w:val="00C004EE"/>
    <w:rsid w:val="00C007FB"/>
    <w:rsid w:val="00C023FA"/>
    <w:rsid w:val="00C03A81"/>
    <w:rsid w:val="00C03AEC"/>
    <w:rsid w:val="00C03E0F"/>
    <w:rsid w:val="00C04407"/>
    <w:rsid w:val="00C04631"/>
    <w:rsid w:val="00C04671"/>
    <w:rsid w:val="00C04729"/>
    <w:rsid w:val="00C04965"/>
    <w:rsid w:val="00C05155"/>
    <w:rsid w:val="00C05266"/>
    <w:rsid w:val="00C052B1"/>
    <w:rsid w:val="00C05E9A"/>
    <w:rsid w:val="00C06E37"/>
    <w:rsid w:val="00C07844"/>
    <w:rsid w:val="00C07C63"/>
    <w:rsid w:val="00C105A5"/>
    <w:rsid w:val="00C10611"/>
    <w:rsid w:val="00C10C34"/>
    <w:rsid w:val="00C10C69"/>
    <w:rsid w:val="00C10D4D"/>
    <w:rsid w:val="00C10DF2"/>
    <w:rsid w:val="00C11207"/>
    <w:rsid w:val="00C113A6"/>
    <w:rsid w:val="00C12AAC"/>
    <w:rsid w:val="00C133A3"/>
    <w:rsid w:val="00C14308"/>
    <w:rsid w:val="00C146C3"/>
    <w:rsid w:val="00C14920"/>
    <w:rsid w:val="00C14C47"/>
    <w:rsid w:val="00C14C7A"/>
    <w:rsid w:val="00C160A6"/>
    <w:rsid w:val="00C169FF"/>
    <w:rsid w:val="00C16D9E"/>
    <w:rsid w:val="00C16E18"/>
    <w:rsid w:val="00C17D5C"/>
    <w:rsid w:val="00C17FB5"/>
    <w:rsid w:val="00C200D7"/>
    <w:rsid w:val="00C20142"/>
    <w:rsid w:val="00C20D01"/>
    <w:rsid w:val="00C212A9"/>
    <w:rsid w:val="00C224C1"/>
    <w:rsid w:val="00C22C52"/>
    <w:rsid w:val="00C234AC"/>
    <w:rsid w:val="00C24528"/>
    <w:rsid w:val="00C25134"/>
    <w:rsid w:val="00C2591C"/>
    <w:rsid w:val="00C25D6A"/>
    <w:rsid w:val="00C264A9"/>
    <w:rsid w:val="00C270F1"/>
    <w:rsid w:val="00C27E51"/>
    <w:rsid w:val="00C30130"/>
    <w:rsid w:val="00C30242"/>
    <w:rsid w:val="00C30695"/>
    <w:rsid w:val="00C30EB7"/>
    <w:rsid w:val="00C32D56"/>
    <w:rsid w:val="00C333A5"/>
    <w:rsid w:val="00C33495"/>
    <w:rsid w:val="00C34C94"/>
    <w:rsid w:val="00C34F57"/>
    <w:rsid w:val="00C359C5"/>
    <w:rsid w:val="00C35B38"/>
    <w:rsid w:val="00C35C02"/>
    <w:rsid w:val="00C36A66"/>
    <w:rsid w:val="00C36FE4"/>
    <w:rsid w:val="00C3738C"/>
    <w:rsid w:val="00C37AD1"/>
    <w:rsid w:val="00C409EA"/>
    <w:rsid w:val="00C40CE0"/>
    <w:rsid w:val="00C410D8"/>
    <w:rsid w:val="00C412BD"/>
    <w:rsid w:val="00C4138C"/>
    <w:rsid w:val="00C41B44"/>
    <w:rsid w:val="00C42529"/>
    <w:rsid w:val="00C433CA"/>
    <w:rsid w:val="00C43CE3"/>
    <w:rsid w:val="00C44E31"/>
    <w:rsid w:val="00C4649A"/>
    <w:rsid w:val="00C5027E"/>
    <w:rsid w:val="00C50E2C"/>
    <w:rsid w:val="00C511E3"/>
    <w:rsid w:val="00C515A6"/>
    <w:rsid w:val="00C51F60"/>
    <w:rsid w:val="00C528A2"/>
    <w:rsid w:val="00C5378E"/>
    <w:rsid w:val="00C53858"/>
    <w:rsid w:val="00C53C6C"/>
    <w:rsid w:val="00C554EB"/>
    <w:rsid w:val="00C555CF"/>
    <w:rsid w:val="00C55C51"/>
    <w:rsid w:val="00C55DEA"/>
    <w:rsid w:val="00C5638A"/>
    <w:rsid w:val="00C56A3A"/>
    <w:rsid w:val="00C56C51"/>
    <w:rsid w:val="00C573AA"/>
    <w:rsid w:val="00C57A2A"/>
    <w:rsid w:val="00C57C34"/>
    <w:rsid w:val="00C57D39"/>
    <w:rsid w:val="00C57FE1"/>
    <w:rsid w:val="00C604E5"/>
    <w:rsid w:val="00C60E0E"/>
    <w:rsid w:val="00C61BEA"/>
    <w:rsid w:val="00C620E8"/>
    <w:rsid w:val="00C6233D"/>
    <w:rsid w:val="00C62445"/>
    <w:rsid w:val="00C62AD4"/>
    <w:rsid w:val="00C63926"/>
    <w:rsid w:val="00C63D71"/>
    <w:rsid w:val="00C6523E"/>
    <w:rsid w:val="00C6543C"/>
    <w:rsid w:val="00C65F04"/>
    <w:rsid w:val="00C667CD"/>
    <w:rsid w:val="00C6689C"/>
    <w:rsid w:val="00C66BC7"/>
    <w:rsid w:val="00C6724A"/>
    <w:rsid w:val="00C701A1"/>
    <w:rsid w:val="00C70C7A"/>
    <w:rsid w:val="00C71172"/>
    <w:rsid w:val="00C72F60"/>
    <w:rsid w:val="00C73C0F"/>
    <w:rsid w:val="00C74802"/>
    <w:rsid w:val="00C74A6D"/>
    <w:rsid w:val="00C750B6"/>
    <w:rsid w:val="00C750BF"/>
    <w:rsid w:val="00C75294"/>
    <w:rsid w:val="00C75447"/>
    <w:rsid w:val="00C75A02"/>
    <w:rsid w:val="00C762BA"/>
    <w:rsid w:val="00C770F1"/>
    <w:rsid w:val="00C77327"/>
    <w:rsid w:val="00C7745B"/>
    <w:rsid w:val="00C775AF"/>
    <w:rsid w:val="00C7773E"/>
    <w:rsid w:val="00C77967"/>
    <w:rsid w:val="00C801DD"/>
    <w:rsid w:val="00C8085F"/>
    <w:rsid w:val="00C8123A"/>
    <w:rsid w:val="00C812CF"/>
    <w:rsid w:val="00C831B1"/>
    <w:rsid w:val="00C836E4"/>
    <w:rsid w:val="00C838DA"/>
    <w:rsid w:val="00C83C4F"/>
    <w:rsid w:val="00C84079"/>
    <w:rsid w:val="00C849ED"/>
    <w:rsid w:val="00C84BA2"/>
    <w:rsid w:val="00C85067"/>
    <w:rsid w:val="00C86271"/>
    <w:rsid w:val="00C86BA5"/>
    <w:rsid w:val="00C87144"/>
    <w:rsid w:val="00C87473"/>
    <w:rsid w:val="00C87905"/>
    <w:rsid w:val="00C87C08"/>
    <w:rsid w:val="00C9015C"/>
    <w:rsid w:val="00C904A0"/>
    <w:rsid w:val="00C90F32"/>
    <w:rsid w:val="00C91169"/>
    <w:rsid w:val="00C91426"/>
    <w:rsid w:val="00C9150E"/>
    <w:rsid w:val="00C918F5"/>
    <w:rsid w:val="00C91D3E"/>
    <w:rsid w:val="00C92966"/>
    <w:rsid w:val="00C93505"/>
    <w:rsid w:val="00C93C90"/>
    <w:rsid w:val="00C94251"/>
    <w:rsid w:val="00C94EFE"/>
    <w:rsid w:val="00C955C7"/>
    <w:rsid w:val="00C95F02"/>
    <w:rsid w:val="00C96452"/>
    <w:rsid w:val="00C9656F"/>
    <w:rsid w:val="00C970A8"/>
    <w:rsid w:val="00CA0332"/>
    <w:rsid w:val="00CA1410"/>
    <w:rsid w:val="00CA19CA"/>
    <w:rsid w:val="00CA1B34"/>
    <w:rsid w:val="00CA290C"/>
    <w:rsid w:val="00CA3144"/>
    <w:rsid w:val="00CA32B9"/>
    <w:rsid w:val="00CA3978"/>
    <w:rsid w:val="00CA5885"/>
    <w:rsid w:val="00CA5B0A"/>
    <w:rsid w:val="00CA5C07"/>
    <w:rsid w:val="00CA5D99"/>
    <w:rsid w:val="00CA6806"/>
    <w:rsid w:val="00CA68C4"/>
    <w:rsid w:val="00CA6A56"/>
    <w:rsid w:val="00CA7082"/>
    <w:rsid w:val="00CA730A"/>
    <w:rsid w:val="00CA78DC"/>
    <w:rsid w:val="00CA790F"/>
    <w:rsid w:val="00CA7CD5"/>
    <w:rsid w:val="00CB012F"/>
    <w:rsid w:val="00CB060C"/>
    <w:rsid w:val="00CB17D6"/>
    <w:rsid w:val="00CB1F55"/>
    <w:rsid w:val="00CB2A71"/>
    <w:rsid w:val="00CB3D46"/>
    <w:rsid w:val="00CB404C"/>
    <w:rsid w:val="00CB4421"/>
    <w:rsid w:val="00CB47B1"/>
    <w:rsid w:val="00CB48BA"/>
    <w:rsid w:val="00CB4900"/>
    <w:rsid w:val="00CB4CE5"/>
    <w:rsid w:val="00CB4DD9"/>
    <w:rsid w:val="00CB556A"/>
    <w:rsid w:val="00CB6104"/>
    <w:rsid w:val="00CB6875"/>
    <w:rsid w:val="00CB701C"/>
    <w:rsid w:val="00CB74AA"/>
    <w:rsid w:val="00CB777B"/>
    <w:rsid w:val="00CC03E8"/>
    <w:rsid w:val="00CC04B9"/>
    <w:rsid w:val="00CC1C4B"/>
    <w:rsid w:val="00CC3A32"/>
    <w:rsid w:val="00CC4423"/>
    <w:rsid w:val="00CC4E70"/>
    <w:rsid w:val="00CC5A47"/>
    <w:rsid w:val="00CC5BE8"/>
    <w:rsid w:val="00CC602B"/>
    <w:rsid w:val="00CC6243"/>
    <w:rsid w:val="00CC646D"/>
    <w:rsid w:val="00CC6914"/>
    <w:rsid w:val="00CC6B25"/>
    <w:rsid w:val="00CC773E"/>
    <w:rsid w:val="00CC786D"/>
    <w:rsid w:val="00CC7AFA"/>
    <w:rsid w:val="00CD00A7"/>
    <w:rsid w:val="00CD0268"/>
    <w:rsid w:val="00CD0888"/>
    <w:rsid w:val="00CD104C"/>
    <w:rsid w:val="00CD1847"/>
    <w:rsid w:val="00CD190D"/>
    <w:rsid w:val="00CD1CDC"/>
    <w:rsid w:val="00CD1ECE"/>
    <w:rsid w:val="00CD2061"/>
    <w:rsid w:val="00CD22D5"/>
    <w:rsid w:val="00CD238D"/>
    <w:rsid w:val="00CD486D"/>
    <w:rsid w:val="00CD4BD1"/>
    <w:rsid w:val="00CD502F"/>
    <w:rsid w:val="00CD53D1"/>
    <w:rsid w:val="00CD54A8"/>
    <w:rsid w:val="00CD6317"/>
    <w:rsid w:val="00CD7D23"/>
    <w:rsid w:val="00CD7FF6"/>
    <w:rsid w:val="00CE1EB4"/>
    <w:rsid w:val="00CE1F72"/>
    <w:rsid w:val="00CE1F8F"/>
    <w:rsid w:val="00CE21CC"/>
    <w:rsid w:val="00CE362F"/>
    <w:rsid w:val="00CE4707"/>
    <w:rsid w:val="00CE4B25"/>
    <w:rsid w:val="00CE4B6F"/>
    <w:rsid w:val="00CE4F2B"/>
    <w:rsid w:val="00CE4FEB"/>
    <w:rsid w:val="00CE51DE"/>
    <w:rsid w:val="00CE5B4E"/>
    <w:rsid w:val="00CE7C9D"/>
    <w:rsid w:val="00CE7E35"/>
    <w:rsid w:val="00CF0159"/>
    <w:rsid w:val="00CF1BD5"/>
    <w:rsid w:val="00CF1D1A"/>
    <w:rsid w:val="00CF2483"/>
    <w:rsid w:val="00CF2919"/>
    <w:rsid w:val="00CF2C17"/>
    <w:rsid w:val="00CF34AD"/>
    <w:rsid w:val="00CF3F7C"/>
    <w:rsid w:val="00CF4CB6"/>
    <w:rsid w:val="00CF4EF2"/>
    <w:rsid w:val="00CF5217"/>
    <w:rsid w:val="00CF5BAA"/>
    <w:rsid w:val="00CF64A6"/>
    <w:rsid w:val="00CF728F"/>
    <w:rsid w:val="00D011E5"/>
    <w:rsid w:val="00D01A2D"/>
    <w:rsid w:val="00D02210"/>
    <w:rsid w:val="00D0382B"/>
    <w:rsid w:val="00D03B69"/>
    <w:rsid w:val="00D03BF3"/>
    <w:rsid w:val="00D03C14"/>
    <w:rsid w:val="00D03D05"/>
    <w:rsid w:val="00D04EC7"/>
    <w:rsid w:val="00D04FD2"/>
    <w:rsid w:val="00D05346"/>
    <w:rsid w:val="00D05D84"/>
    <w:rsid w:val="00D0612F"/>
    <w:rsid w:val="00D066BB"/>
    <w:rsid w:val="00D0672E"/>
    <w:rsid w:val="00D06875"/>
    <w:rsid w:val="00D072C2"/>
    <w:rsid w:val="00D07858"/>
    <w:rsid w:val="00D07AD2"/>
    <w:rsid w:val="00D07F3C"/>
    <w:rsid w:val="00D07FB3"/>
    <w:rsid w:val="00D1008E"/>
    <w:rsid w:val="00D104BD"/>
    <w:rsid w:val="00D1070B"/>
    <w:rsid w:val="00D108F6"/>
    <w:rsid w:val="00D11E0F"/>
    <w:rsid w:val="00D1215A"/>
    <w:rsid w:val="00D130C5"/>
    <w:rsid w:val="00D13191"/>
    <w:rsid w:val="00D139F2"/>
    <w:rsid w:val="00D13BB8"/>
    <w:rsid w:val="00D1459D"/>
    <w:rsid w:val="00D14B1D"/>
    <w:rsid w:val="00D14D54"/>
    <w:rsid w:val="00D16CE2"/>
    <w:rsid w:val="00D209E5"/>
    <w:rsid w:val="00D20D49"/>
    <w:rsid w:val="00D20FA6"/>
    <w:rsid w:val="00D222C1"/>
    <w:rsid w:val="00D22D5C"/>
    <w:rsid w:val="00D23983"/>
    <w:rsid w:val="00D23CA2"/>
    <w:rsid w:val="00D242A0"/>
    <w:rsid w:val="00D24F02"/>
    <w:rsid w:val="00D251F8"/>
    <w:rsid w:val="00D25622"/>
    <w:rsid w:val="00D25B47"/>
    <w:rsid w:val="00D260F1"/>
    <w:rsid w:val="00D26C40"/>
    <w:rsid w:val="00D2702F"/>
    <w:rsid w:val="00D27159"/>
    <w:rsid w:val="00D27F50"/>
    <w:rsid w:val="00D30462"/>
    <w:rsid w:val="00D34A09"/>
    <w:rsid w:val="00D35213"/>
    <w:rsid w:val="00D3585F"/>
    <w:rsid w:val="00D35A0B"/>
    <w:rsid w:val="00D35DEC"/>
    <w:rsid w:val="00D35F2E"/>
    <w:rsid w:val="00D36DD6"/>
    <w:rsid w:val="00D373B9"/>
    <w:rsid w:val="00D37582"/>
    <w:rsid w:val="00D37A4D"/>
    <w:rsid w:val="00D37DA3"/>
    <w:rsid w:val="00D40741"/>
    <w:rsid w:val="00D4083A"/>
    <w:rsid w:val="00D40F38"/>
    <w:rsid w:val="00D41F0C"/>
    <w:rsid w:val="00D42083"/>
    <w:rsid w:val="00D42696"/>
    <w:rsid w:val="00D42B0B"/>
    <w:rsid w:val="00D42F6C"/>
    <w:rsid w:val="00D4375F"/>
    <w:rsid w:val="00D439C4"/>
    <w:rsid w:val="00D443BC"/>
    <w:rsid w:val="00D44CDC"/>
    <w:rsid w:val="00D45C1F"/>
    <w:rsid w:val="00D45F75"/>
    <w:rsid w:val="00D469BB"/>
    <w:rsid w:val="00D46A86"/>
    <w:rsid w:val="00D50B17"/>
    <w:rsid w:val="00D510DB"/>
    <w:rsid w:val="00D51144"/>
    <w:rsid w:val="00D5162F"/>
    <w:rsid w:val="00D53410"/>
    <w:rsid w:val="00D5382C"/>
    <w:rsid w:val="00D55A2B"/>
    <w:rsid w:val="00D55AD4"/>
    <w:rsid w:val="00D55CF6"/>
    <w:rsid w:val="00D55DF0"/>
    <w:rsid w:val="00D560F3"/>
    <w:rsid w:val="00D56F0C"/>
    <w:rsid w:val="00D57A1D"/>
    <w:rsid w:val="00D57EC7"/>
    <w:rsid w:val="00D6009F"/>
    <w:rsid w:val="00D602B0"/>
    <w:rsid w:val="00D610CC"/>
    <w:rsid w:val="00D612FD"/>
    <w:rsid w:val="00D613E3"/>
    <w:rsid w:val="00D614F7"/>
    <w:rsid w:val="00D618E8"/>
    <w:rsid w:val="00D6211D"/>
    <w:rsid w:val="00D62401"/>
    <w:rsid w:val="00D627CC"/>
    <w:rsid w:val="00D62C54"/>
    <w:rsid w:val="00D62E49"/>
    <w:rsid w:val="00D6372C"/>
    <w:rsid w:val="00D63952"/>
    <w:rsid w:val="00D63B9D"/>
    <w:rsid w:val="00D63C9F"/>
    <w:rsid w:val="00D64355"/>
    <w:rsid w:val="00D6460B"/>
    <w:rsid w:val="00D64D5F"/>
    <w:rsid w:val="00D64EAE"/>
    <w:rsid w:val="00D653CA"/>
    <w:rsid w:val="00D65BE9"/>
    <w:rsid w:val="00D65C1D"/>
    <w:rsid w:val="00D6600C"/>
    <w:rsid w:val="00D66422"/>
    <w:rsid w:val="00D66FF1"/>
    <w:rsid w:val="00D670F7"/>
    <w:rsid w:val="00D67B11"/>
    <w:rsid w:val="00D7047C"/>
    <w:rsid w:val="00D70899"/>
    <w:rsid w:val="00D708FA"/>
    <w:rsid w:val="00D70E28"/>
    <w:rsid w:val="00D70F91"/>
    <w:rsid w:val="00D7145F"/>
    <w:rsid w:val="00D71E1D"/>
    <w:rsid w:val="00D72EAB"/>
    <w:rsid w:val="00D739FB"/>
    <w:rsid w:val="00D7427C"/>
    <w:rsid w:val="00D743D7"/>
    <w:rsid w:val="00D74616"/>
    <w:rsid w:val="00D74945"/>
    <w:rsid w:val="00D74C83"/>
    <w:rsid w:val="00D75D6F"/>
    <w:rsid w:val="00D7735A"/>
    <w:rsid w:val="00D7735E"/>
    <w:rsid w:val="00D806F3"/>
    <w:rsid w:val="00D80BEE"/>
    <w:rsid w:val="00D8125E"/>
    <w:rsid w:val="00D812F5"/>
    <w:rsid w:val="00D815AF"/>
    <w:rsid w:val="00D81F92"/>
    <w:rsid w:val="00D82089"/>
    <w:rsid w:val="00D8210B"/>
    <w:rsid w:val="00D82377"/>
    <w:rsid w:val="00D8323C"/>
    <w:rsid w:val="00D832C1"/>
    <w:rsid w:val="00D83A5D"/>
    <w:rsid w:val="00D863ED"/>
    <w:rsid w:val="00D869A3"/>
    <w:rsid w:val="00D87704"/>
    <w:rsid w:val="00D903D9"/>
    <w:rsid w:val="00D917CA"/>
    <w:rsid w:val="00D92393"/>
    <w:rsid w:val="00D92ECA"/>
    <w:rsid w:val="00D9311E"/>
    <w:rsid w:val="00D932F6"/>
    <w:rsid w:val="00D93468"/>
    <w:rsid w:val="00D93B85"/>
    <w:rsid w:val="00D94A3D"/>
    <w:rsid w:val="00D94BE9"/>
    <w:rsid w:val="00D95BD1"/>
    <w:rsid w:val="00D96000"/>
    <w:rsid w:val="00D96305"/>
    <w:rsid w:val="00D96DCF"/>
    <w:rsid w:val="00D97146"/>
    <w:rsid w:val="00D971D0"/>
    <w:rsid w:val="00DA0F12"/>
    <w:rsid w:val="00DA1808"/>
    <w:rsid w:val="00DA234F"/>
    <w:rsid w:val="00DA27A2"/>
    <w:rsid w:val="00DA3CAF"/>
    <w:rsid w:val="00DA3CD9"/>
    <w:rsid w:val="00DA443D"/>
    <w:rsid w:val="00DA49C1"/>
    <w:rsid w:val="00DA5376"/>
    <w:rsid w:val="00DA6FC7"/>
    <w:rsid w:val="00DA7626"/>
    <w:rsid w:val="00DA7838"/>
    <w:rsid w:val="00DA7A1C"/>
    <w:rsid w:val="00DB0668"/>
    <w:rsid w:val="00DB06C4"/>
    <w:rsid w:val="00DB0888"/>
    <w:rsid w:val="00DB1190"/>
    <w:rsid w:val="00DB1221"/>
    <w:rsid w:val="00DB1296"/>
    <w:rsid w:val="00DB156C"/>
    <w:rsid w:val="00DB2D8A"/>
    <w:rsid w:val="00DB2F07"/>
    <w:rsid w:val="00DB324A"/>
    <w:rsid w:val="00DB3E77"/>
    <w:rsid w:val="00DB4494"/>
    <w:rsid w:val="00DB4830"/>
    <w:rsid w:val="00DB484A"/>
    <w:rsid w:val="00DB5016"/>
    <w:rsid w:val="00DB52C0"/>
    <w:rsid w:val="00DB536C"/>
    <w:rsid w:val="00DB56FD"/>
    <w:rsid w:val="00DB5A94"/>
    <w:rsid w:val="00DB60B2"/>
    <w:rsid w:val="00DB635B"/>
    <w:rsid w:val="00DB658C"/>
    <w:rsid w:val="00DB7301"/>
    <w:rsid w:val="00DB7352"/>
    <w:rsid w:val="00DB74F0"/>
    <w:rsid w:val="00DC05CF"/>
    <w:rsid w:val="00DC0DF7"/>
    <w:rsid w:val="00DC1231"/>
    <w:rsid w:val="00DC1302"/>
    <w:rsid w:val="00DC1876"/>
    <w:rsid w:val="00DC1DEF"/>
    <w:rsid w:val="00DC3ABE"/>
    <w:rsid w:val="00DC3C91"/>
    <w:rsid w:val="00DC3CE8"/>
    <w:rsid w:val="00DC3FEF"/>
    <w:rsid w:val="00DC44A5"/>
    <w:rsid w:val="00DC4956"/>
    <w:rsid w:val="00DC5322"/>
    <w:rsid w:val="00DC54E4"/>
    <w:rsid w:val="00DC5FFE"/>
    <w:rsid w:val="00DC688B"/>
    <w:rsid w:val="00DC6BEA"/>
    <w:rsid w:val="00DC6CED"/>
    <w:rsid w:val="00DC710A"/>
    <w:rsid w:val="00DD03DE"/>
    <w:rsid w:val="00DD0470"/>
    <w:rsid w:val="00DD2DF0"/>
    <w:rsid w:val="00DD524C"/>
    <w:rsid w:val="00DD56D6"/>
    <w:rsid w:val="00DD5972"/>
    <w:rsid w:val="00DD5E2A"/>
    <w:rsid w:val="00DD6AED"/>
    <w:rsid w:val="00DD6D5A"/>
    <w:rsid w:val="00DD7519"/>
    <w:rsid w:val="00DD7DB3"/>
    <w:rsid w:val="00DE027A"/>
    <w:rsid w:val="00DE03D7"/>
    <w:rsid w:val="00DE0848"/>
    <w:rsid w:val="00DE0907"/>
    <w:rsid w:val="00DE1348"/>
    <w:rsid w:val="00DE1573"/>
    <w:rsid w:val="00DE232D"/>
    <w:rsid w:val="00DE3716"/>
    <w:rsid w:val="00DE3824"/>
    <w:rsid w:val="00DE4686"/>
    <w:rsid w:val="00DE4D5B"/>
    <w:rsid w:val="00DE4DAD"/>
    <w:rsid w:val="00DE5B8B"/>
    <w:rsid w:val="00DE5C8F"/>
    <w:rsid w:val="00DE64E5"/>
    <w:rsid w:val="00DE671A"/>
    <w:rsid w:val="00DE72D3"/>
    <w:rsid w:val="00DE74A9"/>
    <w:rsid w:val="00DF098B"/>
    <w:rsid w:val="00DF0D05"/>
    <w:rsid w:val="00DF11E6"/>
    <w:rsid w:val="00DF121D"/>
    <w:rsid w:val="00DF1A7B"/>
    <w:rsid w:val="00DF1FBA"/>
    <w:rsid w:val="00DF25E7"/>
    <w:rsid w:val="00DF3D46"/>
    <w:rsid w:val="00DF43DA"/>
    <w:rsid w:val="00DF4EF8"/>
    <w:rsid w:val="00DF4FAF"/>
    <w:rsid w:val="00DF65EC"/>
    <w:rsid w:val="00DF700C"/>
    <w:rsid w:val="00DF708E"/>
    <w:rsid w:val="00DF71AD"/>
    <w:rsid w:val="00DF7CBC"/>
    <w:rsid w:val="00E000FD"/>
    <w:rsid w:val="00E002B6"/>
    <w:rsid w:val="00E00363"/>
    <w:rsid w:val="00E0128C"/>
    <w:rsid w:val="00E01C81"/>
    <w:rsid w:val="00E01D54"/>
    <w:rsid w:val="00E025D1"/>
    <w:rsid w:val="00E028BF"/>
    <w:rsid w:val="00E02920"/>
    <w:rsid w:val="00E03B67"/>
    <w:rsid w:val="00E041AD"/>
    <w:rsid w:val="00E048FC"/>
    <w:rsid w:val="00E04A32"/>
    <w:rsid w:val="00E04B61"/>
    <w:rsid w:val="00E04E2A"/>
    <w:rsid w:val="00E06EE5"/>
    <w:rsid w:val="00E104B8"/>
    <w:rsid w:val="00E11192"/>
    <w:rsid w:val="00E113F1"/>
    <w:rsid w:val="00E11FD7"/>
    <w:rsid w:val="00E12683"/>
    <w:rsid w:val="00E13403"/>
    <w:rsid w:val="00E13648"/>
    <w:rsid w:val="00E13CB6"/>
    <w:rsid w:val="00E147C9"/>
    <w:rsid w:val="00E14D67"/>
    <w:rsid w:val="00E14FA6"/>
    <w:rsid w:val="00E15810"/>
    <w:rsid w:val="00E16096"/>
    <w:rsid w:val="00E163CF"/>
    <w:rsid w:val="00E16AD0"/>
    <w:rsid w:val="00E16EDB"/>
    <w:rsid w:val="00E17355"/>
    <w:rsid w:val="00E17AAC"/>
    <w:rsid w:val="00E17BFE"/>
    <w:rsid w:val="00E17DA1"/>
    <w:rsid w:val="00E20981"/>
    <w:rsid w:val="00E21A87"/>
    <w:rsid w:val="00E22448"/>
    <w:rsid w:val="00E22685"/>
    <w:rsid w:val="00E22D69"/>
    <w:rsid w:val="00E230E6"/>
    <w:rsid w:val="00E236C3"/>
    <w:rsid w:val="00E2696E"/>
    <w:rsid w:val="00E26E74"/>
    <w:rsid w:val="00E27057"/>
    <w:rsid w:val="00E279CB"/>
    <w:rsid w:val="00E27D24"/>
    <w:rsid w:val="00E3023F"/>
    <w:rsid w:val="00E30799"/>
    <w:rsid w:val="00E30AD7"/>
    <w:rsid w:val="00E30FA8"/>
    <w:rsid w:val="00E3221B"/>
    <w:rsid w:val="00E331E2"/>
    <w:rsid w:val="00E33357"/>
    <w:rsid w:val="00E33DD8"/>
    <w:rsid w:val="00E33FDA"/>
    <w:rsid w:val="00E34102"/>
    <w:rsid w:val="00E34350"/>
    <w:rsid w:val="00E34B9B"/>
    <w:rsid w:val="00E34BED"/>
    <w:rsid w:val="00E34CA4"/>
    <w:rsid w:val="00E34F44"/>
    <w:rsid w:val="00E35A33"/>
    <w:rsid w:val="00E36178"/>
    <w:rsid w:val="00E361AC"/>
    <w:rsid w:val="00E36315"/>
    <w:rsid w:val="00E36366"/>
    <w:rsid w:val="00E36725"/>
    <w:rsid w:val="00E36826"/>
    <w:rsid w:val="00E3683E"/>
    <w:rsid w:val="00E368EA"/>
    <w:rsid w:val="00E369D1"/>
    <w:rsid w:val="00E36C1E"/>
    <w:rsid w:val="00E36EF4"/>
    <w:rsid w:val="00E40956"/>
    <w:rsid w:val="00E40B20"/>
    <w:rsid w:val="00E40F2D"/>
    <w:rsid w:val="00E41065"/>
    <w:rsid w:val="00E420E1"/>
    <w:rsid w:val="00E424A0"/>
    <w:rsid w:val="00E42651"/>
    <w:rsid w:val="00E42BAF"/>
    <w:rsid w:val="00E42E65"/>
    <w:rsid w:val="00E42EDA"/>
    <w:rsid w:val="00E436BC"/>
    <w:rsid w:val="00E43894"/>
    <w:rsid w:val="00E43D5C"/>
    <w:rsid w:val="00E4469B"/>
    <w:rsid w:val="00E449EC"/>
    <w:rsid w:val="00E451A7"/>
    <w:rsid w:val="00E452CD"/>
    <w:rsid w:val="00E456E4"/>
    <w:rsid w:val="00E45730"/>
    <w:rsid w:val="00E45790"/>
    <w:rsid w:val="00E460AF"/>
    <w:rsid w:val="00E46613"/>
    <w:rsid w:val="00E46C30"/>
    <w:rsid w:val="00E46E57"/>
    <w:rsid w:val="00E4738B"/>
    <w:rsid w:val="00E474BE"/>
    <w:rsid w:val="00E47F1D"/>
    <w:rsid w:val="00E50200"/>
    <w:rsid w:val="00E5020C"/>
    <w:rsid w:val="00E508F3"/>
    <w:rsid w:val="00E5155D"/>
    <w:rsid w:val="00E527F7"/>
    <w:rsid w:val="00E52A55"/>
    <w:rsid w:val="00E52BC8"/>
    <w:rsid w:val="00E541B2"/>
    <w:rsid w:val="00E5475B"/>
    <w:rsid w:val="00E54B4A"/>
    <w:rsid w:val="00E54E0B"/>
    <w:rsid w:val="00E54E65"/>
    <w:rsid w:val="00E55213"/>
    <w:rsid w:val="00E55441"/>
    <w:rsid w:val="00E56201"/>
    <w:rsid w:val="00E5688C"/>
    <w:rsid w:val="00E5697A"/>
    <w:rsid w:val="00E56CFE"/>
    <w:rsid w:val="00E5706E"/>
    <w:rsid w:val="00E579FA"/>
    <w:rsid w:val="00E600EB"/>
    <w:rsid w:val="00E6018F"/>
    <w:rsid w:val="00E61AB9"/>
    <w:rsid w:val="00E61BA9"/>
    <w:rsid w:val="00E624BF"/>
    <w:rsid w:val="00E628C2"/>
    <w:rsid w:val="00E62B0E"/>
    <w:rsid w:val="00E62E4C"/>
    <w:rsid w:val="00E63502"/>
    <w:rsid w:val="00E64A1F"/>
    <w:rsid w:val="00E64A53"/>
    <w:rsid w:val="00E64C58"/>
    <w:rsid w:val="00E65086"/>
    <w:rsid w:val="00E650B8"/>
    <w:rsid w:val="00E65100"/>
    <w:rsid w:val="00E65B90"/>
    <w:rsid w:val="00E65C1D"/>
    <w:rsid w:val="00E66EC4"/>
    <w:rsid w:val="00E66F7B"/>
    <w:rsid w:val="00E67D9B"/>
    <w:rsid w:val="00E70A31"/>
    <w:rsid w:val="00E70C48"/>
    <w:rsid w:val="00E714FE"/>
    <w:rsid w:val="00E71950"/>
    <w:rsid w:val="00E71B43"/>
    <w:rsid w:val="00E725BF"/>
    <w:rsid w:val="00E72AB2"/>
    <w:rsid w:val="00E73F1C"/>
    <w:rsid w:val="00E74F1D"/>
    <w:rsid w:val="00E7530E"/>
    <w:rsid w:val="00E75729"/>
    <w:rsid w:val="00E76DA6"/>
    <w:rsid w:val="00E770C9"/>
    <w:rsid w:val="00E774FD"/>
    <w:rsid w:val="00E77C95"/>
    <w:rsid w:val="00E8043A"/>
    <w:rsid w:val="00E8063E"/>
    <w:rsid w:val="00E807E6"/>
    <w:rsid w:val="00E80D42"/>
    <w:rsid w:val="00E823D4"/>
    <w:rsid w:val="00E82FBF"/>
    <w:rsid w:val="00E83084"/>
    <w:rsid w:val="00E830D5"/>
    <w:rsid w:val="00E834EB"/>
    <w:rsid w:val="00E839AD"/>
    <w:rsid w:val="00E83D55"/>
    <w:rsid w:val="00E83EA6"/>
    <w:rsid w:val="00E8555F"/>
    <w:rsid w:val="00E86430"/>
    <w:rsid w:val="00E868A9"/>
    <w:rsid w:val="00E87B95"/>
    <w:rsid w:val="00E87CA3"/>
    <w:rsid w:val="00E87F44"/>
    <w:rsid w:val="00E90508"/>
    <w:rsid w:val="00E90CFC"/>
    <w:rsid w:val="00E9126F"/>
    <w:rsid w:val="00E9151E"/>
    <w:rsid w:val="00E915ED"/>
    <w:rsid w:val="00E91A37"/>
    <w:rsid w:val="00E92341"/>
    <w:rsid w:val="00E923E8"/>
    <w:rsid w:val="00E92531"/>
    <w:rsid w:val="00E93904"/>
    <w:rsid w:val="00E9394E"/>
    <w:rsid w:val="00E94EB9"/>
    <w:rsid w:val="00E9516B"/>
    <w:rsid w:val="00E9527D"/>
    <w:rsid w:val="00E96BDF"/>
    <w:rsid w:val="00E97CB6"/>
    <w:rsid w:val="00E97E0B"/>
    <w:rsid w:val="00EA05E6"/>
    <w:rsid w:val="00EA069F"/>
    <w:rsid w:val="00EA0D1D"/>
    <w:rsid w:val="00EA0E90"/>
    <w:rsid w:val="00EA0EEC"/>
    <w:rsid w:val="00EA0F39"/>
    <w:rsid w:val="00EA1654"/>
    <w:rsid w:val="00EA2524"/>
    <w:rsid w:val="00EA2BB3"/>
    <w:rsid w:val="00EA3633"/>
    <w:rsid w:val="00EA3950"/>
    <w:rsid w:val="00EA3C1F"/>
    <w:rsid w:val="00EA415C"/>
    <w:rsid w:val="00EA4824"/>
    <w:rsid w:val="00EA4EF7"/>
    <w:rsid w:val="00EA54D3"/>
    <w:rsid w:val="00EA59FD"/>
    <w:rsid w:val="00EA6653"/>
    <w:rsid w:val="00EA6699"/>
    <w:rsid w:val="00EA6A59"/>
    <w:rsid w:val="00EA7883"/>
    <w:rsid w:val="00EB00E4"/>
    <w:rsid w:val="00EB070D"/>
    <w:rsid w:val="00EB14AF"/>
    <w:rsid w:val="00EB14D0"/>
    <w:rsid w:val="00EB21FF"/>
    <w:rsid w:val="00EB2F2F"/>
    <w:rsid w:val="00EB3210"/>
    <w:rsid w:val="00EB353A"/>
    <w:rsid w:val="00EB3CC8"/>
    <w:rsid w:val="00EB3F96"/>
    <w:rsid w:val="00EB45B0"/>
    <w:rsid w:val="00EB56D3"/>
    <w:rsid w:val="00EB731D"/>
    <w:rsid w:val="00EC0668"/>
    <w:rsid w:val="00EC0C29"/>
    <w:rsid w:val="00EC17CF"/>
    <w:rsid w:val="00EC2982"/>
    <w:rsid w:val="00EC2996"/>
    <w:rsid w:val="00EC32DC"/>
    <w:rsid w:val="00EC4448"/>
    <w:rsid w:val="00EC4533"/>
    <w:rsid w:val="00EC4550"/>
    <w:rsid w:val="00EC5346"/>
    <w:rsid w:val="00EC5B5F"/>
    <w:rsid w:val="00EC7585"/>
    <w:rsid w:val="00EC75DE"/>
    <w:rsid w:val="00EC7B77"/>
    <w:rsid w:val="00EC7DCA"/>
    <w:rsid w:val="00ED0D9E"/>
    <w:rsid w:val="00ED1072"/>
    <w:rsid w:val="00ED1737"/>
    <w:rsid w:val="00ED1D5F"/>
    <w:rsid w:val="00ED2889"/>
    <w:rsid w:val="00ED32F5"/>
    <w:rsid w:val="00ED5439"/>
    <w:rsid w:val="00ED5A33"/>
    <w:rsid w:val="00ED6373"/>
    <w:rsid w:val="00ED6A99"/>
    <w:rsid w:val="00ED7732"/>
    <w:rsid w:val="00ED7C67"/>
    <w:rsid w:val="00EE007F"/>
    <w:rsid w:val="00EE0422"/>
    <w:rsid w:val="00EE08BB"/>
    <w:rsid w:val="00EE0B35"/>
    <w:rsid w:val="00EE0BC0"/>
    <w:rsid w:val="00EE1649"/>
    <w:rsid w:val="00EE2438"/>
    <w:rsid w:val="00EE3031"/>
    <w:rsid w:val="00EE3848"/>
    <w:rsid w:val="00EE42FD"/>
    <w:rsid w:val="00EE4C4D"/>
    <w:rsid w:val="00EE4CA0"/>
    <w:rsid w:val="00EE4D9A"/>
    <w:rsid w:val="00EE5CDC"/>
    <w:rsid w:val="00EE69B2"/>
    <w:rsid w:val="00EE7395"/>
    <w:rsid w:val="00EF1028"/>
    <w:rsid w:val="00EF118D"/>
    <w:rsid w:val="00EF1FA9"/>
    <w:rsid w:val="00EF206E"/>
    <w:rsid w:val="00EF2934"/>
    <w:rsid w:val="00EF30DE"/>
    <w:rsid w:val="00EF342F"/>
    <w:rsid w:val="00EF3799"/>
    <w:rsid w:val="00EF3D21"/>
    <w:rsid w:val="00EF4C39"/>
    <w:rsid w:val="00EF4CB8"/>
    <w:rsid w:val="00EF554A"/>
    <w:rsid w:val="00EF6569"/>
    <w:rsid w:val="00EF6C9E"/>
    <w:rsid w:val="00EF7573"/>
    <w:rsid w:val="00EF7C11"/>
    <w:rsid w:val="00F00636"/>
    <w:rsid w:val="00F01289"/>
    <w:rsid w:val="00F012B3"/>
    <w:rsid w:val="00F015AA"/>
    <w:rsid w:val="00F01D85"/>
    <w:rsid w:val="00F01DBB"/>
    <w:rsid w:val="00F0261E"/>
    <w:rsid w:val="00F0265D"/>
    <w:rsid w:val="00F02C30"/>
    <w:rsid w:val="00F03185"/>
    <w:rsid w:val="00F039E4"/>
    <w:rsid w:val="00F039F6"/>
    <w:rsid w:val="00F04E91"/>
    <w:rsid w:val="00F05BFB"/>
    <w:rsid w:val="00F05F7D"/>
    <w:rsid w:val="00F06C2C"/>
    <w:rsid w:val="00F07415"/>
    <w:rsid w:val="00F07816"/>
    <w:rsid w:val="00F10C95"/>
    <w:rsid w:val="00F115F7"/>
    <w:rsid w:val="00F12692"/>
    <w:rsid w:val="00F13362"/>
    <w:rsid w:val="00F171C4"/>
    <w:rsid w:val="00F207A7"/>
    <w:rsid w:val="00F21F30"/>
    <w:rsid w:val="00F22A93"/>
    <w:rsid w:val="00F22D7E"/>
    <w:rsid w:val="00F2311D"/>
    <w:rsid w:val="00F23262"/>
    <w:rsid w:val="00F2386F"/>
    <w:rsid w:val="00F23F3A"/>
    <w:rsid w:val="00F24180"/>
    <w:rsid w:val="00F25224"/>
    <w:rsid w:val="00F25527"/>
    <w:rsid w:val="00F2567F"/>
    <w:rsid w:val="00F2701C"/>
    <w:rsid w:val="00F27268"/>
    <w:rsid w:val="00F2795F"/>
    <w:rsid w:val="00F27A9A"/>
    <w:rsid w:val="00F30D84"/>
    <w:rsid w:val="00F30EA2"/>
    <w:rsid w:val="00F310BB"/>
    <w:rsid w:val="00F311F8"/>
    <w:rsid w:val="00F31225"/>
    <w:rsid w:val="00F31580"/>
    <w:rsid w:val="00F316D7"/>
    <w:rsid w:val="00F32182"/>
    <w:rsid w:val="00F32258"/>
    <w:rsid w:val="00F32BBF"/>
    <w:rsid w:val="00F32CCE"/>
    <w:rsid w:val="00F336B7"/>
    <w:rsid w:val="00F346EE"/>
    <w:rsid w:val="00F34709"/>
    <w:rsid w:val="00F350AC"/>
    <w:rsid w:val="00F35A5F"/>
    <w:rsid w:val="00F35E1D"/>
    <w:rsid w:val="00F35F8C"/>
    <w:rsid w:val="00F362BD"/>
    <w:rsid w:val="00F37051"/>
    <w:rsid w:val="00F4035C"/>
    <w:rsid w:val="00F4097B"/>
    <w:rsid w:val="00F4239F"/>
    <w:rsid w:val="00F42591"/>
    <w:rsid w:val="00F425C7"/>
    <w:rsid w:val="00F426BF"/>
    <w:rsid w:val="00F42EAC"/>
    <w:rsid w:val="00F437F0"/>
    <w:rsid w:val="00F43BB3"/>
    <w:rsid w:val="00F43C5D"/>
    <w:rsid w:val="00F43FD8"/>
    <w:rsid w:val="00F441DB"/>
    <w:rsid w:val="00F44DED"/>
    <w:rsid w:val="00F452D5"/>
    <w:rsid w:val="00F45786"/>
    <w:rsid w:val="00F457CE"/>
    <w:rsid w:val="00F45F76"/>
    <w:rsid w:val="00F4617F"/>
    <w:rsid w:val="00F46C59"/>
    <w:rsid w:val="00F46E8C"/>
    <w:rsid w:val="00F47333"/>
    <w:rsid w:val="00F477D1"/>
    <w:rsid w:val="00F47B68"/>
    <w:rsid w:val="00F47D14"/>
    <w:rsid w:val="00F509DE"/>
    <w:rsid w:val="00F50E2B"/>
    <w:rsid w:val="00F51110"/>
    <w:rsid w:val="00F521C1"/>
    <w:rsid w:val="00F522B9"/>
    <w:rsid w:val="00F52645"/>
    <w:rsid w:val="00F53713"/>
    <w:rsid w:val="00F53956"/>
    <w:rsid w:val="00F53CD1"/>
    <w:rsid w:val="00F54A3E"/>
    <w:rsid w:val="00F559E3"/>
    <w:rsid w:val="00F55E67"/>
    <w:rsid w:val="00F564C5"/>
    <w:rsid w:val="00F56E86"/>
    <w:rsid w:val="00F5705E"/>
    <w:rsid w:val="00F573D2"/>
    <w:rsid w:val="00F600F7"/>
    <w:rsid w:val="00F60352"/>
    <w:rsid w:val="00F61617"/>
    <w:rsid w:val="00F61EF2"/>
    <w:rsid w:val="00F62209"/>
    <w:rsid w:val="00F6267F"/>
    <w:rsid w:val="00F62E9B"/>
    <w:rsid w:val="00F6301B"/>
    <w:rsid w:val="00F63896"/>
    <w:rsid w:val="00F64A24"/>
    <w:rsid w:val="00F652DD"/>
    <w:rsid w:val="00F67A41"/>
    <w:rsid w:val="00F67C80"/>
    <w:rsid w:val="00F70292"/>
    <w:rsid w:val="00F708C6"/>
    <w:rsid w:val="00F70A62"/>
    <w:rsid w:val="00F70EEF"/>
    <w:rsid w:val="00F71D39"/>
    <w:rsid w:val="00F729F9"/>
    <w:rsid w:val="00F72BD2"/>
    <w:rsid w:val="00F72C77"/>
    <w:rsid w:val="00F7314D"/>
    <w:rsid w:val="00F7438A"/>
    <w:rsid w:val="00F747AF"/>
    <w:rsid w:val="00F74831"/>
    <w:rsid w:val="00F751D5"/>
    <w:rsid w:val="00F753C7"/>
    <w:rsid w:val="00F75B1E"/>
    <w:rsid w:val="00F7638F"/>
    <w:rsid w:val="00F768B5"/>
    <w:rsid w:val="00F77B27"/>
    <w:rsid w:val="00F77E6E"/>
    <w:rsid w:val="00F80361"/>
    <w:rsid w:val="00F80CE7"/>
    <w:rsid w:val="00F8114F"/>
    <w:rsid w:val="00F814B3"/>
    <w:rsid w:val="00F839A3"/>
    <w:rsid w:val="00F83A47"/>
    <w:rsid w:val="00F844F9"/>
    <w:rsid w:val="00F84769"/>
    <w:rsid w:val="00F8624E"/>
    <w:rsid w:val="00F86631"/>
    <w:rsid w:val="00F8675F"/>
    <w:rsid w:val="00F86DAC"/>
    <w:rsid w:val="00F86E7A"/>
    <w:rsid w:val="00F86EE6"/>
    <w:rsid w:val="00F87A8B"/>
    <w:rsid w:val="00F87CA0"/>
    <w:rsid w:val="00F910A8"/>
    <w:rsid w:val="00F911B5"/>
    <w:rsid w:val="00F9209D"/>
    <w:rsid w:val="00F927BA"/>
    <w:rsid w:val="00F9281D"/>
    <w:rsid w:val="00F93738"/>
    <w:rsid w:val="00F937F5"/>
    <w:rsid w:val="00F93EC6"/>
    <w:rsid w:val="00F9450C"/>
    <w:rsid w:val="00F9482F"/>
    <w:rsid w:val="00F94D00"/>
    <w:rsid w:val="00F94FA2"/>
    <w:rsid w:val="00F95ABD"/>
    <w:rsid w:val="00F96815"/>
    <w:rsid w:val="00F971DA"/>
    <w:rsid w:val="00FA0590"/>
    <w:rsid w:val="00FA0866"/>
    <w:rsid w:val="00FA2113"/>
    <w:rsid w:val="00FA2665"/>
    <w:rsid w:val="00FA2869"/>
    <w:rsid w:val="00FA4E9A"/>
    <w:rsid w:val="00FA5232"/>
    <w:rsid w:val="00FA5354"/>
    <w:rsid w:val="00FA54E2"/>
    <w:rsid w:val="00FA552D"/>
    <w:rsid w:val="00FA5AFA"/>
    <w:rsid w:val="00FA5D80"/>
    <w:rsid w:val="00FA6123"/>
    <w:rsid w:val="00FA639E"/>
    <w:rsid w:val="00FA680E"/>
    <w:rsid w:val="00FA6A5F"/>
    <w:rsid w:val="00FA71F0"/>
    <w:rsid w:val="00FA7564"/>
    <w:rsid w:val="00FB1669"/>
    <w:rsid w:val="00FB17BC"/>
    <w:rsid w:val="00FB1DBD"/>
    <w:rsid w:val="00FB1F99"/>
    <w:rsid w:val="00FB2097"/>
    <w:rsid w:val="00FB249A"/>
    <w:rsid w:val="00FB31C2"/>
    <w:rsid w:val="00FB336C"/>
    <w:rsid w:val="00FB4144"/>
    <w:rsid w:val="00FB43AF"/>
    <w:rsid w:val="00FB442D"/>
    <w:rsid w:val="00FB47FE"/>
    <w:rsid w:val="00FB4DE6"/>
    <w:rsid w:val="00FB5827"/>
    <w:rsid w:val="00FB5B05"/>
    <w:rsid w:val="00FB5B15"/>
    <w:rsid w:val="00FB63F0"/>
    <w:rsid w:val="00FB65C1"/>
    <w:rsid w:val="00FB6FA4"/>
    <w:rsid w:val="00FB6FE4"/>
    <w:rsid w:val="00FB7BC4"/>
    <w:rsid w:val="00FC325D"/>
    <w:rsid w:val="00FC51C9"/>
    <w:rsid w:val="00FC5C9D"/>
    <w:rsid w:val="00FC656D"/>
    <w:rsid w:val="00FC7A40"/>
    <w:rsid w:val="00FC7CCF"/>
    <w:rsid w:val="00FC7E37"/>
    <w:rsid w:val="00FD0683"/>
    <w:rsid w:val="00FD17C1"/>
    <w:rsid w:val="00FD1B9A"/>
    <w:rsid w:val="00FD1CB1"/>
    <w:rsid w:val="00FD225D"/>
    <w:rsid w:val="00FD2757"/>
    <w:rsid w:val="00FD3085"/>
    <w:rsid w:val="00FD3848"/>
    <w:rsid w:val="00FD3AF9"/>
    <w:rsid w:val="00FD3EE4"/>
    <w:rsid w:val="00FD4945"/>
    <w:rsid w:val="00FD50A5"/>
    <w:rsid w:val="00FD5209"/>
    <w:rsid w:val="00FD5762"/>
    <w:rsid w:val="00FD598C"/>
    <w:rsid w:val="00FD5BCE"/>
    <w:rsid w:val="00FD71A0"/>
    <w:rsid w:val="00FD7A25"/>
    <w:rsid w:val="00FD7C01"/>
    <w:rsid w:val="00FE1215"/>
    <w:rsid w:val="00FE128D"/>
    <w:rsid w:val="00FE1909"/>
    <w:rsid w:val="00FE1B37"/>
    <w:rsid w:val="00FE1C3A"/>
    <w:rsid w:val="00FE3C6D"/>
    <w:rsid w:val="00FE43DD"/>
    <w:rsid w:val="00FE4904"/>
    <w:rsid w:val="00FE4B94"/>
    <w:rsid w:val="00FE4EF5"/>
    <w:rsid w:val="00FE503D"/>
    <w:rsid w:val="00FE507F"/>
    <w:rsid w:val="00FE521D"/>
    <w:rsid w:val="00FE523B"/>
    <w:rsid w:val="00FE54C8"/>
    <w:rsid w:val="00FE561A"/>
    <w:rsid w:val="00FE662A"/>
    <w:rsid w:val="00FE6B34"/>
    <w:rsid w:val="00FE6B99"/>
    <w:rsid w:val="00FE78DF"/>
    <w:rsid w:val="00FE7A5C"/>
    <w:rsid w:val="00FE7C46"/>
    <w:rsid w:val="00FF00D8"/>
    <w:rsid w:val="00FF036F"/>
    <w:rsid w:val="00FF0C30"/>
    <w:rsid w:val="00FF0FF2"/>
    <w:rsid w:val="00FF163A"/>
    <w:rsid w:val="00FF1764"/>
    <w:rsid w:val="00FF1E6E"/>
    <w:rsid w:val="00FF1EC3"/>
    <w:rsid w:val="00FF214E"/>
    <w:rsid w:val="00FF2A90"/>
    <w:rsid w:val="00FF2B8B"/>
    <w:rsid w:val="00FF2C9F"/>
    <w:rsid w:val="00FF3346"/>
    <w:rsid w:val="00FF34D4"/>
    <w:rsid w:val="00FF3FAC"/>
    <w:rsid w:val="00FF5140"/>
    <w:rsid w:val="00FF51CB"/>
    <w:rsid w:val="00FF5A9B"/>
    <w:rsid w:val="00FF6BB6"/>
    <w:rsid w:val="00FF6CC3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5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left="86" w:hanging="86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04B7"/>
    <w:pPr>
      <w:ind w:left="0" w:firstLine="0"/>
    </w:pPr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qFormat/>
    <w:pPr>
      <w:spacing w:before="1440" w:after="60"/>
      <w:jc w:val="center"/>
      <w:outlineLvl w:val="0"/>
    </w:pPr>
    <w:rPr>
      <w:rFonts w:ascii="Arial" w:hAnsi="Arial"/>
      <w:b/>
      <w:caps/>
      <w:kern w:val="28"/>
      <w:sz w:val="28"/>
      <w:szCs w:val="32"/>
    </w:rPr>
  </w:style>
  <w:style w:type="paragraph" w:customStyle="1" w:styleId="Author">
    <w:name w:val="Author"/>
    <w:basedOn w:val="Normal"/>
    <w:next w:val="Abstract"/>
    <w:rsid w:val="000C1C4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after="60"/>
      <w:jc w:val="center"/>
    </w:pPr>
    <w:rPr>
      <w:rFonts w:ascii="Arial" w:hAnsi="Arial"/>
      <w:b/>
      <w:sz w:val="24"/>
    </w:rPr>
  </w:style>
  <w:style w:type="paragraph" w:customStyle="1" w:styleId="Abstract">
    <w:name w:val="Abstract"/>
    <w:basedOn w:val="Normal"/>
    <w:next w:val="Normal"/>
    <w:pPr>
      <w:spacing w:before="480" w:after="480"/>
    </w:pPr>
    <w:rPr>
      <w:sz w:val="20"/>
      <w:szCs w:val="16"/>
    </w:rPr>
  </w:style>
  <w:style w:type="paragraph" w:customStyle="1" w:styleId="Section">
    <w:name w:val="Section"/>
    <w:basedOn w:val="Normal"/>
    <w:next w:val="Normal"/>
    <w:pPr>
      <w:keepNext/>
      <w:suppressAutoHyphens/>
      <w:spacing w:before="240"/>
    </w:pPr>
    <w:rPr>
      <w:b/>
      <w:caps/>
    </w:rPr>
  </w:style>
  <w:style w:type="paragraph" w:styleId="FootnoteText">
    <w:name w:val="footnote text"/>
    <w:basedOn w:val="Normal"/>
    <w:semiHidden/>
    <w:rsid w:val="0060016F"/>
    <w:pPr>
      <w:spacing w:after="0"/>
    </w:pPr>
    <w:rPr>
      <w:sz w:val="18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ub-Section">
    <w:name w:val="Sub-Section"/>
    <w:basedOn w:val="Normal"/>
    <w:next w:val="Normal"/>
    <w:pPr>
      <w:keepNext/>
      <w:suppressAutoHyphens/>
      <w:spacing w:before="120"/>
    </w:pPr>
    <w:rPr>
      <w:b/>
    </w:rPr>
  </w:style>
  <w:style w:type="paragraph" w:styleId="DocumentMap">
    <w:name w:val="Document Map"/>
    <w:basedOn w:val="Normal"/>
    <w:semiHidden/>
    <w:rsid w:val="00EF268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aperNumber">
    <w:name w:val="Paper Number"/>
    <w:basedOn w:val="Normal"/>
    <w:pPr>
      <w:jc w:val="right"/>
    </w:pPr>
    <w:rPr>
      <w:rFonts w:ascii="Arial" w:hAnsi="Arial"/>
      <w:b/>
      <w:sz w:val="28"/>
    </w:rPr>
  </w:style>
  <w:style w:type="paragraph" w:customStyle="1" w:styleId="equation">
    <w:name w:val="equation"/>
    <w:basedOn w:val="Normal"/>
    <w:pPr>
      <w:spacing w:after="240"/>
      <w:jc w:val="center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Figures">
    <w:name w:val="Figures"/>
    <w:basedOn w:val="Caption"/>
    <w:rsid w:val="00FB4DE6"/>
    <w:pPr>
      <w:keepLines/>
      <w:spacing w:after="240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A66A6D"/>
    <w:pPr>
      <w:ind w:left="720"/>
      <w:contextualSpacing/>
    </w:pPr>
  </w:style>
  <w:style w:type="paragraph" w:styleId="EndnoteText">
    <w:name w:val="endnote text"/>
    <w:basedOn w:val="Normal"/>
    <w:semiHidden/>
    <w:rsid w:val="0042769E"/>
    <w:rPr>
      <w:sz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Header">
    <w:name w:val="header"/>
    <w:basedOn w:val="Normal"/>
    <w:rsid w:val="00EF26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2689"/>
    <w:pPr>
      <w:tabs>
        <w:tab w:val="center" w:pos="4320"/>
        <w:tab w:val="right" w:pos="8640"/>
      </w:tabs>
    </w:pPr>
  </w:style>
  <w:style w:type="paragraph" w:customStyle="1" w:styleId="StyleAbstractLeft075Right075">
    <w:name w:val="Style Abstract + Left:  0.75&quot; Right:  0.75&quot;"/>
    <w:basedOn w:val="Abstract"/>
    <w:rsid w:val="00702307"/>
    <w:pPr>
      <w:spacing w:before="360" w:after="240"/>
      <w:ind w:left="1080" w:right="1080"/>
    </w:pPr>
    <w:rPr>
      <w:szCs w:val="20"/>
    </w:rPr>
  </w:style>
  <w:style w:type="table" w:styleId="TableGrid">
    <w:name w:val="Table Grid"/>
    <w:basedOn w:val="TableNormal"/>
    <w:rsid w:val="00B13957"/>
    <w:pPr>
      <w:ind w:firstLine="28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33F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25ABE"/>
    <w:rPr>
      <w:sz w:val="18"/>
    </w:rPr>
  </w:style>
  <w:style w:type="paragraph" w:styleId="CommentText">
    <w:name w:val="annotation text"/>
    <w:basedOn w:val="Normal"/>
    <w:semiHidden/>
    <w:rsid w:val="00325ABE"/>
    <w:rPr>
      <w:sz w:val="24"/>
    </w:rPr>
  </w:style>
  <w:style w:type="paragraph" w:styleId="CommentSubject">
    <w:name w:val="annotation subject"/>
    <w:basedOn w:val="CommentText"/>
    <w:next w:val="CommentText"/>
    <w:semiHidden/>
    <w:rsid w:val="00325ABE"/>
    <w:rPr>
      <w:sz w:val="22"/>
    </w:rPr>
  </w:style>
  <w:style w:type="character" w:styleId="PageNumber">
    <w:name w:val="page number"/>
    <w:basedOn w:val="DefaultParagraphFont"/>
    <w:rsid w:val="00C34C94"/>
  </w:style>
  <w:style w:type="paragraph" w:customStyle="1" w:styleId="TableText">
    <w:name w:val="Table Text"/>
    <w:basedOn w:val="Normal"/>
    <w:rsid w:val="00110212"/>
    <w:pPr>
      <w:jc w:val="center"/>
    </w:pPr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5E014C"/>
    <w:rPr>
      <w:color w:val="0000FF"/>
      <w:u w:val="single"/>
    </w:rPr>
  </w:style>
  <w:style w:type="character" w:customStyle="1" w:styleId="st1">
    <w:name w:val="st1"/>
    <w:basedOn w:val="DefaultParagraphFont"/>
    <w:rsid w:val="00B93639"/>
  </w:style>
  <w:style w:type="table" w:customStyle="1" w:styleId="TableGridLight1">
    <w:name w:val="Table Grid Light1"/>
    <w:basedOn w:val="TableNormal"/>
    <w:uiPriority w:val="40"/>
    <w:rsid w:val="004565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6C51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B27B5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DB735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5244">
          <w:marLeft w:val="0"/>
          <w:marRight w:val="-18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D36B-4061-4838-85DC-DBD84AC13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5462</Words>
  <Characters>31139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AAS SFMC Manuscript Format Template</vt:lpstr>
    </vt:vector>
  </TitlesOfParts>
  <Manager/>
  <Company/>
  <LinksUpToDate>false</LinksUpToDate>
  <CharactersWithSpaces>36528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AAS SFMC Manuscript Format Template</dc:title>
  <dc:subject/>
  <dc:creator/>
  <cp:keywords/>
  <dc:description>version 2.0.6</dc:description>
  <cp:lastModifiedBy/>
  <cp:revision>1</cp:revision>
  <cp:lastPrinted>2011-03-24T20:47:00Z</cp:lastPrinted>
  <dcterms:created xsi:type="dcterms:W3CDTF">2019-05-20T22:52:00Z</dcterms:created>
  <dcterms:modified xsi:type="dcterms:W3CDTF">2019-07-02T16:18:00Z</dcterms:modified>
</cp:coreProperties>
</file>