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A6AE0" w14:textId="77777777" w:rsidR="00FE7C46" w:rsidRDefault="00D96584">
      <w:pPr>
        <w:pStyle w:val="Title"/>
      </w:pPr>
      <w:r>
        <w:rPr>
          <w:noProof/>
        </w:rPr>
        <mc:AlternateContent>
          <mc:Choice Requires="wps">
            <w:drawing>
              <wp:anchor distT="0" distB="0" distL="114300" distR="114300" simplePos="0" relativeHeight="251657728" behindDoc="0" locked="0" layoutInCell="1" allowOverlap="1" wp14:anchorId="3F29360B" wp14:editId="2B0B1465">
                <wp:simplePos x="0" y="0"/>
                <wp:positionH relativeFrom="column">
                  <wp:align>right</wp:align>
                </wp:positionH>
                <wp:positionV relativeFrom="margin">
                  <wp:align>inside</wp:align>
                </wp:positionV>
                <wp:extent cx="2348230" cy="342900"/>
                <wp:effectExtent l="4445"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B8E9C" w14:textId="77777777" w:rsidR="00390928" w:rsidRDefault="00390928">
                            <w:pPr>
                              <w:pStyle w:val="PaperNumber"/>
                            </w:pPr>
                            <w:r>
                              <w:t>(Preprint) AAS 19-669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F29360B" id="_x0000_t202" coordsize="21600,21600" o:spt="202" path="m,l,21600r21600,l21600,xe">
                <v:stroke joinstyle="miter"/>
                <v:path gradientshapeok="t" o:connecttype="rect"/>
              </v:shapetype>
              <v:shape id="Text Box 2" o:spid="_x0000_s1026" type="#_x0000_t202" style="position:absolute;left:0;text-align:left;margin-left:133.7pt;margin-top:0;width:184.9pt;height:27pt;z-index:251657728;visibility:visible;mso-wrap-style:square;mso-width-percent:0;mso-height-percent:0;mso-wrap-distance-left:9pt;mso-wrap-distance-top:0;mso-wrap-distance-right:9pt;mso-wrap-distance-bottom:0;mso-position-horizontal:right;mso-position-horizontal-relative:text;mso-position-vertical:insid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" stroked="f">
                <v:textbox>
                  <w:txbxContent>
                    <w:p w14:paraId="5FBB8E9C" w14:textId="77777777" w:rsidR="00390928" w:rsidRDefault="00390928">
                      <w:pPr>
                        <w:pStyle w:val="PaperNumber"/>
                      </w:pPr>
                      <w:r>
                        <w:t>(Preprint) AAS 19-669</w:t>
                      </w:r>
                    </w:p>
                  </w:txbxContent>
                </v:textbox>
                <w10:wrap anchory="margin"/>
              </v:shape>
            </w:pict>
          </mc:Fallback>
        </mc:AlternateContent>
      </w:r>
      <w:r w:rsidR="000F70A6">
        <w:rPr>
          <w:noProof/>
        </w:rPr>
        <w:t>An operational algorithm for Evaluating Satellite Collision Consequence</w:t>
      </w:r>
    </w:p>
    <w:p w14:paraId="1802D337" w14:textId="77777777" w:rsidR="00FE7C46" w:rsidRPr="00B05ED5" w:rsidRDefault="000F70A6" w:rsidP="00C35592">
      <w:pPr>
        <w:pStyle w:val="Author"/>
      </w:pPr>
      <w:r>
        <w:t>Travis F. Lechtenberg</w:t>
      </w:r>
      <w:r w:rsidR="00FE7C46">
        <w:rPr>
          <w:rStyle w:val="FootnoteReference"/>
        </w:rPr>
        <w:footnoteReference w:id="2"/>
      </w:r>
      <w:r w:rsidR="00FE7C46">
        <w:t xml:space="preserve"> </w:t>
      </w:r>
    </w:p>
    <w:p w14:paraId="3F6DB587" w14:textId="417C5A9F" w:rsidR="00FE7C46" w:rsidRDefault="00D27C3D" w:rsidP="00D27C3D">
      <w:pPr>
        <w:pStyle w:val="StyleAbstractLeft075Right075"/>
      </w:pPr>
      <w:r w:rsidRPr="00D27C3D">
        <w:t xml:space="preserve">Risk is properly considered as the combination of likelihood and consequence; but </w:t>
      </w:r>
      <w:r w:rsidR="00B27A00">
        <w:t>conjunction assessment</w:t>
      </w:r>
      <w:r w:rsidRPr="00D27C3D">
        <w:t xml:space="preserve"> has usually limited itself to the consideration of only collision likelihood.  When considered from an orbital </w:t>
      </w:r>
      <w:r w:rsidR="008A68E4">
        <w:t>regime</w:t>
      </w:r>
      <w:r w:rsidRPr="00D27C3D">
        <w:t xml:space="preserve"> protection perspective, the focus shifts to the question of the amount of debris that a collision might produce (the “consequence”).  The present paper presents an operational algorithm for determining the expected amount of debris production should a conjunction result in a collision</w:t>
      </w:r>
      <w:r w:rsidR="00783C9B">
        <w:t>, and an assessment of</w:t>
      </w:r>
      <w:r w:rsidRPr="00D27C3D">
        <w:t xml:space="preserve"> the algorithm’s fidelity against a da</w:t>
      </w:r>
      <w:r w:rsidR="00A97A98">
        <w:t>tabase of characterized objects</w:t>
      </w:r>
      <w:r w:rsidR="00FE7C46">
        <w:t>.</w:t>
      </w:r>
    </w:p>
    <w:p w14:paraId="6ED9DFFF" w14:textId="77777777" w:rsidR="00281DEE" w:rsidRDefault="00281DEE" w:rsidP="001E2E8F">
      <w:pPr>
        <w:pStyle w:val="Heading1"/>
      </w:pPr>
      <w:r>
        <w:t>Introduction</w:t>
      </w:r>
    </w:p>
    <w:p w14:paraId="37731F51" w14:textId="6969992F" w:rsidR="002A7DB5" w:rsidRDefault="00686D29" w:rsidP="002A7DB5">
      <w:pPr>
        <w:pStyle w:val="Els-body-text"/>
      </w:pPr>
      <w:r>
        <w:t>Collision risk management theory requires a thorough assessment of both the likelihood and consequence of potential collision events. Satellite conjunction risk assessment has produced a highly-developed theory for assessing the likelihood of collision but neglects to account for the consequences of a given collision</w:t>
      </w:r>
      <w:r w:rsidR="002A7DB5">
        <w:t>.  This approach has existed since the early 1980’s with collision likelihood methodology initially developed by Kaplan and Garrick</w:t>
      </w:r>
      <w:r w:rsidR="002A7DB5">
        <w:rPr>
          <w:rStyle w:val="EndnoteReference"/>
        </w:rPr>
        <w:endnoteReference w:id="2"/>
      </w:r>
      <w:r w:rsidR="002A7DB5">
        <w:t xml:space="preserve">.  </w:t>
      </w:r>
      <w:r w:rsidR="00783C9B">
        <w:t xml:space="preserve">Satellite </w:t>
      </w:r>
      <w:r w:rsidR="002A7DB5">
        <w:t>operators tend to view all likely conjunctions as equally disastrous, with a single possible outcome</w:t>
      </w:r>
      <w:r w:rsidR="00F018B4">
        <w:t>:</w:t>
      </w:r>
      <w:r w:rsidR="002A7DB5">
        <w:t xml:space="preserve"> primary object inoperability.  This approach may become untenable as conjunction events increase in rate as additional spacecraft tracking capabilities come online and additional debris creation events occur.  The orbital debris population </w:t>
      </w:r>
      <w:r w:rsidR="00CE27BB">
        <w:t xml:space="preserve">has significantly increased </w:t>
      </w:r>
      <w:r w:rsidR="002A7DB5">
        <w:t xml:space="preserve">recently due to several events, including the Chinese ASAT test in 2007 </w:t>
      </w:r>
      <w:r w:rsidR="00987A80">
        <w:t xml:space="preserve">that destroyed </w:t>
      </w:r>
      <w:r w:rsidR="002A7DB5">
        <w:t xml:space="preserve">the FY-1C Fengyun satellite, </w:t>
      </w:r>
      <w:r w:rsidR="00B56D12">
        <w:t xml:space="preserve">and </w:t>
      </w:r>
      <w:r w:rsidR="002A7DB5">
        <w:t>the Iridium-Cosmos collision in 2009</w:t>
      </w:r>
      <w:r w:rsidR="006866D6">
        <w:t>.  In addition, the</w:t>
      </w:r>
      <w:r w:rsidR="00B56D12">
        <w:t xml:space="preserve"> satellite</w:t>
      </w:r>
      <w:r w:rsidR="006866D6">
        <w:t xml:space="preserve"> catalog population may also increase significantly due to the upcoming deployment of the U.S. Air Force’s</w:t>
      </w:r>
      <w:r w:rsidR="002A7DB5">
        <w:t xml:space="preserve"> </w:t>
      </w:r>
      <w:r w:rsidR="00987A80">
        <w:t xml:space="preserve">S-Band Radar </w:t>
      </w:r>
      <w:r w:rsidR="002A7DB5">
        <w:t>Space Fence.</w:t>
      </w:r>
    </w:p>
    <w:p w14:paraId="56852CA2" w14:textId="1B159132" w:rsidR="002A7DB5" w:rsidRDefault="002A7DB5" w:rsidP="002A7DB5">
      <w:pPr>
        <w:pStyle w:val="Els-body-text"/>
      </w:pPr>
      <w:r>
        <w:t>While any collision may compromise the survival of a</w:t>
      </w:r>
      <w:r w:rsidR="00A32D0D">
        <w:t>n operational</w:t>
      </w:r>
      <w:r>
        <w:t xml:space="preserve"> spacecraft, the amount of debris produced, and therefore the degree to which the orbital </w:t>
      </w:r>
      <w:r w:rsidR="008A68E4">
        <w:t>regime</w:t>
      </w:r>
      <w:r>
        <w:t xml:space="preserve"> may be compromised, can vary greatly among satellite conjunctions.  As spacecraft </w:t>
      </w:r>
      <w:r w:rsidR="008A68E4">
        <w:t>orbital regime</w:t>
      </w:r>
      <w:r w:rsidR="00A32D0D">
        <w:t>s</w:t>
      </w:r>
      <w:r>
        <w:t xml:space="preserve"> become more densely populated, consideration should be given to the potential consequences of a prospective collision.  Potential collisions may be characterized as either catastrophic or non-catastrophic </w:t>
      </w:r>
      <w:r w:rsidR="00C91232">
        <w:t>as determined by</w:t>
      </w:r>
      <w:r>
        <w:t xml:space="preserve"> the relative velocities of two objects and their masses.  A catastrophic collision is one in which the primary object and the secondary object are fully fragmented and hence contribut</w:t>
      </w:r>
      <w:r w:rsidR="00C91232">
        <w:t>e</w:t>
      </w:r>
      <w:r>
        <w:t xml:space="preserve"> significantly to the spacecraft debris environment, while a non-catastrophic collision is one in which the primary object </w:t>
      </w:r>
      <w:r w:rsidR="00A32D0D">
        <w:t xml:space="preserve">remains </w:t>
      </w:r>
      <w:r>
        <w:t>largely intact, with min</w:t>
      </w:r>
      <w:r w:rsidR="00C91232">
        <w:t>imal</w:t>
      </w:r>
      <w:r>
        <w:t xml:space="preserve"> generation of debris.  As such, consideration of the potential debris generation </w:t>
      </w:r>
      <w:r w:rsidR="00213FD3">
        <w:t>as a measure of</w:t>
      </w:r>
      <w:r>
        <w:t xml:space="preserve"> the “consequence” of a prospective collision is an important </w:t>
      </w:r>
      <w:r w:rsidR="00C91232">
        <w:t>component</w:t>
      </w:r>
      <w:r>
        <w:t xml:space="preserve"> to evaluating the risk a specific event poses to the orbital regime at which the potential collision may occur.</w:t>
      </w:r>
    </w:p>
    <w:p w14:paraId="4E0E2442" w14:textId="4499D2A2" w:rsidR="002A7DB5" w:rsidRDefault="002A7DB5" w:rsidP="002A7DB5">
      <w:pPr>
        <w:pStyle w:val="Els-body-text"/>
        <w:rPr>
          <w:lang w:eastAsia="zh-CN"/>
        </w:rPr>
      </w:pPr>
      <w:r>
        <w:rPr>
          <w:lang w:eastAsia="zh-CN"/>
        </w:rPr>
        <w:t xml:space="preserve">Considering the consequence of a prospective conjunction as it relates to the spacecraft </w:t>
      </w:r>
      <w:r w:rsidR="008A68E4">
        <w:rPr>
          <w:lang w:eastAsia="zh-CN"/>
        </w:rPr>
        <w:t>orbital regime</w:t>
      </w:r>
      <w:r>
        <w:rPr>
          <w:lang w:eastAsia="zh-CN"/>
        </w:rPr>
        <w:t xml:space="preserve"> is critical to maintaining a safe environment for current and future missions.  This means that the risk posed by a potential conjunction to the space environment is a combination of two factors, the likelihood, or probability of collision, and the possible additional debris production from a specific collision.  C</w:t>
      </w:r>
      <w:r w:rsidRPr="00CA7FB7">
        <w:rPr>
          <w:lang w:eastAsia="zh-CN"/>
        </w:rPr>
        <w:t>urrent practice</w:t>
      </w:r>
      <w:r>
        <w:rPr>
          <w:lang w:eastAsia="zh-CN"/>
        </w:rPr>
        <w:t>s</w:t>
      </w:r>
      <w:r w:rsidRPr="00CA7FB7">
        <w:rPr>
          <w:lang w:eastAsia="zh-CN"/>
        </w:rPr>
        <w:t xml:space="preserve"> in assessing collisi</w:t>
      </w:r>
      <w:r>
        <w:rPr>
          <w:lang w:eastAsia="zh-CN"/>
        </w:rPr>
        <w:t>on risk are</w:t>
      </w:r>
      <w:r w:rsidRPr="00CA7FB7">
        <w:rPr>
          <w:lang w:eastAsia="zh-CN"/>
        </w:rPr>
        <w:t xml:space="preserve"> focused almost exclusively on the probability of collision aspect, whereas an </w:t>
      </w:r>
      <w:r w:rsidRPr="00CA7FB7">
        <w:rPr>
          <w:lang w:eastAsia="zh-CN"/>
        </w:rPr>
        <w:lastRenderedPageBreak/>
        <w:t xml:space="preserve">approach incorporating the consequences of a </w:t>
      </w:r>
      <w:r w:rsidR="00683BD9">
        <w:rPr>
          <w:lang w:eastAsia="zh-CN"/>
        </w:rPr>
        <w:t>prospective</w:t>
      </w:r>
      <w:r w:rsidR="00683BD9" w:rsidRPr="00CA7FB7">
        <w:rPr>
          <w:lang w:eastAsia="zh-CN"/>
        </w:rPr>
        <w:t xml:space="preserve"> </w:t>
      </w:r>
      <w:r w:rsidRPr="00CA7FB7">
        <w:rPr>
          <w:lang w:eastAsia="zh-CN"/>
        </w:rPr>
        <w:t xml:space="preserve">collision allows for more informed decisions to be made with regard to the risk posed to the </w:t>
      </w:r>
      <w:r w:rsidR="008A68E4">
        <w:rPr>
          <w:lang w:eastAsia="zh-CN"/>
        </w:rPr>
        <w:t>orbital regime</w:t>
      </w:r>
      <w:r w:rsidRPr="00CA7FB7">
        <w:rPr>
          <w:lang w:eastAsia="zh-CN"/>
        </w:rPr>
        <w:t>.</w:t>
      </w:r>
      <w:r>
        <w:rPr>
          <w:lang w:eastAsia="zh-CN"/>
        </w:rPr>
        <w:t xml:space="preserve">  </w:t>
      </w:r>
    </w:p>
    <w:p w14:paraId="0F91D6EA" w14:textId="50E6E5C5" w:rsidR="002A7DB5" w:rsidRDefault="002A7DB5" w:rsidP="002A7DB5">
      <w:pPr>
        <w:pStyle w:val="Els-body-text"/>
        <w:rPr>
          <w:lang w:eastAsia="zh-CN"/>
        </w:rPr>
      </w:pPr>
      <w:r>
        <w:rPr>
          <w:lang w:eastAsia="zh-CN"/>
        </w:rPr>
        <w:t xml:space="preserve">Taking into account the potential for debris generation as a consequence of a prospective collision will allow operators to tailor their collision risk management processes to preserve the space environment.  If the potential for debris generation is not taken into consideration, future collisions may increase the debris density in favorable satellite orbits and render them unusable because operators, faced with multiple serious conjunctions and able to remediate only a subset of them, may unwittingly choose to </w:t>
      </w:r>
      <w:r w:rsidR="00C91232">
        <w:rPr>
          <w:lang w:eastAsia="zh-CN"/>
        </w:rPr>
        <w:t xml:space="preserve">prioritize and </w:t>
      </w:r>
      <w:r>
        <w:rPr>
          <w:lang w:eastAsia="zh-CN"/>
        </w:rPr>
        <w:t xml:space="preserve">remediate only those with small debris production potential.  Taking debris generation into account can also decelerate the </w:t>
      </w:r>
      <w:r w:rsidR="00683BD9">
        <w:rPr>
          <w:lang w:eastAsia="zh-CN"/>
        </w:rPr>
        <w:t xml:space="preserve">onset </w:t>
      </w:r>
      <w:r>
        <w:rPr>
          <w:lang w:eastAsia="zh-CN"/>
        </w:rPr>
        <w:t>of Kessler syndrome in the future</w:t>
      </w:r>
      <w:r>
        <w:rPr>
          <w:rStyle w:val="EndnoteReference"/>
          <w:lang w:eastAsia="zh-CN"/>
        </w:rPr>
        <w:endnoteReference w:id="3"/>
      </w:r>
      <w:r>
        <w:rPr>
          <w:lang w:eastAsia="zh-CN"/>
        </w:rPr>
        <w:t xml:space="preserve">.  This approach </w:t>
      </w:r>
      <w:r w:rsidR="00C91232">
        <w:rPr>
          <w:lang w:eastAsia="zh-CN"/>
        </w:rPr>
        <w:t xml:space="preserve">of considering debris production potential </w:t>
      </w:r>
      <w:r>
        <w:rPr>
          <w:lang w:eastAsia="zh-CN"/>
        </w:rPr>
        <w:t xml:space="preserve">may be of considerable interest to satellite operators in geosynchronous orbit, where low velocity conjunctions </w:t>
      </w:r>
      <w:r w:rsidR="00C91232">
        <w:rPr>
          <w:lang w:eastAsia="zh-CN"/>
        </w:rPr>
        <w:t xml:space="preserve">(which are unlikely to produce large amounts of debris) </w:t>
      </w:r>
      <w:r>
        <w:rPr>
          <w:lang w:eastAsia="zh-CN"/>
        </w:rPr>
        <w:t>are commonplace.</w:t>
      </w:r>
    </w:p>
    <w:p w14:paraId="68EE87CD" w14:textId="450984B7" w:rsidR="00686D29" w:rsidRDefault="00686D29" w:rsidP="00686D29">
      <w:pPr>
        <w:pStyle w:val="Els-body-text"/>
      </w:pPr>
      <w:r>
        <w:t xml:space="preserve">Previous work by Hejduk </w:t>
      </w:r>
      <w:r w:rsidRPr="008A68E4">
        <w:rPr>
          <w:i/>
        </w:rPr>
        <w:t>et al.</w:t>
      </w:r>
      <w:bookmarkStart w:id="0" w:name="_Ref8647169"/>
      <w:r w:rsidR="00A52C9F">
        <w:rPr>
          <w:rStyle w:val="EndnoteReference"/>
        </w:rPr>
        <w:endnoteReference w:id="4"/>
      </w:r>
      <w:bookmarkEnd w:id="0"/>
      <w:r>
        <w:t xml:space="preserve">  focused on developing methodologies to estimate debris generation for specific conjunctions and probability distribution functions of conjunction severity by orbit type based on historically observed conjun</w:t>
      </w:r>
      <w:r w:rsidR="00892E2E">
        <w:t>ctions.  Lechtenberg and Hejduk</w:t>
      </w:r>
      <w:bookmarkStart w:id="1" w:name="_Ref8647995"/>
      <w:r w:rsidR="00892E2E">
        <w:rPr>
          <w:rStyle w:val="EndnoteReference"/>
        </w:rPr>
        <w:endnoteReference w:id="5"/>
      </w:r>
      <w:bookmarkEnd w:id="1"/>
      <w:r>
        <w:t xml:space="preserve"> further refined methods of estimating small secondary object masses using orbit determination values and </w:t>
      </w:r>
      <w:r w:rsidR="001B06EF">
        <w:t>radar cross sections</w:t>
      </w:r>
      <w:r>
        <w:t xml:space="preserve">.  These methods were validated using a set of </w:t>
      </w:r>
      <w:r w:rsidR="006E3C95">
        <w:t>nanosatellites</w:t>
      </w:r>
      <w:r>
        <w:t xml:space="preserve"> with known m</w:t>
      </w:r>
      <w:r w:rsidR="00C91232">
        <w:t>asses and cross-sectional areas and are revisited in this paper.</w:t>
      </w:r>
    </w:p>
    <w:p w14:paraId="21DCB78A" w14:textId="4CD7D7D1" w:rsidR="00686D29" w:rsidRDefault="001B06EF" w:rsidP="00686D29">
      <w:pPr>
        <w:pStyle w:val="Els-body-text"/>
      </w:pPr>
      <w:r>
        <w:t>This analysis focuses</w:t>
      </w:r>
      <w:r w:rsidR="00686D29">
        <w:t xml:space="preserve"> on </w:t>
      </w:r>
      <w:r w:rsidR="00C91232">
        <w:t>validating</w:t>
      </w:r>
      <w:r w:rsidR="00686D29">
        <w:t xml:space="preserve"> the secondary object size estimation process, proposing a conservative method of assessing secondary object mass, and presenting </w:t>
      </w:r>
      <w:r w:rsidR="008A68E4">
        <w:t>an intuitive</w:t>
      </w:r>
      <w:r w:rsidR="00686D29">
        <w:t xml:space="preserve"> method of interpreting collision consequence results using this methodology.  For validation purposes, the same sets of both NaK </w:t>
      </w:r>
      <w:r w:rsidR="003B0B9D">
        <w:t xml:space="preserve">RORSAT </w:t>
      </w:r>
      <w:r w:rsidR="00686D29">
        <w:t xml:space="preserve">spheres from Hejduk </w:t>
      </w:r>
      <w:r w:rsidR="00686D29" w:rsidRPr="008A68E4">
        <w:rPr>
          <w:i/>
        </w:rPr>
        <w:t>et al.</w:t>
      </w:r>
      <w:r w:rsidR="00686D29" w:rsidRPr="00892E2E">
        <w:rPr>
          <w:vertAlign w:val="superscript"/>
        </w:rPr>
        <w:t>1</w:t>
      </w:r>
      <w:r w:rsidR="00686D29">
        <w:t xml:space="preserve"> and </w:t>
      </w:r>
      <w:r w:rsidR="006E3C95">
        <w:t>nanosatellites</w:t>
      </w:r>
      <w:r w:rsidR="00686D29">
        <w:t xml:space="preserve"> from Lechtenberg and Hejduk</w:t>
      </w:r>
      <w:r w:rsidR="00892E2E" w:rsidRPr="00892E2E">
        <w:rPr>
          <w:vertAlign w:val="superscript"/>
        </w:rPr>
        <w:fldChar w:fldCharType="begin"/>
      </w:r>
      <w:r w:rsidR="00892E2E" w:rsidRPr="00892E2E">
        <w:rPr>
          <w:vertAlign w:val="superscript"/>
        </w:rPr>
        <w:instrText xml:space="preserve"> NOTEREF _Ref8647995 \h </w:instrText>
      </w:r>
      <w:r w:rsidR="00892E2E">
        <w:rPr>
          <w:vertAlign w:val="superscript"/>
        </w:rPr>
        <w:instrText xml:space="preserve"> \* MERGEFORMAT </w:instrText>
      </w:r>
      <w:r w:rsidR="00892E2E" w:rsidRPr="00892E2E">
        <w:rPr>
          <w:vertAlign w:val="superscript"/>
        </w:rPr>
      </w:r>
      <w:r w:rsidR="00892E2E" w:rsidRPr="00892E2E">
        <w:rPr>
          <w:vertAlign w:val="superscript"/>
        </w:rPr>
        <w:fldChar w:fldCharType="separate"/>
      </w:r>
      <w:r w:rsidR="00D82D51">
        <w:rPr>
          <w:vertAlign w:val="superscript"/>
        </w:rPr>
        <w:t>4</w:t>
      </w:r>
      <w:r w:rsidR="00892E2E" w:rsidRPr="00892E2E">
        <w:rPr>
          <w:vertAlign w:val="superscript"/>
        </w:rPr>
        <w:fldChar w:fldCharType="end"/>
      </w:r>
      <w:r w:rsidR="00686D29">
        <w:t xml:space="preserve"> were compared to the secondary object size estimation process outlined in this paper and assessed </w:t>
      </w:r>
      <w:r w:rsidR="00597C7D">
        <w:t xml:space="preserve">using </w:t>
      </w:r>
      <w:r w:rsidR="00686D29">
        <w:t>a quantile estimat</w:t>
      </w:r>
      <w:r w:rsidR="00C91232">
        <w:t>ion</w:t>
      </w:r>
      <w:r w:rsidR="00686D29">
        <w:t xml:space="preserve"> </w:t>
      </w:r>
      <w:r w:rsidR="00597C7D">
        <w:t>method</w:t>
      </w:r>
      <w:r w:rsidR="00686D29">
        <w:t xml:space="preserve">. This study follows up on examination of the validity of the mass estimation process, </w:t>
      </w:r>
      <w:r w:rsidR="00C810F7">
        <w:t xml:space="preserve">and </w:t>
      </w:r>
      <w:r w:rsidR="00686D29">
        <w:t xml:space="preserve">recommends conservative mass estimation quantiles for collision consequence assessment.  This recommended mass estimation process </w:t>
      </w:r>
      <w:r w:rsidR="00C91232">
        <w:t>can</w:t>
      </w:r>
      <w:r w:rsidR="00686D29">
        <w:t xml:space="preserve"> be used to approximate the consequences of a potential collision.  This </w:t>
      </w:r>
      <w:r w:rsidR="00597C7D">
        <w:t>analysis</w:t>
      </w:r>
      <w:r w:rsidR="00686D29">
        <w:t xml:space="preserve"> applie</w:t>
      </w:r>
      <w:r w:rsidR="00597C7D">
        <w:t>s</w:t>
      </w:r>
      <w:r w:rsidR="00686D29">
        <w:t xml:space="preserve"> </w:t>
      </w:r>
      <w:r w:rsidR="008A68E4">
        <w:t>this</w:t>
      </w:r>
      <w:r w:rsidR="00597C7D">
        <w:t xml:space="preserve"> method </w:t>
      </w:r>
      <w:r w:rsidR="00686D29">
        <w:t xml:space="preserve">to a large set of historical conjunctions to assess the frequency </w:t>
      </w:r>
      <w:r w:rsidR="00C810F7">
        <w:t xml:space="preserve">that future </w:t>
      </w:r>
      <w:r w:rsidR="00686D29">
        <w:t>collisions may</w:t>
      </w:r>
      <w:r w:rsidR="00597C7D">
        <w:t xml:space="preserve"> be catastrophic and</w:t>
      </w:r>
      <w:r w:rsidR="00686D29">
        <w:t xml:space="preserve"> significantly augment the orbital debris </w:t>
      </w:r>
      <w:r w:rsidR="00C810F7">
        <w:t>population,</w:t>
      </w:r>
      <w:r w:rsidR="00686D29">
        <w:t xml:space="preserve"> as well as how often non-catastrophic events may be triaged to lessen operational </w:t>
      </w:r>
      <w:r w:rsidR="00597C7D">
        <w:t xml:space="preserve">risk assessment </w:t>
      </w:r>
      <w:r w:rsidR="00686D29">
        <w:t>workloads.</w:t>
      </w:r>
    </w:p>
    <w:p w14:paraId="2B79EA79" w14:textId="77777777" w:rsidR="00281DEE" w:rsidRDefault="00281DEE" w:rsidP="00686CB0">
      <w:pPr>
        <w:pStyle w:val="Els-body-text"/>
        <w:ind w:firstLine="0"/>
        <w:rPr>
          <w:lang w:eastAsia="zh-CN"/>
        </w:rPr>
      </w:pPr>
    </w:p>
    <w:p w14:paraId="7F24E66A" w14:textId="77777777" w:rsidR="00281DEE" w:rsidRDefault="00281DEE" w:rsidP="00281DEE">
      <w:pPr>
        <w:pStyle w:val="Heading1"/>
      </w:pPr>
      <w:r>
        <w:t>Debris Generation Methodology</w:t>
      </w:r>
    </w:p>
    <w:p w14:paraId="45A87522" w14:textId="78C9B39B" w:rsidR="00281DEE" w:rsidRDefault="00281DEE" w:rsidP="00281DEE">
      <w:pPr>
        <w:pStyle w:val="Els-body-text"/>
        <w:rPr>
          <w:lang w:eastAsia="zh-CN"/>
        </w:rPr>
      </w:pPr>
      <w:r>
        <w:rPr>
          <w:lang w:eastAsia="zh-CN"/>
        </w:rPr>
        <w:t>The NASA Orbital Debris Program Office (ODPO) has been studying the subject of collision and explosion</w:t>
      </w:r>
      <w:r w:rsidR="001A1402">
        <w:rPr>
          <w:lang w:eastAsia="zh-CN"/>
        </w:rPr>
        <w:t xml:space="preserve"> fragmentation</w:t>
      </w:r>
      <w:r>
        <w:rPr>
          <w:lang w:eastAsia="zh-CN"/>
        </w:rPr>
        <w:t xml:space="preserve"> debris for several decades.  </w:t>
      </w:r>
      <w:r w:rsidR="001A1402">
        <w:rPr>
          <w:lang w:eastAsia="zh-CN"/>
        </w:rPr>
        <w:t>Based on</w:t>
      </w:r>
      <w:r>
        <w:rPr>
          <w:lang w:eastAsia="zh-CN"/>
        </w:rPr>
        <w:t xml:space="preserve"> known satellite collisions and staged hyperkinetic collisions, </w:t>
      </w:r>
      <w:r w:rsidR="001A1402">
        <w:rPr>
          <w:lang w:eastAsia="zh-CN"/>
        </w:rPr>
        <w:t xml:space="preserve">the ODPO has developed </w:t>
      </w:r>
      <w:r w:rsidR="00FE7745">
        <w:rPr>
          <w:lang w:eastAsia="zh-CN"/>
        </w:rPr>
        <w:t>methods</w:t>
      </w:r>
      <w:r>
        <w:rPr>
          <w:lang w:eastAsia="zh-CN"/>
        </w:rPr>
        <w:t xml:space="preserve"> to estimate the size and number of debris pieces generated by a hyperkinetic impact</w:t>
      </w:r>
      <w:r w:rsidR="00FE7745">
        <w:rPr>
          <w:lang w:eastAsia="zh-CN"/>
        </w:rPr>
        <w:t xml:space="preserve">, as included in the </w:t>
      </w:r>
      <w:r>
        <w:rPr>
          <w:lang w:eastAsia="zh-CN"/>
        </w:rPr>
        <w:t>EV</w:t>
      </w:r>
      <w:r w:rsidR="00E8607C">
        <w:rPr>
          <w:lang w:eastAsia="zh-CN"/>
        </w:rPr>
        <w:t>OLVE 4 satellite break-up model</w:t>
      </w:r>
      <w:bookmarkStart w:id="2" w:name="_Ref8814677"/>
      <w:r w:rsidR="00E8607C">
        <w:rPr>
          <w:rStyle w:val="EndnoteReference"/>
          <w:lang w:eastAsia="zh-CN"/>
        </w:rPr>
        <w:endnoteReference w:id="6"/>
      </w:r>
      <w:bookmarkEnd w:id="2"/>
      <w:r w:rsidR="00E8607C">
        <w:rPr>
          <w:lang w:eastAsia="zh-CN"/>
        </w:rPr>
        <w:t>.</w:t>
      </w:r>
    </w:p>
    <w:p w14:paraId="6AA2604E" w14:textId="502DF97F" w:rsidR="00281DEE" w:rsidRDefault="00281DEE" w:rsidP="00281DEE">
      <w:pPr>
        <w:pStyle w:val="Els-body-text"/>
        <w:rPr>
          <w:lang w:eastAsia="zh-CN"/>
        </w:rPr>
      </w:pPr>
      <w:r>
        <w:rPr>
          <w:lang w:eastAsia="zh-CN"/>
        </w:rPr>
        <w:t xml:space="preserve">The </w:t>
      </w:r>
      <w:r w:rsidR="00B546BF">
        <w:rPr>
          <w:lang w:eastAsia="zh-CN"/>
        </w:rPr>
        <w:t>initial</w:t>
      </w:r>
      <w:r>
        <w:rPr>
          <w:lang w:eastAsia="zh-CN"/>
        </w:rPr>
        <w:t xml:space="preserve"> consequence-based assessment of a conjunction is whether </w:t>
      </w:r>
      <w:r w:rsidR="00FE7745">
        <w:rPr>
          <w:lang w:eastAsia="zh-CN"/>
        </w:rPr>
        <w:t xml:space="preserve">the event could </w:t>
      </w:r>
      <w:r>
        <w:rPr>
          <w:lang w:eastAsia="zh-CN"/>
        </w:rPr>
        <w:t xml:space="preserve">result in a “catastrophic” collision that produces widespread fragmentation of </w:t>
      </w:r>
      <w:r w:rsidR="000F7361">
        <w:rPr>
          <w:lang w:eastAsia="zh-CN"/>
        </w:rPr>
        <w:t xml:space="preserve">both the </w:t>
      </w:r>
      <w:r>
        <w:rPr>
          <w:lang w:eastAsia="zh-CN"/>
        </w:rPr>
        <w:t xml:space="preserve">primary </w:t>
      </w:r>
      <w:r w:rsidR="000F7361">
        <w:rPr>
          <w:lang w:eastAsia="zh-CN"/>
        </w:rPr>
        <w:t xml:space="preserve">and secondary </w:t>
      </w:r>
      <w:r>
        <w:rPr>
          <w:lang w:eastAsia="zh-CN"/>
        </w:rPr>
        <w:t>object</w:t>
      </w:r>
      <w:r w:rsidR="000F7361">
        <w:rPr>
          <w:lang w:eastAsia="zh-CN"/>
        </w:rPr>
        <w:t>s</w:t>
      </w:r>
      <w:r>
        <w:rPr>
          <w:lang w:eastAsia="zh-CN"/>
        </w:rPr>
        <w:t xml:space="preserve">; or “non-catastrophic” </w:t>
      </w:r>
      <w:r w:rsidR="000F7361">
        <w:rPr>
          <w:lang w:eastAsia="zh-CN"/>
        </w:rPr>
        <w:t xml:space="preserve">in which </w:t>
      </w:r>
      <w:r>
        <w:rPr>
          <w:lang w:eastAsia="zh-CN"/>
        </w:rPr>
        <w:t xml:space="preserve">only the secondary object is likely to fragment.  This determination is made through a relationship based on the relative </w:t>
      </w:r>
      <w:r w:rsidR="00C17006">
        <w:rPr>
          <w:lang w:eastAsia="zh-CN"/>
        </w:rPr>
        <w:t>kinetic energy</w:t>
      </w:r>
      <w:r>
        <w:rPr>
          <w:lang w:eastAsia="zh-CN"/>
        </w:rPr>
        <w:t xml:space="preserve"> of the two objects</w:t>
      </w:r>
      <w:r w:rsidR="00A1503E">
        <w:rPr>
          <w:lang w:eastAsia="zh-CN"/>
        </w:rPr>
        <w:t xml:space="preserve"> as defined by the primary</w:t>
      </w:r>
      <w:r w:rsidR="00E12769">
        <w:rPr>
          <w:lang w:eastAsia="zh-CN"/>
        </w:rPr>
        <w:t xml:space="preserve"> object</w:t>
      </w:r>
      <w:r w:rsidR="00A1503E">
        <w:rPr>
          <w:lang w:eastAsia="zh-CN"/>
        </w:rPr>
        <w:t xml:space="preserve"> mass (</w:t>
      </w:r>
      <w:r w:rsidR="00A1503E">
        <w:rPr>
          <w:i/>
          <w:lang w:eastAsia="zh-CN"/>
        </w:rPr>
        <w:t>M</w:t>
      </w:r>
      <w:r w:rsidR="00A1503E">
        <w:rPr>
          <w:i/>
          <w:vertAlign w:val="subscript"/>
          <w:lang w:eastAsia="zh-CN"/>
        </w:rPr>
        <w:t>p</w:t>
      </w:r>
      <w:r w:rsidR="00A1503E">
        <w:rPr>
          <w:lang w:eastAsia="zh-CN"/>
        </w:rPr>
        <w:t>), secondary object mass (</w:t>
      </w:r>
      <w:r w:rsidR="00A1503E">
        <w:rPr>
          <w:i/>
          <w:lang w:eastAsia="zh-CN"/>
        </w:rPr>
        <w:t>M</w:t>
      </w:r>
      <w:r w:rsidR="00A1503E">
        <w:rPr>
          <w:i/>
          <w:vertAlign w:val="subscript"/>
          <w:lang w:eastAsia="zh-CN"/>
        </w:rPr>
        <w:t>s</w:t>
      </w:r>
      <w:r w:rsidR="00A1503E">
        <w:rPr>
          <w:lang w:eastAsia="zh-CN"/>
        </w:rPr>
        <w:t>) and their relative velocity</w:t>
      </w:r>
      <w:r w:rsidR="00E12769">
        <w:rPr>
          <w:lang w:eastAsia="zh-CN"/>
        </w:rPr>
        <w:t xml:space="preserve"> (</w:t>
      </w:r>
      <w:r w:rsidR="00E12769">
        <w:rPr>
          <w:i/>
          <w:lang w:eastAsia="zh-CN"/>
        </w:rPr>
        <w:t>V</w:t>
      </w:r>
      <w:r w:rsidR="00E12769">
        <w:rPr>
          <w:i/>
          <w:vertAlign w:val="subscript"/>
          <w:lang w:eastAsia="zh-CN"/>
        </w:rPr>
        <w:t>rel</w:t>
      </w:r>
      <w:r w:rsidR="00E12769">
        <w:rPr>
          <w:lang w:eastAsia="zh-CN"/>
        </w:rPr>
        <w:t>)</w:t>
      </w:r>
      <w:r>
        <w:rPr>
          <w:lang w:eastAsia="zh-CN"/>
        </w:rPr>
        <w:t xml:space="preserve">; a collision may be considered “catastrophic” if the relative </w:t>
      </w:r>
      <w:r w:rsidR="001E2E8F">
        <w:rPr>
          <w:lang w:eastAsia="zh-CN"/>
        </w:rPr>
        <w:t>kinetic energy</w:t>
      </w:r>
      <w:r>
        <w:rPr>
          <w:lang w:eastAsia="zh-CN"/>
        </w:rPr>
        <w:t xml:space="preserve"> exceeds 40,000 J/kg.</w:t>
      </w:r>
    </w:p>
    <w:p w14:paraId="7255910F" w14:textId="419C7676" w:rsidR="00281DEE" w:rsidRPr="00BB208B" w:rsidRDefault="00281DEE" w:rsidP="00D96584">
      <w:pPr>
        <w:pStyle w:val="Els-body-text"/>
        <w:tabs>
          <w:tab w:val="center" w:pos="4320"/>
          <w:tab w:val="right" w:pos="8640"/>
        </w:tabs>
        <w:spacing w:line="240" w:lineRule="auto"/>
        <w:ind w:firstLine="245"/>
      </w:pPr>
      <w:r>
        <w:tab/>
      </w:r>
      <w:r w:rsidRPr="00281DEE">
        <w:fldChar w:fldCharType="begin"/>
      </w:r>
      <w:r w:rsidRPr="00281DEE">
        <w:instrText xml:space="preserve"> QUOTE </w:instrText>
      </w:r>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s</m:t>
                </m:r>
              </m:sub>
            </m:sSub>
            <m:sSubSup>
              <m:sSubSupPr>
                <m:ctrlPr>
                  <w:rPr>
                    <w:rFonts w:ascii="Cambria Math" w:hAnsi="Cambria Math"/>
                    <w:i/>
                  </w:rPr>
                </m:ctrlPr>
              </m:sSubSupPr>
              <m:e>
                <m:r>
                  <m:rPr>
                    <m:sty m:val="p"/>
                  </m:rPr>
                  <w:rPr>
                    <w:rFonts w:ascii="Cambria Math" w:hAnsi="Cambria Math"/>
                  </w:rPr>
                  <m:t>V</m:t>
                </m:r>
              </m:e>
              <m:sub>
                <m:r>
                  <m:rPr>
                    <m:sty m:val="p"/>
                  </m:rPr>
                  <w:rPr>
                    <w:rFonts w:ascii="Cambria Math" w:hAnsi="Cambria Math"/>
                  </w:rPr>
                  <m:t>rel</m:t>
                </m:r>
              </m:sub>
              <m:sup>
                <m:r>
                  <m:rPr>
                    <m:sty m:val="p"/>
                  </m:rPr>
                  <w:rPr>
                    <w:rFonts w:ascii="Cambria Math" w:hAnsi="Cambria Math"/>
                  </w:rPr>
                  <m:t>2</m:t>
                </m:r>
              </m:sup>
            </m:sSubSup>
          </m:num>
          <m:den>
            <m:r>
              <m:rPr>
                <m:sty m:val="p"/>
              </m:rPr>
              <w:rPr>
                <w:rFonts w:ascii="Cambria Math" w:hAnsi="Cambria Math"/>
              </w:rPr>
              <m:t>2</m:t>
            </m:r>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p</m:t>
                </m:r>
              </m:sub>
            </m:sSub>
          </m:den>
        </m:f>
        <m:r>
          <m:rPr>
            <m:sty m:val="p"/>
          </m:rPr>
          <w:rPr>
            <w:rFonts w:ascii="Cambria Math" w:hAnsi="Cambria Math"/>
          </w:rPr>
          <m:t>&gt;40,000</m:t>
        </m:r>
        <m:f>
          <m:fPr>
            <m:ctrlPr>
              <w:rPr>
                <w:rFonts w:ascii="Cambria Math" w:hAnsi="Cambria Math"/>
                <w:i/>
              </w:rPr>
            </m:ctrlPr>
          </m:fPr>
          <m:num>
            <m:r>
              <m:rPr>
                <m:sty m:val="p"/>
              </m:rPr>
              <w:rPr>
                <w:rFonts w:ascii="Cambria Math" w:hAnsi="Cambria Math"/>
              </w:rPr>
              <m:t>J</m:t>
            </m:r>
          </m:num>
          <m:den>
            <m:r>
              <m:rPr>
                <m:sty m:val="p"/>
              </m:rPr>
              <w:rPr>
                <w:rFonts w:ascii="Cambria Math" w:hAnsi="Cambria Math"/>
              </w:rPr>
              <m:t>kg</m:t>
            </m:r>
          </m:den>
        </m:f>
      </m:oMath>
      <w:r w:rsidRPr="00281DEE">
        <w:instrText xml:space="preserve"> </w:instrText>
      </w:r>
      <w:r w:rsidRPr="00281DEE">
        <w:fldChar w:fldCharType="separate"/>
      </w:r>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s</m:t>
                </m:r>
              </m:sub>
            </m:sSub>
            <m:sSubSup>
              <m:sSubSupPr>
                <m:ctrlPr>
                  <w:rPr>
                    <w:rFonts w:ascii="Cambria Math" w:hAnsi="Cambria Math"/>
                    <w:i/>
                  </w:rPr>
                </m:ctrlPr>
              </m:sSubSupPr>
              <m:e>
                <m:r>
                  <m:rPr>
                    <m:sty m:val="p"/>
                  </m:rPr>
                  <w:rPr>
                    <w:rFonts w:ascii="Cambria Math" w:hAnsi="Cambria Math"/>
                  </w:rPr>
                  <m:t>V</m:t>
                </m:r>
              </m:e>
              <m:sub>
                <m:r>
                  <m:rPr>
                    <m:sty m:val="p"/>
                  </m:rPr>
                  <w:rPr>
                    <w:rFonts w:ascii="Cambria Math" w:hAnsi="Cambria Math"/>
                  </w:rPr>
                  <m:t>rel</m:t>
                </m:r>
              </m:sub>
              <m:sup>
                <m:r>
                  <m:rPr>
                    <m:sty m:val="p"/>
                  </m:rPr>
                  <w:rPr>
                    <w:rFonts w:ascii="Cambria Math" w:hAnsi="Cambria Math"/>
                  </w:rPr>
                  <m:t>2</m:t>
                </m:r>
              </m:sup>
            </m:sSubSup>
          </m:num>
          <m:den>
            <m:r>
              <m:rPr>
                <m:sty m:val="p"/>
              </m:rPr>
              <w:rPr>
                <w:rFonts w:ascii="Cambria Math" w:hAnsi="Cambria Math"/>
              </w:rPr>
              <m:t>2</m:t>
            </m:r>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p</m:t>
                </m:r>
              </m:sub>
            </m:sSub>
          </m:den>
        </m:f>
        <m:r>
          <m:rPr>
            <m:sty m:val="p"/>
          </m:rPr>
          <w:rPr>
            <w:rFonts w:ascii="Cambria Math" w:hAnsi="Cambria Math"/>
          </w:rPr>
          <m:t>&gt;40,000</m:t>
        </m:r>
        <m:f>
          <m:fPr>
            <m:ctrlPr>
              <w:rPr>
                <w:rFonts w:ascii="Cambria Math" w:hAnsi="Cambria Math"/>
                <w:i/>
              </w:rPr>
            </m:ctrlPr>
          </m:fPr>
          <m:num>
            <m:r>
              <m:rPr>
                <m:sty m:val="p"/>
              </m:rPr>
              <w:rPr>
                <w:rFonts w:ascii="Cambria Math" w:hAnsi="Cambria Math"/>
              </w:rPr>
              <m:t>J</m:t>
            </m:r>
          </m:num>
          <m:den>
            <m:r>
              <m:rPr>
                <m:sty m:val="p"/>
              </m:rPr>
              <w:rPr>
                <w:rFonts w:ascii="Cambria Math" w:hAnsi="Cambria Math"/>
              </w:rPr>
              <m:t>kg</m:t>
            </m:r>
          </m:den>
        </m:f>
      </m:oMath>
      <w:r w:rsidRPr="00281DEE">
        <w:fldChar w:fldCharType="end"/>
      </w:r>
      <w:r>
        <w:t xml:space="preserve"> </w:t>
      </w:r>
      <w:r>
        <w:tab/>
        <w:t>(1)</w:t>
      </w:r>
    </w:p>
    <w:p w14:paraId="57AAEEE6" w14:textId="77777777" w:rsidR="00281DEE" w:rsidRDefault="00281DEE" w:rsidP="00281DEE">
      <w:pPr>
        <w:pStyle w:val="Els-body-text"/>
        <w:rPr>
          <w:lang w:eastAsia="zh-CN"/>
        </w:rPr>
      </w:pPr>
    </w:p>
    <w:p w14:paraId="539BD089" w14:textId="171521C3" w:rsidR="00281DEE" w:rsidRDefault="00281DEE" w:rsidP="001E2E8F">
      <w:pPr>
        <w:pStyle w:val="Els-body-text"/>
        <w:ind w:firstLine="0"/>
        <w:rPr>
          <w:lang w:eastAsia="zh-CN"/>
        </w:rPr>
      </w:pPr>
      <w:r>
        <w:rPr>
          <w:lang w:eastAsia="zh-CN"/>
        </w:rPr>
        <w:t>Once the “catastrophic” or “non-catastrophic” nature of the event has been determined, an additional relation is used to estimate the possible number of debris objects that may be generated</w:t>
      </w:r>
    </w:p>
    <w:p w14:paraId="1B9BEF97" w14:textId="77777777" w:rsidR="00281DEE" w:rsidRDefault="00281DEE" w:rsidP="00281DEE">
      <w:pPr>
        <w:pStyle w:val="Els-body-text"/>
        <w:rPr>
          <w:lang w:eastAsia="zh-CN"/>
        </w:rPr>
      </w:pPr>
    </w:p>
    <w:p w14:paraId="484322D6" w14:textId="77777777" w:rsidR="00281DEE" w:rsidRDefault="00281DEE" w:rsidP="00DC28DE">
      <w:pPr>
        <w:pStyle w:val="Els-body-text"/>
        <w:tabs>
          <w:tab w:val="center" w:pos="4320"/>
          <w:tab w:val="right" w:pos="8640"/>
        </w:tabs>
        <w:spacing w:line="240" w:lineRule="auto"/>
        <w:ind w:firstLine="0"/>
      </w:pPr>
      <w:r>
        <w:rPr>
          <w:lang w:eastAsia="zh-CN"/>
        </w:rPr>
        <w:tab/>
      </w:r>
      <w:r w:rsidRPr="00281DEE">
        <w:rPr>
          <w:rFonts w:ascii="Cambria Math" w:hAnsi="Cambria Math"/>
        </w:rPr>
        <w:br/>
      </w:r>
      <w:r>
        <w:t xml:space="preserve"> </w:t>
      </w:r>
      <w:r>
        <w:tab/>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rel</m:t>
                            </m:r>
                          </m:sub>
                        </m:sSub>
                        <m:sSub>
                          <m:sSubPr>
                            <m:ctrlPr>
                              <w:rPr>
                                <w:rFonts w:ascii="Cambria Math" w:hAnsi="Cambria Math"/>
                                <w:i/>
                              </w:rPr>
                            </m:ctrlPr>
                          </m:sSubPr>
                          <m:e>
                            <m:r>
                              <w:rPr>
                                <w:rFonts w:ascii="Cambria Math" w:hAnsi="Cambria Math"/>
                              </w:rPr>
                              <m:t>M</m:t>
                            </m:r>
                          </m:e>
                          <m:sub>
                            <m:r>
                              <w:rPr>
                                <w:rFonts w:ascii="Cambria Math" w:hAnsi="Cambria Math"/>
                              </w:rPr>
                              <m:t>s</m:t>
                            </m:r>
                          </m:sub>
                        </m:sSub>
                      </m:e>
                    </m:d>
                  </m:e>
                  <m:sup>
                    <m:r>
                      <w:rPr>
                        <w:rFonts w:ascii="Cambria Math" w:hAnsi="Cambria Math"/>
                      </w:rPr>
                      <m:t>0.75</m:t>
                    </m:r>
                  </m:sup>
                </m:sSup>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-1.71</m:t>
                    </m:r>
                  </m:sup>
                </m:sSubSup>
                <m:r>
                  <w:rPr>
                    <w:rFonts w:ascii="Cambria Math" w:hAnsi="Cambria Math"/>
                  </w:rPr>
                  <m:t>,  &amp;</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p</m:t>
                        </m:r>
                      </m:sub>
                    </m:sSub>
                  </m:den>
                </m:f>
                <m:r>
                  <w:rPr>
                    <w:rFonts w:ascii="Cambria Math" w:hAnsi="Cambria Math"/>
                  </w:rPr>
                  <m:t>≤40,000</m:t>
                </m:r>
              </m:e>
              <m:e>
                <m:r>
                  <w:rPr>
                    <w:rFonts w:ascii="Cambria Math" w:hAnsi="Cambria Math"/>
                  </w:rPr>
                  <m:t>0.1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e>
                    </m:d>
                  </m:e>
                  <m:sup>
                    <m:r>
                      <w:rPr>
                        <w:rFonts w:ascii="Cambria Math" w:hAnsi="Cambria Math"/>
                      </w:rPr>
                      <m:t>0.75</m:t>
                    </m:r>
                  </m:sup>
                </m:sSup>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-1.71</m:t>
                    </m:r>
                  </m:sup>
                </m:sSubSup>
                <m:r>
                  <w:rPr>
                    <w:rFonts w:ascii="Cambria Math" w:hAnsi="Cambria Math"/>
                  </w:rPr>
                  <m:t>,  &amp;</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p</m:t>
                        </m:r>
                      </m:sub>
                    </m:sSub>
                  </m:den>
                </m:f>
                <m:r>
                  <w:rPr>
                    <w:rFonts w:ascii="Cambria Math" w:hAnsi="Cambria Math"/>
                  </w:rPr>
                  <m:t>&gt;40,000</m:t>
                </m:r>
              </m:e>
            </m:eqArr>
          </m:e>
        </m:d>
      </m:oMath>
      <w:r>
        <w:tab/>
        <w:t>(2)</w:t>
      </w:r>
    </w:p>
    <w:p w14:paraId="529C414F" w14:textId="77777777" w:rsidR="00281DEE" w:rsidRDefault="00281DEE" w:rsidP="00281DEE">
      <w:pPr>
        <w:pStyle w:val="Els-body-text"/>
        <w:tabs>
          <w:tab w:val="center" w:pos="5130"/>
          <w:tab w:val="right" w:pos="10260"/>
        </w:tabs>
        <w:spacing w:line="240" w:lineRule="auto"/>
        <w:ind w:firstLine="0"/>
      </w:pPr>
    </w:p>
    <w:p w14:paraId="4F825E2C" w14:textId="32788F95" w:rsidR="00281DEE" w:rsidRDefault="00281DEE" w:rsidP="00281DEE">
      <w:pPr>
        <w:pStyle w:val="Els-body-text"/>
        <w:tabs>
          <w:tab w:val="center" w:pos="5130"/>
          <w:tab w:val="right" w:pos="10260"/>
        </w:tabs>
        <w:spacing w:line="240" w:lineRule="auto"/>
        <w:ind w:firstLine="270"/>
        <w:rPr>
          <w:lang w:eastAsia="zh-CN"/>
        </w:rPr>
      </w:pPr>
      <w:r w:rsidRPr="00FC2C0B">
        <w:rPr>
          <w:lang w:eastAsia="zh-CN"/>
        </w:rPr>
        <w:tab/>
        <w:t xml:space="preserve">In the </w:t>
      </w:r>
      <w:r w:rsidR="00683BD9">
        <w:rPr>
          <w:lang w:eastAsia="zh-CN"/>
        </w:rPr>
        <w:t>equation (2)</w:t>
      </w:r>
      <w:r w:rsidRPr="00FC2C0B">
        <w:rPr>
          <w:lang w:eastAsia="zh-CN"/>
        </w:rPr>
        <w:t xml:space="preserve">, </w:t>
      </w:r>
      <w:r w:rsidRPr="00FC2C0B">
        <w:rPr>
          <w:i/>
          <w:lang w:eastAsia="zh-CN"/>
        </w:rPr>
        <w:t>L</w:t>
      </w:r>
      <w:r w:rsidRPr="00FC2C0B">
        <w:rPr>
          <w:i/>
          <w:vertAlign w:val="subscript"/>
          <w:lang w:eastAsia="zh-CN"/>
        </w:rPr>
        <w:t>c</w:t>
      </w:r>
      <w:r w:rsidRPr="00FC2C0B">
        <w:rPr>
          <w:lang w:eastAsia="zh-CN"/>
        </w:rPr>
        <w:t xml:space="preserve"> refers to the characteristic length of the debris piece size threshold above which the operator is concerned</w:t>
      </w:r>
      <w:r w:rsidRPr="00095509">
        <w:rPr>
          <w:i/>
          <w:lang w:eastAsia="zh-CN"/>
        </w:rPr>
        <w:t>, i.e.,</w:t>
      </w:r>
      <w:r w:rsidRPr="00FC2C0B">
        <w:rPr>
          <w:lang w:eastAsia="zh-CN"/>
        </w:rPr>
        <w:t xml:space="preserve"> </w:t>
      </w:r>
      <w:r>
        <w:rPr>
          <w:lang w:eastAsia="zh-CN"/>
        </w:rPr>
        <w:t>h</w:t>
      </w:r>
      <w:r w:rsidRPr="00FC2C0B">
        <w:rPr>
          <w:lang w:eastAsia="zh-CN"/>
        </w:rPr>
        <w:t xml:space="preserve">ow many pieces </w:t>
      </w:r>
      <w:r w:rsidR="00E12769">
        <w:rPr>
          <w:lang w:eastAsia="zh-CN"/>
        </w:rPr>
        <w:t>(</w:t>
      </w:r>
      <w:r w:rsidR="00E12769" w:rsidRPr="00E12769">
        <w:rPr>
          <w:lang w:eastAsia="zh-CN"/>
        </w:rPr>
        <w:t>N</w:t>
      </w:r>
      <w:r w:rsidR="00E12769">
        <w:rPr>
          <w:lang w:eastAsia="zh-CN"/>
        </w:rPr>
        <w:t xml:space="preserve">) </w:t>
      </w:r>
      <w:r w:rsidRPr="00E12769">
        <w:rPr>
          <w:lang w:eastAsia="zh-CN"/>
        </w:rPr>
        <w:t>will</w:t>
      </w:r>
      <w:r w:rsidRPr="00FC2C0B">
        <w:rPr>
          <w:lang w:eastAsia="zh-CN"/>
        </w:rPr>
        <w:t xml:space="preserve"> be generated with a characteristic length larger than </w:t>
      </w:r>
      <w:r w:rsidRPr="00FC2C0B">
        <w:rPr>
          <w:i/>
          <w:lang w:eastAsia="zh-CN"/>
        </w:rPr>
        <w:t>L</w:t>
      </w:r>
      <w:r w:rsidRPr="00FC2C0B">
        <w:rPr>
          <w:i/>
          <w:vertAlign w:val="subscript"/>
          <w:lang w:eastAsia="zh-CN"/>
        </w:rPr>
        <w:t>c</w:t>
      </w:r>
      <w:r>
        <w:rPr>
          <w:lang w:eastAsia="zh-CN"/>
        </w:rPr>
        <w:t xml:space="preserve">. </w:t>
      </w:r>
      <w:r w:rsidRPr="00FC2C0B">
        <w:rPr>
          <w:lang w:eastAsia="zh-CN"/>
        </w:rPr>
        <w:tab/>
        <w:t xml:space="preserve">A reasonable </w:t>
      </w:r>
      <w:r w:rsidR="00B85D2D">
        <w:rPr>
          <w:lang w:eastAsia="zh-CN"/>
        </w:rPr>
        <w:t xml:space="preserve">limiting </w:t>
      </w:r>
      <w:r w:rsidRPr="00FC2C0B">
        <w:rPr>
          <w:lang w:eastAsia="zh-CN"/>
        </w:rPr>
        <w:t>value for this variable would be the minimum characteristic length for which an operator might expect tracking data</w:t>
      </w:r>
      <w:r>
        <w:rPr>
          <w:lang w:eastAsia="zh-CN"/>
        </w:rPr>
        <w:t>,</w:t>
      </w:r>
      <w:r w:rsidRPr="00FC2C0B">
        <w:rPr>
          <w:lang w:eastAsia="zh-CN"/>
        </w:rPr>
        <w:t xml:space="preserve"> such as 5 cm</w:t>
      </w:r>
      <w:r>
        <w:rPr>
          <w:lang w:eastAsia="zh-CN"/>
        </w:rPr>
        <w:t xml:space="preserve"> for the </w:t>
      </w:r>
      <w:r w:rsidR="00683BD9">
        <w:rPr>
          <w:lang w:eastAsia="zh-CN"/>
        </w:rPr>
        <w:t xml:space="preserve">published </w:t>
      </w:r>
      <w:r>
        <w:rPr>
          <w:lang w:eastAsia="zh-CN"/>
        </w:rPr>
        <w:t>tracking fidelity of the Space Fence.</w:t>
      </w:r>
    </w:p>
    <w:p w14:paraId="57639C18" w14:textId="05514E98" w:rsidR="00281DEE" w:rsidRDefault="00281DEE" w:rsidP="00281DEE">
      <w:pPr>
        <w:pStyle w:val="Els-body-text"/>
        <w:tabs>
          <w:tab w:val="center" w:pos="5130"/>
          <w:tab w:val="right" w:pos="10260"/>
        </w:tabs>
        <w:spacing w:line="240" w:lineRule="auto"/>
        <w:ind w:firstLine="270"/>
        <w:rPr>
          <w:lang w:eastAsia="zh-CN"/>
        </w:rPr>
      </w:pPr>
      <w:r>
        <w:rPr>
          <w:lang w:eastAsia="zh-CN"/>
        </w:rPr>
        <w:t xml:space="preserve">The previous equations are relatively </w:t>
      </w:r>
      <w:r w:rsidRPr="00FC2C0B">
        <w:rPr>
          <w:lang w:eastAsia="zh-CN"/>
        </w:rPr>
        <w:t>straightforward to evaluate if all terms are known</w:t>
      </w:r>
      <w:r w:rsidR="00C102F9">
        <w:rPr>
          <w:lang w:eastAsia="zh-CN"/>
        </w:rPr>
        <w:t>. H</w:t>
      </w:r>
      <w:r w:rsidRPr="00FC2C0B">
        <w:rPr>
          <w:lang w:eastAsia="zh-CN"/>
        </w:rPr>
        <w:t>owever, for prospective conjunctions, the secondary mass values are</w:t>
      </w:r>
      <w:r w:rsidR="00C91232">
        <w:rPr>
          <w:lang w:eastAsia="zh-CN"/>
        </w:rPr>
        <w:t xml:space="preserve"> often</w:t>
      </w:r>
      <w:r w:rsidRPr="00FC2C0B">
        <w:rPr>
          <w:lang w:eastAsia="zh-CN"/>
        </w:rPr>
        <w:t xml:space="preserve"> not known</w:t>
      </w:r>
      <w:r w:rsidR="00C102F9">
        <w:rPr>
          <w:lang w:eastAsia="zh-CN"/>
        </w:rPr>
        <w:t>, predominantly because</w:t>
      </w:r>
      <w:r w:rsidRPr="00FC2C0B">
        <w:rPr>
          <w:lang w:eastAsia="zh-CN"/>
        </w:rPr>
        <w:t xml:space="preserve"> the secondary objects involved in conjunctions are </w:t>
      </w:r>
      <w:r w:rsidR="0001416C">
        <w:rPr>
          <w:lang w:eastAsia="zh-CN"/>
        </w:rPr>
        <w:t>often fragmentation</w:t>
      </w:r>
      <w:r w:rsidR="00C102F9">
        <w:rPr>
          <w:lang w:eastAsia="zh-CN"/>
        </w:rPr>
        <w:t xml:space="preserve"> </w:t>
      </w:r>
      <w:r w:rsidRPr="00FC2C0B">
        <w:rPr>
          <w:lang w:eastAsia="zh-CN"/>
        </w:rPr>
        <w:t>debris</w:t>
      </w:r>
      <w:r w:rsidR="00C102F9">
        <w:rPr>
          <w:lang w:eastAsia="zh-CN"/>
        </w:rPr>
        <w:t>,</w:t>
      </w:r>
      <w:r w:rsidRPr="00FC2C0B">
        <w:rPr>
          <w:lang w:eastAsia="zh-CN"/>
        </w:rPr>
        <w:t xml:space="preserve"> such as those from the Fengyun or Iridium-COSMOS events.</w:t>
      </w:r>
      <w:r>
        <w:rPr>
          <w:lang w:eastAsia="zh-CN"/>
        </w:rPr>
        <w:t xml:space="preserve">  There are</w:t>
      </w:r>
      <w:r w:rsidR="00D03DCD">
        <w:rPr>
          <w:lang w:eastAsia="zh-CN"/>
        </w:rPr>
        <w:t xml:space="preserve"> also</w:t>
      </w:r>
      <w:r>
        <w:rPr>
          <w:lang w:eastAsia="zh-CN"/>
        </w:rPr>
        <w:t xml:space="preserve"> many </w:t>
      </w:r>
      <w:r w:rsidR="00C102F9">
        <w:rPr>
          <w:lang w:eastAsia="zh-CN"/>
        </w:rPr>
        <w:t xml:space="preserve">other </w:t>
      </w:r>
      <w:r>
        <w:rPr>
          <w:lang w:eastAsia="zh-CN"/>
        </w:rPr>
        <w:t xml:space="preserve">possible reasons why the secondary object characteristics may be unknown; this is simply the most dominant one.  </w:t>
      </w:r>
      <w:r w:rsidRPr="00281DEE">
        <w:rPr>
          <w:rFonts w:eastAsia="Times New Roman"/>
        </w:rPr>
        <w:t xml:space="preserve">The relative velocity of the two objects is generally well known due to orbit determination processes for the two objects, as is the primary object’s mass which is known from the spacecraft’s operator, but </w:t>
      </w:r>
      <w:r w:rsidR="00C91232">
        <w:rPr>
          <w:rFonts w:eastAsia="Times New Roman"/>
        </w:rPr>
        <w:t>the</w:t>
      </w:r>
      <w:r w:rsidRPr="00281DEE">
        <w:rPr>
          <w:rFonts w:eastAsia="Times New Roman"/>
        </w:rPr>
        <w:t xml:space="preserve"> mass of the secondary object </w:t>
      </w:r>
      <w:r w:rsidR="00C91232">
        <w:rPr>
          <w:rFonts w:eastAsia="Times New Roman"/>
        </w:rPr>
        <w:t>is</w:t>
      </w:r>
      <w:r w:rsidRPr="00281DEE">
        <w:rPr>
          <w:rFonts w:eastAsia="Times New Roman"/>
        </w:rPr>
        <w:t xml:space="preserve"> still unknown.</w:t>
      </w:r>
    </w:p>
    <w:p w14:paraId="236823F4" w14:textId="77777777" w:rsidR="00281DEE" w:rsidRDefault="00281DEE" w:rsidP="00281DEE">
      <w:pPr>
        <w:pStyle w:val="Els-body-text"/>
        <w:tabs>
          <w:tab w:val="center" w:pos="5130"/>
          <w:tab w:val="right" w:pos="10260"/>
        </w:tabs>
        <w:spacing w:line="240" w:lineRule="auto"/>
        <w:ind w:firstLine="270"/>
        <w:rPr>
          <w:lang w:eastAsia="zh-CN"/>
        </w:rPr>
      </w:pPr>
    </w:p>
    <w:p w14:paraId="6D381C4F" w14:textId="77777777" w:rsidR="00281DEE" w:rsidRDefault="00281DEE" w:rsidP="00281DEE">
      <w:pPr>
        <w:pStyle w:val="Heading1"/>
      </w:pPr>
      <w:r>
        <w:t>Unknown Satellite Mass Estimation Process</w:t>
      </w:r>
    </w:p>
    <w:p w14:paraId="1CA2E648" w14:textId="127A9BE0" w:rsidR="00281DEE" w:rsidRDefault="00C279F5" w:rsidP="00281DEE">
      <w:pPr>
        <w:pStyle w:val="Els-body-text"/>
        <w:tabs>
          <w:tab w:val="center" w:pos="5130"/>
          <w:tab w:val="right" w:pos="10260"/>
        </w:tabs>
        <w:spacing w:line="240" w:lineRule="auto"/>
        <w:ind w:firstLine="270"/>
        <w:rPr>
          <w:lang w:eastAsia="zh-CN"/>
        </w:rPr>
      </w:pPr>
      <w:r>
        <w:rPr>
          <w:lang w:eastAsia="zh-CN"/>
        </w:rPr>
        <w:t>The mass of a secondary object orbiting at low altitudes can be estimated</w:t>
      </w:r>
      <w:r w:rsidR="00281DEE">
        <w:rPr>
          <w:lang w:eastAsia="zh-CN"/>
        </w:rPr>
        <w:t xml:space="preserve"> using parameters contained within the </w:t>
      </w:r>
      <w:r w:rsidR="00F3353B">
        <w:rPr>
          <w:lang w:eastAsia="zh-CN"/>
        </w:rPr>
        <w:t xml:space="preserve">atmospheric </w:t>
      </w:r>
      <w:r w:rsidR="00281DEE">
        <w:rPr>
          <w:lang w:eastAsia="zh-CN"/>
        </w:rPr>
        <w:t>drag equation</w:t>
      </w:r>
      <w:r w:rsidR="00E12769">
        <w:rPr>
          <w:lang w:eastAsia="zh-CN"/>
        </w:rPr>
        <w:t xml:space="preserve"> which characterizes the acceleration due to drag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drag</m:t>
            </m:r>
          </m:sub>
        </m:sSub>
      </m:oMath>
      <w:r w:rsidR="00E12769">
        <w:t>) based on atmospheric density (</w:t>
      </w:r>
      <w:r w:rsidR="00E12769">
        <w:rPr>
          <w:i/>
        </w:rPr>
        <w:t>ρ</w:t>
      </w:r>
      <w:r w:rsidR="00E12769">
        <w:t>), the object’s velocity vector (</w:t>
      </w:r>
      <m:oMath>
        <m:acc>
          <m:accPr>
            <m:chr m:val="⃗"/>
            <m:ctrlPr>
              <w:rPr>
                <w:rFonts w:ascii="Cambria Math" w:hAnsi="Cambria Math"/>
                <w:i/>
              </w:rPr>
            </m:ctrlPr>
          </m:accPr>
          <m:e>
            <m:r>
              <w:rPr>
                <w:rFonts w:ascii="Cambria Math" w:hAnsi="Cambria Math"/>
              </w:rPr>
              <m:t>v</m:t>
            </m:r>
          </m:e>
        </m:acc>
      </m:oMath>
      <w:r w:rsidR="00E12769">
        <w:t>), and satellite dependent drag characteristics</w:t>
      </w:r>
      <w:r w:rsidR="00281DEE">
        <w:rPr>
          <w:lang w:eastAsia="zh-CN"/>
        </w:rPr>
        <w:t>:</w:t>
      </w:r>
    </w:p>
    <w:p w14:paraId="30691B12" w14:textId="77777777" w:rsidR="00281DEE" w:rsidRDefault="00281DEE" w:rsidP="00281DEE">
      <w:pPr>
        <w:pStyle w:val="Els-body-text"/>
        <w:tabs>
          <w:tab w:val="center" w:pos="5130"/>
          <w:tab w:val="right" w:pos="10260"/>
        </w:tabs>
        <w:spacing w:line="240" w:lineRule="auto"/>
        <w:ind w:firstLine="270"/>
        <w:rPr>
          <w:lang w:eastAsia="zh-CN"/>
        </w:rPr>
      </w:pPr>
    </w:p>
    <w:p w14:paraId="4B403CE2" w14:textId="51E1E340" w:rsidR="00281DEE" w:rsidRDefault="00281DEE" w:rsidP="00DC28DE">
      <w:pPr>
        <w:pStyle w:val="Els-body-text"/>
        <w:tabs>
          <w:tab w:val="center" w:pos="4320"/>
          <w:tab w:val="right" w:pos="8640"/>
        </w:tabs>
        <w:spacing w:line="240" w:lineRule="auto"/>
        <w:ind w:firstLine="270"/>
        <w:rPr>
          <w:lang w:eastAsia="zh-CN"/>
        </w:rPr>
      </w:pP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drag</m:t>
            </m:r>
          </m:sub>
        </m:sSub>
        <m:r>
          <w:rPr>
            <w:rFonts w:ascii="Cambria Math" w:hAnsi="Cambria Math"/>
          </w:rPr>
          <m:t>= -0.5</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M</m:t>
            </m:r>
          </m:den>
        </m:f>
        <m:r>
          <w:rPr>
            <w:rFonts w:ascii="Cambria Math" w:hAnsi="Cambria Math"/>
          </w:rPr>
          <m:t>ρ</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acc>
          <m:accPr>
            <m:chr m:val="⃗"/>
            <m:ctrlPr>
              <w:rPr>
                <w:rFonts w:ascii="Cambria Math" w:hAnsi="Cambria Math"/>
                <w:i/>
              </w:rPr>
            </m:ctrlPr>
          </m:accPr>
          <m:e>
            <m:r>
              <w:rPr>
                <w:rFonts w:ascii="Cambria Math" w:hAnsi="Cambria Math"/>
              </w:rPr>
              <m:t>v</m:t>
            </m:r>
          </m:e>
        </m:acc>
      </m:oMath>
      <w:r>
        <w:tab/>
        <w:t>(3)</w:t>
      </w:r>
    </w:p>
    <w:p w14:paraId="7A6C7E8B" w14:textId="77777777" w:rsidR="00281DEE" w:rsidRDefault="00281DEE" w:rsidP="00281DEE">
      <w:pPr>
        <w:pStyle w:val="Els-body-text"/>
        <w:tabs>
          <w:tab w:val="center" w:pos="5130"/>
          <w:tab w:val="right" w:pos="10260"/>
        </w:tabs>
        <w:spacing w:line="240" w:lineRule="auto"/>
        <w:ind w:firstLine="270"/>
        <w:rPr>
          <w:lang w:eastAsia="zh-CN"/>
        </w:rPr>
      </w:pPr>
    </w:p>
    <w:p w14:paraId="2F3F8F89" w14:textId="3ACAF2A8" w:rsidR="00281DEE" w:rsidRDefault="00281DEE" w:rsidP="00AC67EB">
      <w:pPr>
        <w:pStyle w:val="Els-body-text"/>
        <w:tabs>
          <w:tab w:val="center" w:pos="5130"/>
          <w:tab w:val="right" w:pos="10260"/>
        </w:tabs>
        <w:spacing w:line="240" w:lineRule="auto"/>
        <w:ind w:firstLine="0"/>
      </w:pPr>
      <w:r>
        <w:rPr>
          <w:lang w:eastAsia="zh-CN"/>
        </w:rPr>
        <w:t xml:space="preserve">Estimation of an object’s drag characteristics is of significant import in the orbit determination process, as this is the primary non-conservative force acting on objects in low earth orbit, where </w:t>
      </w:r>
      <w:r w:rsidR="00AC67EB">
        <w:rPr>
          <w:lang w:eastAsia="zh-CN"/>
        </w:rPr>
        <w:t>large numbers of</w:t>
      </w:r>
      <w:r>
        <w:rPr>
          <w:lang w:eastAsia="zh-CN"/>
        </w:rPr>
        <w:t xml:space="preserve"> spacecraft missions operate.  As such, </w:t>
      </w:r>
      <w:r>
        <w:t xml:space="preserve">the collective terms for satellite drag can be determined as part of the orbit determination process and collected </w:t>
      </w:r>
      <w:r w:rsidR="00C91232">
        <w:t>via</w:t>
      </w:r>
      <w:r>
        <w:t xml:space="preserve"> a term known as the ballistic coefficient</w:t>
      </w:r>
      <w:r w:rsidR="00E12769">
        <w:t xml:space="preserve"> (</w:t>
      </w:r>
      <w:r w:rsidR="00E12769">
        <w:rPr>
          <w:i/>
        </w:rPr>
        <w:t>BC</w:t>
      </w:r>
      <w:r w:rsidR="00E12769">
        <w:t>)</w:t>
      </w:r>
      <w:r>
        <w:t xml:space="preserve"> and is typically included in reported spacecraft states.</w:t>
      </w:r>
    </w:p>
    <w:p w14:paraId="34724A1F" w14:textId="77777777" w:rsidR="00281DEE" w:rsidRDefault="00281DEE" w:rsidP="00DC28DE">
      <w:pPr>
        <w:pStyle w:val="Els-body-text"/>
        <w:tabs>
          <w:tab w:val="center" w:pos="4320"/>
          <w:tab w:val="right" w:pos="8640"/>
        </w:tabs>
        <w:spacing w:line="240" w:lineRule="auto"/>
        <w:ind w:firstLine="270"/>
        <w:rPr>
          <w:lang w:eastAsia="zh-CN"/>
        </w:rPr>
      </w:pPr>
    </w:p>
    <w:p w14:paraId="1F924874" w14:textId="77777777" w:rsidR="00281DEE" w:rsidRDefault="00281DEE" w:rsidP="00DC28DE">
      <w:pPr>
        <w:pStyle w:val="Els-body-text"/>
        <w:tabs>
          <w:tab w:val="center" w:pos="4320"/>
          <w:tab w:val="right" w:pos="8640"/>
        </w:tabs>
        <w:spacing w:line="240" w:lineRule="auto"/>
        <w:ind w:firstLine="270"/>
      </w:pPr>
      <w:r>
        <w:tab/>
      </w:r>
      <m:oMath>
        <m:r>
          <w:rPr>
            <w:rFonts w:ascii="Cambria Math" w:hAnsi="Cambria Math"/>
          </w:rPr>
          <m:t>BC=</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m:t>
        </m:r>
      </m:oMath>
      <w:r>
        <w:tab/>
        <w:t>(4)</w:t>
      </w:r>
    </w:p>
    <w:p w14:paraId="49F23EAA" w14:textId="77777777" w:rsidR="00281DEE" w:rsidRDefault="00281DEE" w:rsidP="00281DEE">
      <w:pPr>
        <w:pStyle w:val="Els-body-text"/>
        <w:tabs>
          <w:tab w:val="center" w:pos="5130"/>
          <w:tab w:val="right" w:pos="10260"/>
        </w:tabs>
        <w:spacing w:line="240" w:lineRule="auto"/>
        <w:ind w:firstLine="270"/>
      </w:pPr>
    </w:p>
    <w:p w14:paraId="6D5AE642" w14:textId="2206EACA" w:rsidR="00281DEE" w:rsidRPr="003B0B9D" w:rsidRDefault="00281DEE" w:rsidP="00DC28DE">
      <w:pPr>
        <w:rPr>
          <w:sz w:val="20"/>
          <w:szCs w:val="20"/>
        </w:rPr>
      </w:pPr>
      <w:r w:rsidRPr="003B0B9D">
        <w:rPr>
          <w:sz w:val="20"/>
          <w:szCs w:val="20"/>
        </w:rPr>
        <w:t>Knowledge of the ballistic coefficient allows for estimation of the object mass</w:t>
      </w:r>
      <w:r w:rsidR="00E12769">
        <w:rPr>
          <w:sz w:val="20"/>
          <w:szCs w:val="20"/>
        </w:rPr>
        <w:t xml:space="preserve"> (</w:t>
      </w:r>
      <w:r w:rsidR="00E12769">
        <w:rPr>
          <w:i/>
          <w:sz w:val="20"/>
          <w:szCs w:val="20"/>
        </w:rPr>
        <w:t>M</w:t>
      </w:r>
      <w:r w:rsidR="00E12769">
        <w:rPr>
          <w:sz w:val="20"/>
          <w:szCs w:val="20"/>
        </w:rPr>
        <w:t>)</w:t>
      </w:r>
      <w:r w:rsidRPr="003B0B9D">
        <w:rPr>
          <w:sz w:val="20"/>
          <w:szCs w:val="20"/>
        </w:rPr>
        <w:t xml:space="preserve">, but </w:t>
      </w:r>
      <w:r w:rsidR="00C35592">
        <w:rPr>
          <w:sz w:val="20"/>
          <w:szCs w:val="20"/>
        </w:rPr>
        <w:t>this requires</w:t>
      </w:r>
      <w:r w:rsidRPr="003B0B9D">
        <w:rPr>
          <w:sz w:val="20"/>
          <w:szCs w:val="20"/>
        </w:rPr>
        <w:t xml:space="preserve"> that the drag coefficient (</w:t>
      </w:r>
      <w:r w:rsidRPr="003B0B9D">
        <w:rPr>
          <w:i/>
          <w:sz w:val="20"/>
          <w:szCs w:val="20"/>
        </w:rPr>
        <w:t>C</w:t>
      </w:r>
      <w:r w:rsidRPr="003B0B9D">
        <w:rPr>
          <w:i/>
          <w:sz w:val="20"/>
          <w:szCs w:val="20"/>
          <w:vertAlign w:val="subscript"/>
        </w:rPr>
        <w:t>d</w:t>
      </w:r>
      <w:r w:rsidRPr="003B0B9D">
        <w:rPr>
          <w:sz w:val="20"/>
          <w:szCs w:val="20"/>
        </w:rPr>
        <w:t>) and frontal area (</w:t>
      </w:r>
      <w:r w:rsidRPr="003B0B9D">
        <w:rPr>
          <w:i/>
          <w:sz w:val="20"/>
          <w:szCs w:val="20"/>
        </w:rPr>
        <w:t>A</w:t>
      </w:r>
      <w:r w:rsidRPr="003B0B9D">
        <w:rPr>
          <w:sz w:val="20"/>
          <w:szCs w:val="20"/>
        </w:rPr>
        <w:t>) also be estimated or known.  In this study</w:t>
      </w:r>
      <w:r w:rsidR="00C35592">
        <w:rPr>
          <w:sz w:val="20"/>
          <w:szCs w:val="20"/>
        </w:rPr>
        <w:t>,</w:t>
      </w:r>
      <w:r w:rsidRPr="003B0B9D">
        <w:rPr>
          <w:sz w:val="20"/>
          <w:szCs w:val="20"/>
        </w:rPr>
        <w:t xml:space="preserve"> methods to estimate drag coefficients and frontal areas from known satellite quantities are validated by examining the characteristics of known </w:t>
      </w:r>
      <w:r w:rsidR="006E3C95">
        <w:rPr>
          <w:sz w:val="20"/>
          <w:szCs w:val="20"/>
        </w:rPr>
        <w:t>nanosatellites</w:t>
      </w:r>
      <w:r w:rsidR="003B0B9D">
        <w:rPr>
          <w:sz w:val="20"/>
          <w:szCs w:val="20"/>
        </w:rPr>
        <w:t xml:space="preserve"> and NaK RORSAT spheres</w:t>
      </w:r>
      <w:r w:rsidRPr="003B0B9D">
        <w:rPr>
          <w:sz w:val="20"/>
          <w:szCs w:val="20"/>
        </w:rPr>
        <w:t>, and as these objects are known, their drag coefficients can be estimated</w:t>
      </w:r>
      <w:r w:rsidR="003B0B9D">
        <w:rPr>
          <w:sz w:val="20"/>
          <w:szCs w:val="20"/>
        </w:rPr>
        <w:t xml:space="preserve"> using either a spherical </w:t>
      </w:r>
      <w:r w:rsidR="003B0B9D" w:rsidRPr="00AC67EB">
        <w:rPr>
          <w:i/>
          <w:sz w:val="20"/>
          <w:szCs w:val="20"/>
        </w:rPr>
        <w:t>C</w:t>
      </w:r>
      <w:r w:rsidR="003B0B9D" w:rsidRPr="00AC67EB">
        <w:rPr>
          <w:i/>
          <w:sz w:val="20"/>
          <w:szCs w:val="20"/>
          <w:vertAlign w:val="subscript"/>
        </w:rPr>
        <w:t>d</w:t>
      </w:r>
      <w:r w:rsidR="003B0B9D">
        <w:rPr>
          <w:sz w:val="20"/>
          <w:szCs w:val="20"/>
          <w:vertAlign w:val="subscript"/>
        </w:rPr>
        <w:t xml:space="preserve"> </w:t>
      </w:r>
      <w:r w:rsidR="003B0B9D">
        <w:rPr>
          <w:sz w:val="20"/>
          <w:szCs w:val="20"/>
        </w:rPr>
        <w:t xml:space="preserve"> of 2.1, or a</w:t>
      </w:r>
      <w:r w:rsidRPr="003B0B9D">
        <w:rPr>
          <w:sz w:val="20"/>
          <w:szCs w:val="20"/>
        </w:rPr>
        <w:t xml:space="preserve"> cuboid drag model as proposed by Walker </w:t>
      </w:r>
      <w:r w:rsidRPr="00AC67EB">
        <w:rPr>
          <w:i/>
          <w:sz w:val="20"/>
          <w:szCs w:val="20"/>
        </w:rPr>
        <w:t>et al</w:t>
      </w:r>
      <w:r w:rsidR="00E8607C" w:rsidRPr="003B0B9D">
        <w:rPr>
          <w:sz w:val="20"/>
          <w:szCs w:val="20"/>
        </w:rPr>
        <w:t>.</w:t>
      </w:r>
      <w:bookmarkStart w:id="3" w:name="_Ref8200290"/>
      <w:r w:rsidR="00E8607C" w:rsidRPr="003B0B9D">
        <w:rPr>
          <w:rStyle w:val="EndnoteReference"/>
          <w:sz w:val="20"/>
          <w:szCs w:val="20"/>
        </w:rPr>
        <w:endnoteReference w:id="7"/>
      </w:r>
      <w:bookmarkEnd w:id="3"/>
      <w:r w:rsidRPr="003B0B9D">
        <w:rPr>
          <w:sz w:val="20"/>
          <w:szCs w:val="20"/>
        </w:rPr>
        <w:t xml:space="preserve">  The cuboid drag model is broadly applicable regardless of </w:t>
      </w:r>
      <w:r w:rsidR="001E042E">
        <w:rPr>
          <w:sz w:val="20"/>
          <w:szCs w:val="20"/>
        </w:rPr>
        <w:t>nanosatellite configuration</w:t>
      </w:r>
      <w:r w:rsidRPr="003B0B9D">
        <w:rPr>
          <w:sz w:val="20"/>
          <w:szCs w:val="20"/>
        </w:rPr>
        <w:t xml:space="preserve"> as they typically conform to the cuboid model, though there may be </w:t>
      </w:r>
      <w:r w:rsidR="00C35592">
        <w:rPr>
          <w:sz w:val="20"/>
          <w:szCs w:val="20"/>
        </w:rPr>
        <w:t>larger</w:t>
      </w:r>
      <w:r w:rsidRPr="003B0B9D">
        <w:rPr>
          <w:sz w:val="20"/>
          <w:szCs w:val="20"/>
        </w:rPr>
        <w:t xml:space="preserve"> variation due to nanosatellite orientation.  This allows for a</w:t>
      </w:r>
      <w:r w:rsidR="001E042E">
        <w:rPr>
          <w:sz w:val="20"/>
          <w:szCs w:val="20"/>
        </w:rPr>
        <w:t>n</w:t>
      </w:r>
      <w:r w:rsidRPr="003B0B9D">
        <w:rPr>
          <w:sz w:val="20"/>
          <w:szCs w:val="20"/>
        </w:rPr>
        <w:t xml:space="preserve"> examination of model accuracy when the object profile is relatively </w:t>
      </w:r>
      <w:r w:rsidR="00372273">
        <w:rPr>
          <w:sz w:val="20"/>
          <w:szCs w:val="20"/>
        </w:rPr>
        <w:t xml:space="preserve">well </w:t>
      </w:r>
      <w:r w:rsidRPr="003B0B9D">
        <w:rPr>
          <w:sz w:val="20"/>
          <w:szCs w:val="20"/>
        </w:rPr>
        <w:t>known, though operationally</w:t>
      </w:r>
      <w:r w:rsidR="00390928">
        <w:rPr>
          <w:sz w:val="20"/>
          <w:szCs w:val="20"/>
        </w:rPr>
        <w:t>,</w:t>
      </w:r>
      <w:r w:rsidRPr="003B0B9D">
        <w:rPr>
          <w:sz w:val="20"/>
          <w:szCs w:val="20"/>
        </w:rPr>
        <w:t xml:space="preserve"> </w:t>
      </w:r>
      <w:r w:rsidR="00390928">
        <w:rPr>
          <w:sz w:val="20"/>
          <w:szCs w:val="20"/>
        </w:rPr>
        <w:t>a greater</w:t>
      </w:r>
      <w:r w:rsidRPr="003B0B9D">
        <w:rPr>
          <w:sz w:val="20"/>
          <w:szCs w:val="20"/>
        </w:rPr>
        <w:t xml:space="preserve"> estimation of </w:t>
      </w:r>
      <w:r w:rsidRPr="003B0B9D">
        <w:rPr>
          <w:i/>
          <w:sz w:val="20"/>
          <w:szCs w:val="20"/>
        </w:rPr>
        <w:t>C</w:t>
      </w:r>
      <w:r w:rsidRPr="003B0B9D">
        <w:rPr>
          <w:i/>
          <w:sz w:val="20"/>
          <w:szCs w:val="20"/>
          <w:vertAlign w:val="subscript"/>
        </w:rPr>
        <w:t>d</w:t>
      </w:r>
      <w:r w:rsidRPr="003B0B9D">
        <w:rPr>
          <w:i/>
          <w:sz w:val="20"/>
          <w:szCs w:val="20"/>
        </w:rPr>
        <w:t xml:space="preserve"> </w:t>
      </w:r>
      <w:r w:rsidRPr="003B0B9D">
        <w:rPr>
          <w:sz w:val="20"/>
          <w:szCs w:val="20"/>
        </w:rPr>
        <w:t xml:space="preserve">may be used as a conservative estimate </w:t>
      </w:r>
      <w:r w:rsidR="00390928">
        <w:rPr>
          <w:sz w:val="20"/>
          <w:szCs w:val="20"/>
        </w:rPr>
        <w:t>for assessing the consequence</w:t>
      </w:r>
      <w:r w:rsidRPr="003B0B9D">
        <w:rPr>
          <w:sz w:val="20"/>
          <w:szCs w:val="20"/>
        </w:rPr>
        <w:t xml:space="preserve"> of a collision. </w:t>
      </w:r>
      <w:r w:rsidRPr="003B0B9D">
        <w:rPr>
          <w:i/>
          <w:sz w:val="20"/>
          <w:szCs w:val="20"/>
        </w:rPr>
        <w:t xml:space="preserve"> </w:t>
      </w:r>
      <w:r w:rsidRPr="003B0B9D">
        <w:rPr>
          <w:sz w:val="20"/>
          <w:szCs w:val="20"/>
        </w:rPr>
        <w:t xml:space="preserve">For this analysis the nanosatellite drag coefficients are generally presumed to be in line with the more oblong configurations, which show greater variation than strict cube-shaped approximations.  Assuming an oblong cuboid satellite form, the drag values can be roughly approximated from Figure 8 of Walker </w:t>
      </w:r>
      <w:r w:rsidRPr="00390928">
        <w:rPr>
          <w:i/>
          <w:sz w:val="20"/>
          <w:szCs w:val="20"/>
        </w:rPr>
        <w:t>et al</w:t>
      </w:r>
      <w:r w:rsidRPr="003B0B9D">
        <w:rPr>
          <w:sz w:val="20"/>
          <w:szCs w:val="20"/>
        </w:rPr>
        <w:t>.</w:t>
      </w:r>
      <w:r w:rsidR="00E8607C" w:rsidRPr="003B0B9D">
        <w:rPr>
          <w:sz w:val="20"/>
          <w:szCs w:val="20"/>
          <w:vertAlign w:val="superscript"/>
        </w:rPr>
        <w:fldChar w:fldCharType="begin"/>
      </w:r>
      <w:r w:rsidR="00E8607C" w:rsidRPr="003B0B9D">
        <w:rPr>
          <w:sz w:val="20"/>
          <w:szCs w:val="20"/>
          <w:vertAlign w:val="superscript"/>
        </w:rPr>
        <w:instrText xml:space="preserve"> NOTEREF _Ref8200290 \h  \* MERGEFORMAT </w:instrText>
      </w:r>
      <w:r w:rsidR="00E8607C" w:rsidRPr="003B0B9D">
        <w:rPr>
          <w:sz w:val="20"/>
          <w:szCs w:val="20"/>
          <w:vertAlign w:val="superscript"/>
        </w:rPr>
      </w:r>
      <w:r w:rsidR="00E8607C" w:rsidRPr="003B0B9D">
        <w:rPr>
          <w:sz w:val="20"/>
          <w:szCs w:val="20"/>
          <w:vertAlign w:val="superscript"/>
        </w:rPr>
        <w:fldChar w:fldCharType="separate"/>
      </w:r>
      <w:r w:rsidR="00D82D51">
        <w:rPr>
          <w:sz w:val="20"/>
          <w:szCs w:val="20"/>
          <w:vertAlign w:val="superscript"/>
        </w:rPr>
        <w:t>6</w:t>
      </w:r>
      <w:r w:rsidR="00E8607C" w:rsidRPr="003B0B9D">
        <w:rPr>
          <w:sz w:val="20"/>
          <w:szCs w:val="20"/>
          <w:vertAlign w:val="superscript"/>
        </w:rPr>
        <w:fldChar w:fldCharType="end"/>
      </w:r>
      <w:r w:rsidRPr="003B0B9D">
        <w:rPr>
          <w:sz w:val="20"/>
          <w:szCs w:val="20"/>
        </w:rPr>
        <w:t xml:space="preserve"> </w:t>
      </w:r>
      <w:r w:rsidR="004D2F74">
        <w:rPr>
          <w:sz w:val="20"/>
          <w:szCs w:val="20"/>
        </w:rPr>
        <w:t xml:space="preserve">(Denoted in this paper as: </w:t>
      </w:r>
      <w:r w:rsidR="004D2F74">
        <w:rPr>
          <w:sz w:val="20"/>
          <w:szCs w:val="20"/>
        </w:rPr>
        <w:fldChar w:fldCharType="begin"/>
      </w:r>
      <w:r w:rsidR="004D2F74">
        <w:rPr>
          <w:sz w:val="20"/>
          <w:szCs w:val="20"/>
        </w:rPr>
        <w:instrText xml:space="preserve"> REF _Ref15280090 \h </w:instrText>
      </w:r>
      <w:r w:rsidR="004D2F74">
        <w:rPr>
          <w:sz w:val="20"/>
          <w:szCs w:val="20"/>
        </w:rPr>
      </w:r>
      <w:r w:rsidR="004D2F74">
        <w:rPr>
          <w:sz w:val="20"/>
          <w:szCs w:val="20"/>
        </w:rPr>
        <w:fldChar w:fldCharType="separate"/>
      </w:r>
      <w:r w:rsidR="00D82D51">
        <w:t xml:space="preserve">Figure </w:t>
      </w:r>
      <w:r w:rsidR="00D82D51">
        <w:rPr>
          <w:noProof/>
        </w:rPr>
        <w:t>1</w:t>
      </w:r>
      <w:r w:rsidR="004D2F74">
        <w:rPr>
          <w:sz w:val="20"/>
          <w:szCs w:val="20"/>
        </w:rPr>
        <w:fldChar w:fldCharType="end"/>
      </w:r>
      <w:r w:rsidR="004D2F74">
        <w:rPr>
          <w:sz w:val="20"/>
          <w:szCs w:val="20"/>
        </w:rPr>
        <w:t xml:space="preserve">) </w:t>
      </w:r>
      <w:r w:rsidRPr="003B0B9D">
        <w:rPr>
          <w:sz w:val="20"/>
          <w:szCs w:val="20"/>
        </w:rPr>
        <w:t>as linearly varying based on exospheric temperature, which can be estimated by a given atmospheric model of choice.</w:t>
      </w:r>
    </w:p>
    <w:p w14:paraId="53405E66" w14:textId="77777777" w:rsidR="00281DEE" w:rsidRPr="00281DEE" w:rsidRDefault="00281DEE" w:rsidP="00281DEE">
      <w:pPr>
        <w:pStyle w:val="Els-body-text"/>
        <w:tabs>
          <w:tab w:val="center" w:pos="5130"/>
          <w:tab w:val="right" w:pos="10260"/>
        </w:tabs>
        <w:spacing w:line="240" w:lineRule="auto"/>
        <w:ind w:firstLine="270"/>
        <w:rPr>
          <w:rFonts w:eastAsia="Times New Roman"/>
        </w:rPr>
      </w:pPr>
    </w:p>
    <w:p w14:paraId="67724299" w14:textId="77777777" w:rsidR="00281DEE" w:rsidRPr="00281DEE" w:rsidRDefault="00281DEE" w:rsidP="00DC28DE">
      <w:pPr>
        <w:pStyle w:val="Els-body-text"/>
        <w:tabs>
          <w:tab w:val="center" w:pos="4320"/>
          <w:tab w:val="right" w:pos="8640"/>
        </w:tabs>
        <w:spacing w:line="240" w:lineRule="auto"/>
        <w:ind w:firstLine="270"/>
        <w:rPr>
          <w:rFonts w:eastAsia="Times New Roman"/>
        </w:rPr>
      </w:pPr>
      <w:r w:rsidRPr="00281DEE">
        <w:rPr>
          <w:rFonts w:eastAsia="Times New Roman"/>
        </w:rPr>
        <w:tab/>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r>
          <w:rPr>
            <w:rFonts w:ascii="Cambria Math" w:eastAsia="Times New Roman" w:hAnsi="Cambria Math"/>
          </w:rPr>
          <m:t>2.4+</m:t>
        </m:r>
        <m:f>
          <m:fPr>
            <m:ctrlPr>
              <w:rPr>
                <w:rFonts w:ascii="Cambria Math" w:eastAsia="Times New Roman" w:hAnsi="Cambria Math"/>
                <w:i/>
              </w:rPr>
            </m:ctrlPr>
          </m:fPr>
          <m:num>
            <m:r>
              <w:rPr>
                <w:rFonts w:ascii="Cambria Math" w:eastAsia="Times New Roman" w:hAnsi="Cambria Math"/>
              </w:rPr>
              <m:t>0.6</m:t>
            </m:r>
          </m:num>
          <m:den>
            <m:r>
              <w:rPr>
                <w:rFonts w:ascii="Cambria Math" w:eastAsia="Times New Roman" w:hAnsi="Cambria Math"/>
              </w:rPr>
              <m:t>800</m:t>
            </m:r>
          </m:den>
        </m:f>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inf</m:t>
                </m:r>
              </m:sub>
            </m:sSub>
            <m:r>
              <w:rPr>
                <w:rFonts w:ascii="Cambria Math" w:eastAsia="Times New Roman" w:hAnsi="Cambria Math"/>
              </w:rPr>
              <m:t>-200</m:t>
            </m:r>
          </m:e>
        </m:d>
      </m:oMath>
      <w:r w:rsidRPr="00281DEE">
        <w:rPr>
          <w:rFonts w:eastAsia="Times New Roman"/>
        </w:rPr>
        <w:tab/>
        <w:t>(5)</w:t>
      </w:r>
    </w:p>
    <w:p w14:paraId="365A6741" w14:textId="77777777" w:rsidR="004D2F74" w:rsidRDefault="00D96584" w:rsidP="004D2F74">
      <w:pPr>
        <w:pStyle w:val="Els-body-text"/>
        <w:keepNext/>
        <w:tabs>
          <w:tab w:val="center" w:pos="5130"/>
          <w:tab w:val="right" w:pos="10260"/>
        </w:tabs>
        <w:spacing w:line="240" w:lineRule="auto"/>
        <w:ind w:firstLine="270"/>
        <w:jc w:val="center"/>
      </w:pPr>
      <w:r w:rsidRPr="00281DEE">
        <w:rPr>
          <w:rFonts w:eastAsia="Times New Roman"/>
          <w:noProof/>
        </w:rPr>
        <w:lastRenderedPageBreak/>
        <w:drawing>
          <wp:inline distT="0" distB="0" distL="0" distR="0" wp14:anchorId="631A3CB5" wp14:editId="0097D9AE">
            <wp:extent cx="3524250" cy="4572000"/>
            <wp:effectExtent l="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4572000"/>
                    </a:xfrm>
                    <a:prstGeom prst="rect">
                      <a:avLst/>
                    </a:prstGeom>
                    <a:noFill/>
                    <a:ln>
                      <a:noFill/>
                    </a:ln>
                  </pic:spPr>
                </pic:pic>
              </a:graphicData>
            </a:graphic>
          </wp:inline>
        </w:drawing>
      </w:r>
    </w:p>
    <w:p w14:paraId="2571D5BB" w14:textId="495A00CC" w:rsidR="00281DEE" w:rsidRDefault="004D2F74" w:rsidP="004D2F74">
      <w:pPr>
        <w:pStyle w:val="Caption"/>
        <w:rPr>
          <w:lang w:eastAsia="zh-CN"/>
        </w:rPr>
      </w:pPr>
      <w:bookmarkStart w:id="4" w:name="_Ref15280085"/>
      <w:bookmarkStart w:id="5" w:name="_Ref15280090"/>
      <w:r>
        <w:t xml:space="preserve">Figure </w:t>
      </w:r>
      <w:fldSimple w:instr=" SEQ Figure \* ARABIC ">
        <w:r w:rsidR="00D82D51">
          <w:rPr>
            <w:noProof/>
          </w:rPr>
          <w:t>1</w:t>
        </w:r>
      </w:fldSimple>
      <w:bookmarkEnd w:id="5"/>
      <w:r>
        <w:t xml:space="preserve">: Recreation of Figure 8 from Walker et al.6 Denoting Drag Coefficient </w:t>
      </w:r>
      <w:r>
        <w:t>Dependence on Exospheric Temperature.</w:t>
      </w:r>
      <w:bookmarkEnd w:id="4"/>
    </w:p>
    <w:p w14:paraId="60103F0A" w14:textId="77777777" w:rsidR="00281DEE" w:rsidRDefault="00281DEE" w:rsidP="004D2F74">
      <w:pPr>
        <w:pStyle w:val="Els-body-text"/>
        <w:tabs>
          <w:tab w:val="center" w:pos="5130"/>
          <w:tab w:val="right" w:pos="10260"/>
        </w:tabs>
        <w:spacing w:line="240" w:lineRule="auto"/>
        <w:rPr>
          <w:lang w:eastAsia="zh-CN"/>
        </w:rPr>
      </w:pPr>
    </w:p>
    <w:p w14:paraId="6A4F49A8" w14:textId="16D3C965" w:rsidR="00281DEE" w:rsidRPr="003B0B9D" w:rsidRDefault="00D371EA" w:rsidP="003B0B9D">
      <w:pPr>
        <w:rPr>
          <w:sz w:val="20"/>
          <w:szCs w:val="20"/>
        </w:rPr>
      </w:pPr>
      <w:r>
        <w:rPr>
          <w:sz w:val="20"/>
          <w:szCs w:val="20"/>
        </w:rPr>
        <w:t>V</w:t>
      </w:r>
      <w:r w:rsidR="00281DEE" w:rsidRPr="003B0B9D">
        <w:rPr>
          <w:sz w:val="20"/>
          <w:szCs w:val="20"/>
        </w:rPr>
        <w:t>ariations in the drag coefficient estimate</w:t>
      </w:r>
      <w:r>
        <w:rPr>
          <w:sz w:val="20"/>
          <w:szCs w:val="20"/>
        </w:rPr>
        <w:t>s</w:t>
      </w:r>
      <w:r w:rsidR="00E10F44">
        <w:rPr>
          <w:sz w:val="20"/>
          <w:szCs w:val="20"/>
        </w:rPr>
        <w:t xml:space="preserve"> </w:t>
      </w:r>
      <w:r>
        <w:rPr>
          <w:sz w:val="20"/>
          <w:szCs w:val="20"/>
        </w:rPr>
        <w:t>are often small compared to</w:t>
      </w:r>
      <w:r w:rsidR="00281DEE" w:rsidRPr="003B0B9D">
        <w:rPr>
          <w:sz w:val="20"/>
          <w:szCs w:val="20"/>
        </w:rPr>
        <w:t xml:space="preserve"> frontal area variations and atmospheric density variations, particularly </w:t>
      </w:r>
      <w:r w:rsidR="001A08F4">
        <w:rPr>
          <w:sz w:val="20"/>
          <w:szCs w:val="20"/>
        </w:rPr>
        <w:t xml:space="preserve">for satellites orbiting </w:t>
      </w:r>
      <w:r w:rsidR="00281DEE" w:rsidRPr="003B0B9D">
        <w:rPr>
          <w:sz w:val="20"/>
          <w:szCs w:val="20"/>
        </w:rPr>
        <w:t>at lower altitudes</w:t>
      </w:r>
      <w:r w:rsidR="00E8607C" w:rsidRPr="003B0B9D">
        <w:rPr>
          <w:sz w:val="20"/>
          <w:szCs w:val="20"/>
        </w:rPr>
        <w:t xml:space="preserve"> as shown in </w:t>
      </w:r>
      <w:r>
        <w:rPr>
          <w:sz w:val="20"/>
          <w:szCs w:val="20"/>
        </w:rPr>
        <w:t xml:space="preserve">analysis </w:t>
      </w:r>
      <w:r w:rsidR="00E10F44">
        <w:rPr>
          <w:sz w:val="20"/>
          <w:szCs w:val="20"/>
        </w:rPr>
        <w:t>by</w:t>
      </w:r>
      <w:r w:rsidRPr="003B0B9D">
        <w:rPr>
          <w:sz w:val="20"/>
          <w:szCs w:val="20"/>
        </w:rPr>
        <w:t xml:space="preserve"> </w:t>
      </w:r>
      <w:r w:rsidR="00E8607C" w:rsidRPr="003B0B9D">
        <w:rPr>
          <w:sz w:val="20"/>
          <w:szCs w:val="20"/>
        </w:rPr>
        <w:t xml:space="preserve">Pilinski </w:t>
      </w:r>
      <w:r w:rsidR="00E8607C" w:rsidRPr="00390928">
        <w:rPr>
          <w:i/>
          <w:sz w:val="20"/>
          <w:szCs w:val="20"/>
        </w:rPr>
        <w:t>et al</w:t>
      </w:r>
      <w:r w:rsidR="00E8607C" w:rsidRPr="003B0B9D">
        <w:rPr>
          <w:sz w:val="20"/>
          <w:szCs w:val="20"/>
        </w:rPr>
        <w:t>.</w:t>
      </w:r>
      <w:r w:rsidR="00E8607C" w:rsidRPr="003B0B9D">
        <w:rPr>
          <w:rStyle w:val="EndnoteReference"/>
          <w:sz w:val="20"/>
          <w:szCs w:val="20"/>
        </w:rPr>
        <w:endnoteReference w:id="8"/>
      </w:r>
      <w:r w:rsidR="00281DEE" w:rsidRPr="003B0B9D">
        <w:rPr>
          <w:sz w:val="20"/>
          <w:szCs w:val="20"/>
        </w:rPr>
        <w:t xml:space="preserve">, which estimated that </w:t>
      </w:r>
      <w:r w:rsidR="00281DEE" w:rsidRPr="003B0B9D">
        <w:rPr>
          <w:i/>
          <w:sz w:val="20"/>
          <w:szCs w:val="20"/>
        </w:rPr>
        <w:t>C</w:t>
      </w:r>
      <w:r w:rsidR="00281DEE" w:rsidRPr="003B0B9D">
        <w:rPr>
          <w:i/>
          <w:sz w:val="20"/>
          <w:szCs w:val="20"/>
          <w:vertAlign w:val="subscript"/>
        </w:rPr>
        <w:t>d</w:t>
      </w:r>
      <w:r w:rsidR="00281DEE" w:rsidRPr="003B0B9D">
        <w:rPr>
          <w:sz w:val="20"/>
          <w:szCs w:val="20"/>
        </w:rPr>
        <w:t xml:space="preserve"> variations are typically </w:t>
      </w:r>
      <w:r>
        <w:rPr>
          <w:sz w:val="20"/>
          <w:szCs w:val="20"/>
        </w:rPr>
        <w:t>about</w:t>
      </w:r>
      <w:r w:rsidR="00281DEE" w:rsidRPr="003B0B9D">
        <w:rPr>
          <w:sz w:val="20"/>
          <w:szCs w:val="20"/>
        </w:rPr>
        <w:t xml:space="preserve"> 2% except in extremely low altitude cases.  </w:t>
      </w:r>
      <w:r w:rsidR="00E10F44">
        <w:rPr>
          <w:sz w:val="20"/>
          <w:szCs w:val="20"/>
        </w:rPr>
        <w:t xml:space="preserve">This analysis uses a sampling methodology to </w:t>
      </w:r>
      <w:r w:rsidR="00390928">
        <w:rPr>
          <w:sz w:val="20"/>
          <w:szCs w:val="20"/>
        </w:rPr>
        <w:t>a</w:t>
      </w:r>
      <w:r w:rsidR="00E10F44">
        <w:rPr>
          <w:sz w:val="20"/>
          <w:szCs w:val="20"/>
        </w:rPr>
        <w:t xml:space="preserve">ffect </w:t>
      </w:r>
      <w:r w:rsidR="00E10F44" w:rsidRPr="003B0B9D">
        <w:rPr>
          <w:i/>
          <w:sz w:val="20"/>
          <w:szCs w:val="20"/>
        </w:rPr>
        <w:t>C</w:t>
      </w:r>
      <w:r w:rsidR="00E10F44" w:rsidRPr="003B0B9D">
        <w:rPr>
          <w:i/>
          <w:sz w:val="20"/>
          <w:szCs w:val="20"/>
          <w:vertAlign w:val="subscript"/>
        </w:rPr>
        <w:t>d</w:t>
      </w:r>
      <w:r w:rsidR="00E10F44">
        <w:rPr>
          <w:sz w:val="20"/>
          <w:szCs w:val="20"/>
        </w:rPr>
        <w:t xml:space="preserve"> uncertainty on the evaluation of collision consequence.  Specifically, f</w:t>
      </w:r>
      <w:r w:rsidR="00281DEE" w:rsidRPr="003B0B9D">
        <w:rPr>
          <w:sz w:val="20"/>
          <w:szCs w:val="20"/>
        </w:rPr>
        <w:t xml:space="preserve">or each estimate of the drag coefficient, a number of samples are drawn </w:t>
      </w:r>
      <w:r>
        <w:rPr>
          <w:sz w:val="20"/>
          <w:szCs w:val="20"/>
        </w:rPr>
        <w:t>from</w:t>
      </w:r>
      <w:r w:rsidRPr="003B0B9D">
        <w:rPr>
          <w:sz w:val="20"/>
          <w:szCs w:val="20"/>
        </w:rPr>
        <w:t xml:space="preserve"> </w:t>
      </w:r>
      <w:r w:rsidR="00281DEE" w:rsidRPr="003B0B9D">
        <w:rPr>
          <w:sz w:val="20"/>
          <w:szCs w:val="20"/>
        </w:rPr>
        <w:t>a normal distribution with a relative standard deviation of 5% (</w:t>
      </w:r>
      <w:r w:rsidR="00357247">
        <w:rPr>
          <w:sz w:val="20"/>
          <w:szCs w:val="20"/>
        </w:rPr>
        <w:t>conservatively</w:t>
      </w:r>
      <w:r w:rsidR="00357247" w:rsidRPr="003B0B9D">
        <w:rPr>
          <w:sz w:val="20"/>
          <w:szCs w:val="20"/>
        </w:rPr>
        <w:t xml:space="preserve"> </w:t>
      </w:r>
      <w:r w:rsidR="00281DEE" w:rsidRPr="003B0B9D">
        <w:rPr>
          <w:sz w:val="20"/>
          <w:szCs w:val="20"/>
        </w:rPr>
        <w:t xml:space="preserve">larger than Pilinski’s 2%) and a mean determined </w:t>
      </w:r>
      <w:r>
        <w:rPr>
          <w:sz w:val="20"/>
          <w:szCs w:val="20"/>
        </w:rPr>
        <w:t xml:space="preserve">as described </w:t>
      </w:r>
      <w:r w:rsidR="00281DEE" w:rsidRPr="003B0B9D">
        <w:rPr>
          <w:sz w:val="20"/>
          <w:szCs w:val="20"/>
        </w:rPr>
        <w:t>above</w:t>
      </w:r>
      <w:r w:rsidR="001E042E">
        <w:rPr>
          <w:sz w:val="20"/>
          <w:szCs w:val="20"/>
        </w:rPr>
        <w:t xml:space="preserve">.  </w:t>
      </w:r>
      <w:r w:rsidR="00281DEE" w:rsidRPr="003B0B9D">
        <w:rPr>
          <w:sz w:val="20"/>
          <w:szCs w:val="20"/>
        </w:rPr>
        <w:t xml:space="preserve">This larger </w:t>
      </w:r>
      <w:r w:rsidR="001E042E">
        <w:rPr>
          <w:sz w:val="20"/>
          <w:szCs w:val="20"/>
        </w:rPr>
        <w:t>uncertainty</w:t>
      </w:r>
      <w:r w:rsidR="00281DEE" w:rsidRPr="003B0B9D">
        <w:rPr>
          <w:sz w:val="20"/>
          <w:szCs w:val="20"/>
        </w:rPr>
        <w:t xml:space="preserve"> is used so that a larger spread of </w:t>
      </w:r>
      <w:r w:rsidR="00281DEE" w:rsidRPr="003B0B9D">
        <w:rPr>
          <w:i/>
          <w:sz w:val="20"/>
          <w:szCs w:val="20"/>
        </w:rPr>
        <w:t>C</w:t>
      </w:r>
      <w:r w:rsidR="00281DEE" w:rsidRPr="003B0B9D">
        <w:rPr>
          <w:i/>
          <w:sz w:val="20"/>
          <w:szCs w:val="20"/>
          <w:vertAlign w:val="subscript"/>
        </w:rPr>
        <w:t>d</w:t>
      </w:r>
      <w:r w:rsidR="00281DEE" w:rsidRPr="003B0B9D">
        <w:rPr>
          <w:i/>
          <w:sz w:val="20"/>
          <w:szCs w:val="20"/>
        </w:rPr>
        <w:t xml:space="preserve"> </w:t>
      </w:r>
      <w:r w:rsidR="00281DEE" w:rsidRPr="003B0B9D">
        <w:rPr>
          <w:sz w:val="20"/>
          <w:szCs w:val="20"/>
        </w:rPr>
        <w:t>values may b</w:t>
      </w:r>
      <w:r w:rsidR="00390928">
        <w:rPr>
          <w:sz w:val="20"/>
          <w:szCs w:val="20"/>
        </w:rPr>
        <w:t>e examined for their effect on</w:t>
      </w:r>
      <w:r w:rsidR="00281DEE" w:rsidRPr="003B0B9D">
        <w:rPr>
          <w:sz w:val="20"/>
          <w:szCs w:val="20"/>
        </w:rPr>
        <w:t xml:space="preserve"> collision</w:t>
      </w:r>
      <w:r w:rsidR="003D3DD8">
        <w:rPr>
          <w:sz w:val="20"/>
          <w:szCs w:val="20"/>
        </w:rPr>
        <w:t xml:space="preserve"> consequence evaluation</w:t>
      </w:r>
      <w:r w:rsidR="00281DEE" w:rsidRPr="003B0B9D">
        <w:rPr>
          <w:sz w:val="20"/>
          <w:szCs w:val="20"/>
        </w:rPr>
        <w:t>.</w:t>
      </w:r>
    </w:p>
    <w:p w14:paraId="7EC9A8DD" w14:textId="77777777" w:rsidR="00281DEE" w:rsidRDefault="00281DEE" w:rsidP="00281DEE">
      <w:pPr>
        <w:pStyle w:val="Heading1"/>
      </w:pPr>
      <w:r>
        <w:t>Unknown Satellite Frontal Area Estimation Process</w:t>
      </w:r>
    </w:p>
    <w:p w14:paraId="7DCA1022" w14:textId="325BB335" w:rsidR="00FF2DAD" w:rsidRDefault="00281DEE" w:rsidP="00281DEE">
      <w:pPr>
        <w:pStyle w:val="Els-body-text"/>
        <w:tabs>
          <w:tab w:val="center" w:pos="5130"/>
          <w:tab w:val="right" w:pos="10260"/>
        </w:tabs>
        <w:spacing w:line="240" w:lineRule="auto"/>
        <w:ind w:firstLine="270"/>
        <w:rPr>
          <w:lang w:eastAsia="zh-CN"/>
        </w:rPr>
      </w:pPr>
      <w:r>
        <w:rPr>
          <w:lang w:eastAsia="zh-CN"/>
        </w:rPr>
        <w:t xml:space="preserve">The frontal area of the secondary object may be estimated using a relationship between the </w:t>
      </w:r>
      <w:r w:rsidR="005C5147">
        <w:rPr>
          <w:lang w:eastAsia="zh-CN"/>
        </w:rPr>
        <w:t xml:space="preserve">projected </w:t>
      </w:r>
      <w:r>
        <w:rPr>
          <w:lang w:eastAsia="zh-CN"/>
        </w:rPr>
        <w:t xml:space="preserve">area of the satellite and the object’s </w:t>
      </w:r>
      <w:r w:rsidR="005C5147">
        <w:rPr>
          <w:lang w:eastAsia="zh-CN"/>
        </w:rPr>
        <w:t>r</w:t>
      </w:r>
      <w:r>
        <w:rPr>
          <w:lang w:eastAsia="zh-CN"/>
        </w:rPr>
        <w:t xml:space="preserve">adar </w:t>
      </w:r>
      <w:r w:rsidR="005C5147">
        <w:rPr>
          <w:lang w:eastAsia="zh-CN"/>
        </w:rPr>
        <w:t>c</w:t>
      </w:r>
      <w:r>
        <w:rPr>
          <w:lang w:eastAsia="zh-CN"/>
        </w:rPr>
        <w:t xml:space="preserve">ross </w:t>
      </w:r>
      <w:r w:rsidR="005E50A4">
        <w:rPr>
          <w:lang w:eastAsia="zh-CN"/>
        </w:rPr>
        <w:t>s</w:t>
      </w:r>
      <w:r>
        <w:rPr>
          <w:lang w:eastAsia="zh-CN"/>
        </w:rPr>
        <w:t>ection (RCS)</w:t>
      </w:r>
      <w:r w:rsidR="005E50A4">
        <w:rPr>
          <w:lang w:eastAsia="zh-CN"/>
        </w:rPr>
        <w:t>.</w:t>
      </w:r>
      <w:r>
        <w:rPr>
          <w:lang w:eastAsia="zh-CN"/>
        </w:rPr>
        <w:t xml:space="preserve">  </w:t>
      </w:r>
      <w:r w:rsidR="005E50A4">
        <w:t>RCS characterizes the intensity of radar energy reflected during tracking observations</w:t>
      </w:r>
      <w:r w:rsidRPr="00CE127D">
        <w:rPr>
          <w:lang w:eastAsia="zh-CN"/>
        </w:rPr>
        <w:t xml:space="preserve"> </w:t>
      </w:r>
      <w:r>
        <w:rPr>
          <w:lang w:eastAsia="zh-CN"/>
        </w:rPr>
        <w:t xml:space="preserve">and is a solved-for variable in the radar range equation if the </w:t>
      </w:r>
      <w:r w:rsidR="005C5147">
        <w:rPr>
          <w:lang w:eastAsia="zh-CN"/>
        </w:rPr>
        <w:t>s</w:t>
      </w:r>
      <w:r>
        <w:rPr>
          <w:lang w:eastAsia="zh-CN"/>
        </w:rPr>
        <w:t>ignal</w:t>
      </w:r>
      <w:r w:rsidR="00BB45B4">
        <w:rPr>
          <w:lang w:eastAsia="zh-CN"/>
        </w:rPr>
        <w:t>-</w:t>
      </w:r>
      <w:r>
        <w:rPr>
          <w:lang w:eastAsia="zh-CN"/>
        </w:rPr>
        <w:t>to</w:t>
      </w:r>
      <w:r w:rsidR="00BB45B4">
        <w:rPr>
          <w:lang w:eastAsia="zh-CN"/>
        </w:rPr>
        <w:t>-</w:t>
      </w:r>
      <w:r w:rsidR="005C5147">
        <w:rPr>
          <w:lang w:eastAsia="zh-CN"/>
        </w:rPr>
        <w:t>n</w:t>
      </w:r>
      <w:r>
        <w:rPr>
          <w:lang w:eastAsia="zh-CN"/>
        </w:rPr>
        <w:t xml:space="preserve">oise </w:t>
      </w:r>
      <w:r w:rsidR="005C5147">
        <w:rPr>
          <w:lang w:eastAsia="zh-CN"/>
        </w:rPr>
        <w:t>r</w:t>
      </w:r>
      <w:r>
        <w:rPr>
          <w:lang w:eastAsia="zh-CN"/>
        </w:rPr>
        <w:t>atio and range are known.  Typically</w:t>
      </w:r>
      <w:r w:rsidR="00806529">
        <w:rPr>
          <w:lang w:eastAsia="zh-CN"/>
        </w:rPr>
        <w:t>,</w:t>
      </w:r>
      <w:r>
        <w:rPr>
          <w:lang w:eastAsia="zh-CN"/>
        </w:rPr>
        <w:t xml:space="preserve"> this is reported as the median RCS value, as the RCS distribution does not con</w:t>
      </w:r>
      <w:r w:rsidR="00FF2DAD">
        <w:rPr>
          <w:lang w:eastAsia="zh-CN"/>
        </w:rPr>
        <w:t>form to a normal distribution.</w:t>
      </w:r>
    </w:p>
    <w:p w14:paraId="00B00D70" w14:textId="77777777" w:rsidR="00FF2DAD" w:rsidRDefault="00FF2DAD" w:rsidP="00FF2DAD">
      <w:pPr>
        <w:pStyle w:val="Els-body-text"/>
        <w:tabs>
          <w:tab w:val="center" w:pos="5130"/>
        </w:tabs>
        <w:spacing w:line="240" w:lineRule="auto"/>
        <w:ind w:firstLine="270"/>
        <w:rPr>
          <w:lang w:eastAsia="zh-CN"/>
        </w:rPr>
      </w:pPr>
      <w:r>
        <w:rPr>
          <w:lang w:eastAsia="zh-CN"/>
        </w:rPr>
        <w:t>Although the</w:t>
      </w:r>
      <w:r w:rsidRPr="00707FBE">
        <w:rPr>
          <w:lang w:eastAsia="zh-CN"/>
        </w:rPr>
        <w:t xml:space="preserve"> </w:t>
      </w:r>
      <w:r>
        <w:rPr>
          <w:lang w:eastAsia="zh-CN"/>
        </w:rPr>
        <w:t>RCS value</w:t>
      </w:r>
      <w:r w:rsidRPr="00707FBE">
        <w:rPr>
          <w:lang w:eastAsia="zh-CN"/>
        </w:rPr>
        <w:t xml:space="preserve"> has units of area, it is not </w:t>
      </w:r>
      <w:r>
        <w:rPr>
          <w:lang w:eastAsia="zh-CN"/>
        </w:rPr>
        <w:t>a direct estimate</w:t>
      </w:r>
      <w:r w:rsidRPr="00707FBE">
        <w:rPr>
          <w:lang w:eastAsia="zh-CN"/>
        </w:rPr>
        <w:t xml:space="preserve"> of </w:t>
      </w:r>
      <w:r>
        <w:rPr>
          <w:lang w:eastAsia="zh-CN"/>
        </w:rPr>
        <w:t>a</w:t>
      </w:r>
      <w:r w:rsidRPr="00707FBE">
        <w:rPr>
          <w:lang w:eastAsia="zh-CN"/>
        </w:rPr>
        <w:t xml:space="preserve"> satellite</w:t>
      </w:r>
      <w:r>
        <w:rPr>
          <w:lang w:eastAsia="zh-CN"/>
        </w:rPr>
        <w:t>’s</w:t>
      </w:r>
      <w:r w:rsidRPr="00707FBE">
        <w:rPr>
          <w:lang w:eastAsia="zh-CN"/>
        </w:rPr>
        <w:t xml:space="preserve"> cross sectional area, </w:t>
      </w:r>
      <w:r>
        <w:rPr>
          <w:lang w:eastAsia="zh-CN"/>
        </w:rPr>
        <w:t xml:space="preserve">but can </w:t>
      </w:r>
      <w:r w:rsidRPr="00707FBE">
        <w:rPr>
          <w:lang w:eastAsia="zh-CN"/>
        </w:rPr>
        <w:t xml:space="preserve">be </w:t>
      </w:r>
      <w:r>
        <w:rPr>
          <w:lang w:eastAsia="zh-CN"/>
        </w:rPr>
        <w:t>used to estimate the distribution of an object’s characteristic size.  This is accomplished using the</w:t>
      </w:r>
      <w:r w:rsidRPr="00707FBE">
        <w:rPr>
          <w:lang w:eastAsia="zh-CN"/>
        </w:rPr>
        <w:t xml:space="preserve"> </w:t>
      </w:r>
      <w:r w:rsidRPr="00707FBE">
        <w:rPr>
          <w:lang w:eastAsia="zh-CN"/>
        </w:rPr>
        <w:lastRenderedPageBreak/>
        <w:t>ODPO</w:t>
      </w:r>
      <w:r>
        <w:rPr>
          <w:lang w:eastAsia="zh-CN"/>
        </w:rPr>
        <w:t>’s</w:t>
      </w:r>
      <w:r w:rsidRPr="00707FBE">
        <w:rPr>
          <w:lang w:eastAsia="zh-CN"/>
        </w:rPr>
        <w:t xml:space="preserve"> size estimation model (SEM)</w:t>
      </w:r>
      <w:r>
        <w:rPr>
          <w:lang w:eastAsia="zh-CN"/>
        </w:rPr>
        <w:t>,</w:t>
      </w:r>
      <w:r w:rsidRPr="00707FBE">
        <w:rPr>
          <w:lang w:eastAsia="zh-CN"/>
        </w:rPr>
        <w:t xml:space="preserve"> which was developed by fragmenting a sate</w:t>
      </w:r>
      <w:r>
        <w:rPr>
          <w:lang w:eastAsia="zh-CN"/>
        </w:rPr>
        <w:t>llite in a vacuum, measuring the</w:t>
      </w:r>
      <w:r w:rsidRPr="00707FBE">
        <w:rPr>
          <w:lang w:eastAsia="zh-CN"/>
        </w:rPr>
        <w:t xml:space="preserve"> characteristic dimension</w:t>
      </w:r>
      <w:r>
        <w:rPr>
          <w:lang w:eastAsia="zh-CN"/>
        </w:rPr>
        <w:t>s of the resulting fragments,</w:t>
      </w:r>
      <w:r w:rsidRPr="00707FBE">
        <w:rPr>
          <w:lang w:eastAsia="zh-CN"/>
        </w:rPr>
        <w:t xml:space="preserve"> and </w:t>
      </w:r>
      <w:r>
        <w:rPr>
          <w:lang w:eastAsia="zh-CN"/>
        </w:rPr>
        <w:t>correlating those to</w:t>
      </w:r>
      <w:r w:rsidRPr="00707FBE">
        <w:rPr>
          <w:lang w:eastAsia="zh-CN"/>
        </w:rPr>
        <w:t xml:space="preserve"> radar return</w:t>
      </w:r>
      <w:r>
        <w:rPr>
          <w:lang w:eastAsia="zh-CN"/>
        </w:rPr>
        <w:t>s</w:t>
      </w:r>
      <w:r w:rsidRPr="00707FBE">
        <w:rPr>
          <w:lang w:eastAsia="zh-CN"/>
        </w:rPr>
        <w:t xml:space="preserve"> when illuminate</w:t>
      </w:r>
      <w:r>
        <w:rPr>
          <w:lang w:eastAsia="zh-CN"/>
        </w:rPr>
        <w:t>d in all possible configurations.</w:t>
      </w:r>
      <w:r w:rsidRPr="001E042E">
        <w:rPr>
          <w:vertAlign w:val="superscript"/>
          <w:lang w:eastAsia="zh-CN"/>
        </w:rPr>
        <w:fldChar w:fldCharType="begin"/>
      </w:r>
      <w:r w:rsidRPr="001E042E">
        <w:rPr>
          <w:vertAlign w:val="superscript"/>
          <w:lang w:eastAsia="zh-CN"/>
        </w:rPr>
        <w:instrText xml:space="preserve"> NOTEREF _Ref8814677 \h </w:instrText>
      </w:r>
      <w:r>
        <w:rPr>
          <w:vertAlign w:val="superscript"/>
          <w:lang w:eastAsia="zh-CN"/>
        </w:rPr>
        <w:instrText xml:space="preserve"> \* MERGEFORMAT </w:instrText>
      </w:r>
      <w:r w:rsidRPr="001E042E">
        <w:rPr>
          <w:vertAlign w:val="superscript"/>
          <w:lang w:eastAsia="zh-CN"/>
        </w:rPr>
      </w:r>
      <w:r w:rsidRPr="001E042E">
        <w:rPr>
          <w:vertAlign w:val="superscript"/>
          <w:lang w:eastAsia="zh-CN"/>
        </w:rPr>
        <w:fldChar w:fldCharType="separate"/>
      </w:r>
      <w:r w:rsidR="00D82D51">
        <w:rPr>
          <w:vertAlign w:val="superscript"/>
          <w:lang w:eastAsia="zh-CN"/>
        </w:rPr>
        <w:t>5</w:t>
      </w:r>
      <w:r w:rsidRPr="001E042E">
        <w:rPr>
          <w:vertAlign w:val="superscript"/>
          <w:lang w:eastAsia="zh-CN"/>
        </w:rPr>
        <w:fldChar w:fldCharType="end"/>
      </w:r>
      <w:r>
        <w:rPr>
          <w:lang w:eastAsia="zh-CN"/>
        </w:rPr>
        <w:t xml:space="preserve">  Radar theory allows</w:t>
      </w:r>
      <w:r w:rsidRPr="00707FBE">
        <w:rPr>
          <w:lang w:eastAsia="zh-CN"/>
        </w:rPr>
        <w:t xml:space="preserve"> a dimensionless relationship to be established between an object’s characteristic length (normalized by the radar wavelength) and the object’s RCS (normalized by the square of the radar wavelength)</w:t>
      </w:r>
      <w:r>
        <w:rPr>
          <w:lang w:eastAsia="zh-CN"/>
        </w:rPr>
        <w:t xml:space="preserve">.  </w:t>
      </w:r>
    </w:p>
    <w:p w14:paraId="192A15BA" w14:textId="4BD9E196" w:rsidR="00281DEE" w:rsidRDefault="00281DEE" w:rsidP="00281DEE">
      <w:pPr>
        <w:pStyle w:val="Els-body-text"/>
        <w:tabs>
          <w:tab w:val="center" w:pos="5130"/>
          <w:tab w:val="right" w:pos="10260"/>
        </w:tabs>
        <w:spacing w:line="240" w:lineRule="auto"/>
        <w:ind w:firstLine="270"/>
      </w:pPr>
      <w:r w:rsidRPr="00CE127D">
        <w:rPr>
          <w:lang w:eastAsia="zh-CN"/>
        </w:rPr>
        <w:t>If the wavelength of the observing radar is known, the characteristic length</w:t>
      </w:r>
      <w:r w:rsidR="000C6A7B">
        <w:rPr>
          <w:lang w:eastAsia="zh-CN"/>
        </w:rPr>
        <w:t xml:space="preserve">, </w:t>
      </w:r>
      <w:r w:rsidR="000C6A7B" w:rsidRPr="00FC2C0B">
        <w:rPr>
          <w:i/>
          <w:lang w:eastAsia="zh-CN"/>
        </w:rPr>
        <w:t>L</w:t>
      </w:r>
      <w:r w:rsidR="000C6A7B" w:rsidRPr="00FC2C0B">
        <w:rPr>
          <w:i/>
          <w:vertAlign w:val="subscript"/>
          <w:lang w:eastAsia="zh-CN"/>
        </w:rPr>
        <w:t>c</w:t>
      </w:r>
      <w:r w:rsidR="000C6A7B">
        <w:rPr>
          <w:lang w:eastAsia="zh-CN"/>
        </w:rPr>
        <w:t>,</w:t>
      </w:r>
      <w:r w:rsidRPr="00CE127D">
        <w:rPr>
          <w:lang w:eastAsia="zh-CN"/>
        </w:rPr>
        <w:t xml:space="preserve"> of the object may be </w:t>
      </w:r>
      <w:r w:rsidR="005E50A4">
        <w:rPr>
          <w:lang w:eastAsia="zh-CN"/>
        </w:rPr>
        <w:t xml:space="preserve">roughly </w:t>
      </w:r>
      <w:r w:rsidRPr="00CE127D">
        <w:rPr>
          <w:lang w:eastAsia="zh-CN"/>
        </w:rPr>
        <w:t xml:space="preserve">estimated using the median RCS </w:t>
      </w:r>
      <w:r>
        <w:rPr>
          <w:lang w:eastAsia="zh-CN"/>
        </w:rPr>
        <w:t xml:space="preserve">(a value that is made available from the </w:t>
      </w:r>
      <w:r w:rsidR="005E50A4">
        <w:t>18</w:t>
      </w:r>
      <w:r w:rsidR="005E50A4" w:rsidRPr="00EA6C5C">
        <w:rPr>
          <w:vertAlign w:val="superscript"/>
        </w:rPr>
        <w:t>th</w:t>
      </w:r>
      <w:r w:rsidR="005E50A4">
        <w:t xml:space="preserve"> Space Control Squadron at the Combined Space Operations Center (CSpOC)</w:t>
      </w:r>
      <w:r>
        <w:rPr>
          <w:lang w:eastAsia="zh-CN"/>
        </w:rPr>
        <w:t xml:space="preserve">, for example).  </w:t>
      </w:r>
      <w:r w:rsidR="00696939">
        <w:rPr>
          <w:lang w:eastAsia="zh-CN"/>
        </w:rPr>
        <w:t xml:space="preserve">The uncertainty distribution for </w:t>
      </w:r>
      <w:r w:rsidR="00696939" w:rsidRPr="00FC2C0B">
        <w:rPr>
          <w:i/>
          <w:lang w:eastAsia="zh-CN"/>
        </w:rPr>
        <w:t>L</w:t>
      </w:r>
      <w:r w:rsidR="00696939" w:rsidRPr="00FC2C0B">
        <w:rPr>
          <w:i/>
          <w:vertAlign w:val="subscript"/>
          <w:lang w:eastAsia="zh-CN"/>
        </w:rPr>
        <w:t>c</w:t>
      </w:r>
      <w:r w:rsidR="00696939">
        <w:rPr>
          <w:lang w:eastAsia="zh-CN"/>
        </w:rPr>
        <w:t xml:space="preserve"> can be characterized using</w:t>
      </w:r>
      <w:r w:rsidR="00ED3BC1">
        <w:rPr>
          <w:lang w:eastAsia="zh-CN"/>
        </w:rPr>
        <w:t xml:space="preserve"> the</w:t>
      </w:r>
      <w:r w:rsidRPr="00F60E5A">
        <w:rPr>
          <w:lang w:eastAsia="zh-CN"/>
        </w:rPr>
        <w:t xml:space="preserve"> NASA ODPO </w:t>
      </w:r>
      <w:r w:rsidR="001E042E">
        <w:rPr>
          <w:lang w:eastAsia="zh-CN"/>
        </w:rPr>
        <w:t xml:space="preserve">size estimation </w:t>
      </w:r>
      <w:r w:rsidRPr="00F60E5A">
        <w:rPr>
          <w:lang w:eastAsia="zh-CN"/>
        </w:rPr>
        <w:t xml:space="preserve">model </w:t>
      </w:r>
      <w:r w:rsidR="001E042E">
        <w:rPr>
          <w:lang w:eastAsia="zh-CN"/>
        </w:rPr>
        <w:t>(SEM)</w:t>
      </w:r>
      <w:r w:rsidR="008D6A30">
        <w:rPr>
          <w:rStyle w:val="EndnoteReference"/>
          <w:lang w:eastAsia="zh-CN"/>
        </w:rPr>
        <w:endnoteReference w:id="9"/>
      </w:r>
      <w:r w:rsidR="00943BE0">
        <w:rPr>
          <w:lang w:eastAsia="zh-CN"/>
        </w:rPr>
        <w:t>,</w:t>
      </w:r>
      <w:r w:rsidR="001E042E">
        <w:rPr>
          <w:lang w:eastAsia="zh-CN"/>
        </w:rPr>
        <w:t xml:space="preserve"> </w:t>
      </w:r>
      <w:r w:rsidR="00861A3C">
        <w:rPr>
          <w:lang w:eastAsia="zh-CN"/>
        </w:rPr>
        <w:t>which uses a</w:t>
      </w:r>
      <w:r w:rsidRPr="00F60E5A">
        <w:rPr>
          <w:lang w:eastAsia="zh-CN"/>
        </w:rPr>
        <w:t xml:space="preserve"> distribution of RCS values </w:t>
      </w:r>
      <w:r w:rsidR="00861A3C">
        <w:rPr>
          <w:lang w:eastAsia="zh-CN"/>
        </w:rPr>
        <w:t>to</w:t>
      </w:r>
      <w:r w:rsidR="00861A3C" w:rsidRPr="00F60E5A">
        <w:rPr>
          <w:lang w:eastAsia="zh-CN"/>
        </w:rPr>
        <w:t xml:space="preserve"> </w:t>
      </w:r>
      <w:r w:rsidRPr="00F60E5A">
        <w:rPr>
          <w:lang w:eastAsia="zh-CN"/>
        </w:rPr>
        <w:t xml:space="preserve">produce a </w:t>
      </w:r>
      <w:r w:rsidR="00861A3C">
        <w:rPr>
          <w:lang w:eastAsia="zh-CN"/>
        </w:rPr>
        <w:t xml:space="preserve">corresponding </w:t>
      </w:r>
      <w:r w:rsidRPr="00F60E5A">
        <w:rPr>
          <w:lang w:eastAsia="zh-CN"/>
        </w:rPr>
        <w:t xml:space="preserve">distribution of characteristic lengths.  </w:t>
      </w:r>
      <w:r>
        <w:rPr>
          <w:lang w:eastAsia="zh-CN"/>
        </w:rPr>
        <w:t>This study</w:t>
      </w:r>
      <w:r w:rsidRPr="00F60E5A">
        <w:rPr>
          <w:lang w:eastAsia="zh-CN"/>
        </w:rPr>
        <w:t xml:space="preserve"> approximat</w:t>
      </w:r>
      <w:r>
        <w:rPr>
          <w:lang w:eastAsia="zh-CN"/>
        </w:rPr>
        <w:t>es</w:t>
      </w:r>
      <w:r w:rsidRPr="00F60E5A">
        <w:rPr>
          <w:lang w:eastAsia="zh-CN"/>
        </w:rPr>
        <w:t xml:space="preserve"> the distribution of RCS values as a Swerling III, grounded by a single </w:t>
      </w:r>
      <w:r>
        <w:rPr>
          <w:lang w:eastAsia="zh-CN"/>
        </w:rPr>
        <w:t xml:space="preserve">shape parameter that can be derived from the RCS </w:t>
      </w:r>
      <w:r w:rsidRPr="00F60E5A">
        <w:rPr>
          <w:lang w:eastAsia="zh-CN"/>
        </w:rPr>
        <w:t>median value</w:t>
      </w:r>
      <w:r>
        <w:rPr>
          <w:lang w:eastAsia="zh-CN"/>
        </w:rPr>
        <w:t xml:space="preserve">.  While this methodology is </w:t>
      </w:r>
      <w:r w:rsidRPr="00F60E5A">
        <w:rPr>
          <w:lang w:eastAsia="zh-CN"/>
        </w:rPr>
        <w:t xml:space="preserve">not an </w:t>
      </w:r>
      <w:r>
        <w:rPr>
          <w:lang w:eastAsia="zh-CN"/>
        </w:rPr>
        <w:t>ideal</w:t>
      </w:r>
      <w:r w:rsidRPr="00F60E5A">
        <w:rPr>
          <w:lang w:eastAsia="zh-CN"/>
        </w:rPr>
        <w:t xml:space="preserve"> </w:t>
      </w:r>
      <w:r w:rsidR="00943BE0">
        <w:rPr>
          <w:lang w:eastAsia="zh-CN"/>
        </w:rPr>
        <w:t xml:space="preserve">characterization of </w:t>
      </w:r>
      <w:r w:rsidRPr="00F60E5A">
        <w:rPr>
          <w:lang w:eastAsia="zh-CN"/>
        </w:rPr>
        <w:t xml:space="preserve">RCS distributions, it </w:t>
      </w:r>
      <w:r>
        <w:rPr>
          <w:lang w:eastAsia="zh-CN"/>
        </w:rPr>
        <w:t>outperforms</w:t>
      </w:r>
      <w:r w:rsidRPr="00F60E5A">
        <w:rPr>
          <w:lang w:eastAsia="zh-CN"/>
        </w:rPr>
        <w:t xml:space="preserve"> most other choices</w:t>
      </w:r>
      <w:r>
        <w:rPr>
          <w:lang w:eastAsia="zh-CN"/>
        </w:rPr>
        <w:t>, as pre</w:t>
      </w:r>
      <w:r w:rsidR="00E8607C">
        <w:rPr>
          <w:lang w:eastAsia="zh-CN"/>
        </w:rPr>
        <w:t>sented by Hejduk and DePalma</w:t>
      </w:r>
      <w:r w:rsidR="00E8607C">
        <w:rPr>
          <w:rStyle w:val="EndnoteReference"/>
          <w:lang w:eastAsia="zh-CN"/>
        </w:rPr>
        <w:endnoteReference w:id="10"/>
      </w:r>
      <w:r>
        <w:rPr>
          <w:lang w:eastAsia="zh-CN"/>
        </w:rPr>
        <w:t xml:space="preserve">.This approach </w:t>
      </w:r>
      <w:r>
        <w:t xml:space="preserve">improves upon previous work, which used a less robust method of </w:t>
      </w:r>
      <w:r w:rsidR="00861A3C">
        <w:t xml:space="preserve">approximating </w:t>
      </w:r>
      <w:r>
        <w:t xml:space="preserve">the RCS distribution </w:t>
      </w:r>
      <w:r w:rsidR="004C3179">
        <w:t>as</w:t>
      </w:r>
      <w:r>
        <w:t xml:space="preserve"> a sum of two distributions.  Using this Swerling III distribution, a large set of samples representing the secondary object RCS are generated for use in the mass estimation process.  </w:t>
      </w:r>
    </w:p>
    <w:p w14:paraId="00F23674" w14:textId="77777777" w:rsidR="00281DEE" w:rsidRDefault="00281DEE" w:rsidP="00DC28DE">
      <w:pPr>
        <w:pStyle w:val="Els-body-text"/>
        <w:tabs>
          <w:tab w:val="center" w:pos="5130"/>
        </w:tabs>
        <w:spacing w:line="240" w:lineRule="auto"/>
        <w:ind w:firstLine="270"/>
      </w:pPr>
      <w:r w:rsidRPr="00707FBE">
        <w:rPr>
          <w:lang w:eastAsia="zh-CN"/>
        </w:rPr>
        <w:t>This process provides a method by which the characteristic length may be determined if the</w:t>
      </w:r>
      <w:r>
        <w:rPr>
          <w:lang w:eastAsia="zh-CN"/>
        </w:rPr>
        <w:t xml:space="preserve"> RCS and the tracking</w:t>
      </w:r>
      <w:r w:rsidRPr="00707FBE">
        <w:rPr>
          <w:lang w:eastAsia="zh-CN"/>
        </w:rPr>
        <w:t xml:space="preserve"> radar</w:t>
      </w:r>
      <w:r>
        <w:rPr>
          <w:lang w:eastAsia="zh-CN"/>
        </w:rPr>
        <w:t>’s</w:t>
      </w:r>
      <w:r w:rsidRPr="00707FBE">
        <w:rPr>
          <w:lang w:eastAsia="zh-CN"/>
        </w:rPr>
        <w:t xml:space="preserve"> wavelength or frequency is known</w:t>
      </w:r>
      <w:r>
        <w:rPr>
          <w:lang w:eastAsia="zh-CN"/>
        </w:rPr>
        <w:t>;</w:t>
      </w:r>
      <w:r w:rsidRPr="00707FBE">
        <w:rPr>
          <w:lang w:eastAsia="zh-CN"/>
        </w:rPr>
        <w:t xml:space="preserve"> if not,</w:t>
      </w:r>
      <w:r>
        <w:rPr>
          <w:lang w:eastAsia="zh-CN"/>
        </w:rPr>
        <w:t xml:space="preserve"> </w:t>
      </w:r>
      <w:r>
        <w:t>a good approximation of a generic radar may be established using radar frequencies of either UHF (~430MHz) or L-Band (~1200MHz), depending on object RCS value.  The characteristic length distribution of the secondary object is then used to approximate a distribution of estimates of the satellite frontal area:</w:t>
      </w:r>
    </w:p>
    <w:p w14:paraId="671FAB86" w14:textId="77777777" w:rsidR="00281DEE" w:rsidRDefault="00281DEE" w:rsidP="00281DEE">
      <w:pPr>
        <w:pStyle w:val="Els-body-text"/>
        <w:tabs>
          <w:tab w:val="center" w:pos="5130"/>
          <w:tab w:val="right" w:pos="10260"/>
        </w:tabs>
        <w:spacing w:line="240" w:lineRule="auto"/>
        <w:ind w:firstLine="270"/>
      </w:pPr>
    </w:p>
    <w:p w14:paraId="4504140A" w14:textId="77777777" w:rsidR="00281DEE" w:rsidRDefault="00281DEE" w:rsidP="00DC28DE">
      <w:pPr>
        <w:pStyle w:val="Els-body-text"/>
        <w:tabs>
          <w:tab w:val="center" w:pos="4320"/>
          <w:tab w:val="right" w:pos="8640"/>
        </w:tabs>
        <w:spacing w:line="240" w:lineRule="auto"/>
        <w:ind w:firstLine="270"/>
      </w:pPr>
      <w:r>
        <w:tab/>
      </w:r>
      <m:oMath>
        <m:r>
          <w:rPr>
            <w:rFonts w:ascii="Cambria Math" w:hAnsi="Cambria Math"/>
          </w:rPr>
          <m:t>A=</m:t>
        </m:r>
        <m:f>
          <m:fPr>
            <m:ctrlPr>
              <w:rPr>
                <w:rFonts w:ascii="Cambria Math" w:hAnsi="Cambria Math"/>
                <w:i/>
              </w:rPr>
            </m:ctrlPr>
          </m:fPr>
          <m:num>
            <m:r>
              <w:rPr>
                <w:rFonts w:ascii="Cambria Math" w:hAnsi="Cambria Math"/>
              </w:rPr>
              <m:t>π</m:t>
            </m:r>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2</m:t>
                </m:r>
              </m:sup>
            </m:sSubSup>
          </m:num>
          <m:den>
            <m:r>
              <w:rPr>
                <w:rFonts w:ascii="Cambria Math" w:hAnsi="Cambria Math"/>
              </w:rPr>
              <m:t>4</m:t>
            </m:r>
          </m:den>
        </m:f>
      </m:oMath>
      <w:r>
        <w:tab/>
        <w:t>(6)</w:t>
      </w:r>
    </w:p>
    <w:p w14:paraId="48819933" w14:textId="77777777" w:rsidR="00281DEE" w:rsidRDefault="00281DEE" w:rsidP="00281DEE">
      <w:pPr>
        <w:pStyle w:val="Els-body-text"/>
        <w:tabs>
          <w:tab w:val="center" w:pos="5130"/>
          <w:tab w:val="right" w:pos="10260"/>
        </w:tabs>
        <w:spacing w:line="240" w:lineRule="auto"/>
        <w:ind w:firstLine="270"/>
        <w:rPr>
          <w:lang w:eastAsia="zh-CN"/>
        </w:rPr>
      </w:pPr>
    </w:p>
    <w:p w14:paraId="2EDF2400" w14:textId="77777777" w:rsidR="00281DEE" w:rsidRDefault="00281DEE" w:rsidP="00281DEE">
      <w:pPr>
        <w:pStyle w:val="Heading1"/>
      </w:pPr>
      <w:r>
        <w:t>Satellite Size Validation Method</w:t>
      </w:r>
    </w:p>
    <w:p w14:paraId="4174F21C" w14:textId="77777777" w:rsidR="00F06BE4" w:rsidRDefault="00F06BE4" w:rsidP="00F06BE4">
      <w:pPr>
        <w:pStyle w:val="Sub-Section"/>
      </w:pPr>
      <w:r>
        <w:t>NaK Spheres</w:t>
      </w:r>
    </w:p>
    <w:p w14:paraId="3E78FB68" w14:textId="39B8F29E" w:rsidR="00F06BE4" w:rsidRDefault="00F06BE4" w:rsidP="00F06BE4">
      <w:pPr>
        <w:rPr>
          <w:sz w:val="20"/>
          <w:szCs w:val="20"/>
        </w:rPr>
      </w:pPr>
      <w:r w:rsidRPr="00F06BE4">
        <w:rPr>
          <w:sz w:val="20"/>
          <w:szCs w:val="20"/>
        </w:rPr>
        <w:t xml:space="preserve">As a follow-up to previous validation efforts by Hejduk </w:t>
      </w:r>
      <w:r w:rsidRPr="00FF2DAD">
        <w:rPr>
          <w:i/>
          <w:sz w:val="20"/>
          <w:szCs w:val="20"/>
        </w:rPr>
        <w:t>et. al.</w:t>
      </w:r>
      <w:r w:rsidRPr="00F06BE4">
        <w:rPr>
          <w:sz w:val="20"/>
          <w:szCs w:val="20"/>
          <w:vertAlign w:val="superscript"/>
        </w:rPr>
        <w:fldChar w:fldCharType="begin"/>
      </w:r>
      <w:r w:rsidRPr="00F06BE4">
        <w:rPr>
          <w:sz w:val="20"/>
          <w:szCs w:val="20"/>
          <w:vertAlign w:val="superscript"/>
        </w:rPr>
        <w:instrText xml:space="preserve"> NOTEREF _Ref8647169 \h  \* MERGEFORMAT </w:instrText>
      </w:r>
      <w:r w:rsidRPr="00F06BE4">
        <w:rPr>
          <w:sz w:val="20"/>
          <w:szCs w:val="20"/>
          <w:vertAlign w:val="superscript"/>
        </w:rPr>
      </w:r>
      <w:r w:rsidRPr="00F06BE4">
        <w:rPr>
          <w:sz w:val="20"/>
          <w:szCs w:val="20"/>
          <w:vertAlign w:val="superscript"/>
        </w:rPr>
        <w:fldChar w:fldCharType="separate"/>
      </w:r>
      <w:r w:rsidR="00D82D51">
        <w:rPr>
          <w:sz w:val="20"/>
          <w:szCs w:val="20"/>
          <w:vertAlign w:val="superscript"/>
        </w:rPr>
        <w:t>3</w:t>
      </w:r>
      <w:r w:rsidRPr="00F06BE4">
        <w:rPr>
          <w:sz w:val="20"/>
          <w:szCs w:val="20"/>
          <w:vertAlign w:val="superscript"/>
        </w:rPr>
        <w:fldChar w:fldCharType="end"/>
      </w:r>
      <w:r w:rsidRPr="00F06BE4">
        <w:rPr>
          <w:sz w:val="20"/>
          <w:szCs w:val="20"/>
        </w:rPr>
        <w:t xml:space="preserve">, 24 NaK </w:t>
      </w:r>
      <w:r w:rsidR="00264303">
        <w:rPr>
          <w:sz w:val="20"/>
          <w:szCs w:val="20"/>
        </w:rPr>
        <w:t xml:space="preserve">liquid-droplet </w:t>
      </w:r>
      <w:r w:rsidRPr="00F06BE4">
        <w:rPr>
          <w:sz w:val="20"/>
          <w:szCs w:val="20"/>
        </w:rPr>
        <w:t xml:space="preserve">spheres were examined using this updated mass estimation methodology.  </w:t>
      </w:r>
      <w:r w:rsidR="00202ABF">
        <w:rPr>
          <w:sz w:val="20"/>
          <w:szCs w:val="20"/>
        </w:rPr>
        <w:t>Specific characteristics of the spheres used in prior analyses was obtained through direct contact with the author. These characteristics included:</w:t>
      </w:r>
    </w:p>
    <w:p w14:paraId="42519973" w14:textId="77777777" w:rsidR="00202ABF" w:rsidRDefault="00202ABF" w:rsidP="00202ABF">
      <w:pPr>
        <w:pStyle w:val="ListParagraph"/>
        <w:numPr>
          <w:ilvl w:val="0"/>
          <w:numId w:val="21"/>
        </w:numPr>
        <w:rPr>
          <w:sz w:val="20"/>
          <w:szCs w:val="20"/>
        </w:rPr>
      </w:pPr>
      <w:r>
        <w:rPr>
          <w:sz w:val="20"/>
          <w:szCs w:val="20"/>
        </w:rPr>
        <w:t>Object Designator</w:t>
      </w:r>
    </w:p>
    <w:p w14:paraId="4F78B45B" w14:textId="77777777" w:rsidR="00202ABF" w:rsidRDefault="00202ABF" w:rsidP="00202ABF">
      <w:pPr>
        <w:pStyle w:val="ListParagraph"/>
        <w:numPr>
          <w:ilvl w:val="0"/>
          <w:numId w:val="21"/>
        </w:numPr>
        <w:rPr>
          <w:sz w:val="20"/>
          <w:szCs w:val="20"/>
        </w:rPr>
      </w:pPr>
      <w:r>
        <w:rPr>
          <w:sz w:val="20"/>
          <w:szCs w:val="20"/>
        </w:rPr>
        <w:t>Median RCS</w:t>
      </w:r>
    </w:p>
    <w:p w14:paraId="64ABF042" w14:textId="77777777" w:rsidR="00202ABF" w:rsidRDefault="00202ABF" w:rsidP="00202ABF">
      <w:pPr>
        <w:pStyle w:val="ListParagraph"/>
        <w:numPr>
          <w:ilvl w:val="0"/>
          <w:numId w:val="21"/>
        </w:numPr>
        <w:rPr>
          <w:sz w:val="20"/>
          <w:szCs w:val="20"/>
        </w:rPr>
      </w:pPr>
      <w:r>
        <w:rPr>
          <w:sz w:val="20"/>
          <w:szCs w:val="20"/>
        </w:rPr>
        <w:t>Calculated Diameter</w:t>
      </w:r>
    </w:p>
    <w:p w14:paraId="332CEEB7" w14:textId="77777777" w:rsidR="00202ABF" w:rsidRDefault="00202ABF" w:rsidP="00202ABF">
      <w:pPr>
        <w:pStyle w:val="ListParagraph"/>
        <w:numPr>
          <w:ilvl w:val="0"/>
          <w:numId w:val="21"/>
        </w:numPr>
        <w:rPr>
          <w:sz w:val="20"/>
          <w:szCs w:val="20"/>
        </w:rPr>
      </w:pPr>
      <w:r>
        <w:rPr>
          <w:sz w:val="20"/>
          <w:szCs w:val="20"/>
        </w:rPr>
        <w:t>Error Estimate in Diameter</w:t>
      </w:r>
    </w:p>
    <w:p w14:paraId="5DCEBB0B" w14:textId="5D7703DD" w:rsidR="00202ABF" w:rsidRPr="00B61AF2" w:rsidRDefault="00B61AF2" w:rsidP="00202ABF">
      <w:pPr>
        <w:rPr>
          <w:sz w:val="20"/>
          <w:szCs w:val="20"/>
        </w:rPr>
      </w:pPr>
      <w:r>
        <w:rPr>
          <w:sz w:val="20"/>
          <w:szCs w:val="20"/>
        </w:rPr>
        <w:t xml:space="preserve">From this data, and the knowledge that the objects are spheres, the additional inputs to the mass estimation process could be retrieved.  For the NaK spheres, a </w:t>
      </w:r>
      <w:r w:rsidRPr="00FF2DAD">
        <w:rPr>
          <w:i/>
          <w:sz w:val="20"/>
          <w:szCs w:val="20"/>
        </w:rPr>
        <w:t>C</w:t>
      </w:r>
      <w:r w:rsidRPr="00FF2DAD">
        <w:rPr>
          <w:i/>
          <w:sz w:val="20"/>
          <w:szCs w:val="20"/>
          <w:vertAlign w:val="subscript"/>
        </w:rPr>
        <w:t>d</w:t>
      </w:r>
      <w:r>
        <w:rPr>
          <w:sz w:val="20"/>
          <w:szCs w:val="20"/>
        </w:rPr>
        <w:t xml:space="preserve"> of 2.1 was used as corresponds to spherical objects</w:t>
      </w:r>
      <w:r w:rsidR="00212BD6">
        <w:rPr>
          <w:sz w:val="20"/>
          <w:szCs w:val="20"/>
        </w:rPr>
        <w:t>, along</w:t>
      </w:r>
      <w:r>
        <w:rPr>
          <w:sz w:val="20"/>
          <w:szCs w:val="20"/>
        </w:rPr>
        <w:t xml:space="preserve"> with a relative 5% uncertainty applied for sampling purposes.  The ballistic coefficients for these objects and their associated uncertainties </w:t>
      </w:r>
      <w:r w:rsidRPr="00B61AF2">
        <w:rPr>
          <w:sz w:val="20"/>
          <w:szCs w:val="20"/>
        </w:rPr>
        <w:t xml:space="preserve">were retrieved from </w:t>
      </w:r>
      <w:r w:rsidRPr="00B61AF2">
        <w:rPr>
          <w:sz w:val="20"/>
          <w:szCs w:val="20"/>
          <w:lang w:eastAsia="zh-CN"/>
        </w:rPr>
        <w:t>relevant Conjunction Data Messages (CDMs) pertaining to these objects</w:t>
      </w:r>
      <w:r>
        <w:rPr>
          <w:sz w:val="20"/>
          <w:szCs w:val="20"/>
          <w:lang w:eastAsia="zh-CN"/>
        </w:rPr>
        <w:t>.  Finally</w:t>
      </w:r>
      <w:r w:rsidR="00264303">
        <w:rPr>
          <w:sz w:val="20"/>
          <w:szCs w:val="20"/>
          <w:lang w:eastAsia="zh-CN"/>
        </w:rPr>
        <w:t>,</w:t>
      </w:r>
      <w:r>
        <w:rPr>
          <w:sz w:val="20"/>
          <w:szCs w:val="20"/>
          <w:lang w:eastAsia="zh-CN"/>
        </w:rPr>
        <w:t xml:space="preserve"> the mass of these droplets was calculated using the prescribed diameters of these objects in conjunction with the density given for NaK droplets at altitude as given in Krisko</w:t>
      </w:r>
      <w:r w:rsidR="00FF2DAD">
        <w:rPr>
          <w:sz w:val="20"/>
          <w:szCs w:val="20"/>
          <w:lang w:eastAsia="zh-CN"/>
        </w:rPr>
        <w:t>:</w:t>
      </w:r>
      <w:r>
        <w:rPr>
          <w:rStyle w:val="EndnoteReference"/>
          <w:sz w:val="20"/>
          <w:szCs w:val="20"/>
          <w:lang w:eastAsia="zh-CN"/>
        </w:rPr>
        <w:endnoteReference w:id="11"/>
      </w:r>
      <w:r w:rsidR="003B0B9D">
        <w:rPr>
          <w:sz w:val="20"/>
          <w:szCs w:val="20"/>
          <w:lang w:eastAsia="zh-CN"/>
        </w:rPr>
        <w:t xml:space="preserve"> 0.9 g/cc.  Estimated NaK sphere masses were then compared to </w:t>
      </w:r>
      <w:r w:rsidR="001E042E">
        <w:rPr>
          <w:sz w:val="20"/>
          <w:szCs w:val="20"/>
          <w:lang w:eastAsia="zh-CN"/>
        </w:rPr>
        <w:t xml:space="preserve">the </w:t>
      </w:r>
      <w:r w:rsidR="003B0B9D">
        <w:rPr>
          <w:sz w:val="20"/>
          <w:szCs w:val="20"/>
          <w:lang w:eastAsia="zh-CN"/>
        </w:rPr>
        <w:t>calculated masses.</w:t>
      </w:r>
    </w:p>
    <w:p w14:paraId="5EEA89A8" w14:textId="77777777" w:rsidR="00F06BE4" w:rsidRPr="00F06BE4" w:rsidRDefault="00F06BE4" w:rsidP="00F06BE4">
      <w:pPr>
        <w:pStyle w:val="Sub-Section"/>
      </w:pPr>
      <w:r>
        <w:t>N</w:t>
      </w:r>
      <w:r w:rsidR="006E3C95">
        <w:t>anos</w:t>
      </w:r>
      <w:r>
        <w:t>atellites</w:t>
      </w:r>
    </w:p>
    <w:p w14:paraId="66AFEB1D" w14:textId="6DBFCD0A" w:rsidR="00281DEE" w:rsidRDefault="00281DEE" w:rsidP="00281DEE">
      <w:pPr>
        <w:pStyle w:val="Els-body-text"/>
        <w:tabs>
          <w:tab w:val="center" w:pos="5130"/>
          <w:tab w:val="right" w:pos="10260"/>
        </w:tabs>
        <w:spacing w:line="240" w:lineRule="auto"/>
        <w:ind w:firstLine="270"/>
        <w:rPr>
          <w:lang w:eastAsia="zh-CN"/>
        </w:rPr>
      </w:pPr>
      <w:r w:rsidRPr="000F7B96">
        <w:rPr>
          <w:lang w:eastAsia="zh-CN"/>
        </w:rPr>
        <w:t xml:space="preserve">To validate this </w:t>
      </w:r>
      <w:r w:rsidR="00F06BE4">
        <w:rPr>
          <w:lang w:eastAsia="zh-CN"/>
        </w:rPr>
        <w:t xml:space="preserve">mass estimation </w:t>
      </w:r>
      <w:r w:rsidRPr="000F7B96">
        <w:rPr>
          <w:lang w:eastAsia="zh-CN"/>
        </w:rPr>
        <w:t>approach</w:t>
      </w:r>
      <w:r w:rsidR="00264303">
        <w:rPr>
          <w:lang w:eastAsia="zh-CN"/>
        </w:rPr>
        <w:t>,</w:t>
      </w:r>
      <w:r w:rsidRPr="000F7B96">
        <w:rPr>
          <w:lang w:eastAsia="zh-CN"/>
        </w:rPr>
        <w:t xml:space="preserve"> a large set of </w:t>
      </w:r>
      <w:r w:rsidR="006E3C95">
        <w:rPr>
          <w:lang w:eastAsia="zh-CN"/>
        </w:rPr>
        <w:t>nanosatellites</w:t>
      </w:r>
      <w:r w:rsidRPr="000F7B96">
        <w:rPr>
          <w:lang w:eastAsia="zh-CN"/>
        </w:rPr>
        <w:t xml:space="preserve"> </w:t>
      </w:r>
      <w:r w:rsidR="00264303">
        <w:rPr>
          <w:lang w:eastAsia="zh-CN"/>
        </w:rPr>
        <w:t>spanning</w:t>
      </w:r>
      <w:r w:rsidR="00264303" w:rsidRPr="000F7B96">
        <w:rPr>
          <w:lang w:eastAsia="zh-CN"/>
        </w:rPr>
        <w:t xml:space="preserve"> </w:t>
      </w:r>
      <w:r w:rsidRPr="000F7B96">
        <w:rPr>
          <w:lang w:eastAsia="zh-CN"/>
        </w:rPr>
        <w:t>a range of oper</w:t>
      </w:r>
      <w:r>
        <w:rPr>
          <w:lang w:eastAsia="zh-CN"/>
        </w:rPr>
        <w:t>ational altitudes w</w:t>
      </w:r>
      <w:r w:rsidR="008462F1">
        <w:rPr>
          <w:lang w:eastAsia="zh-CN"/>
        </w:rPr>
        <w:t>as</w:t>
      </w:r>
      <w:r>
        <w:rPr>
          <w:lang w:eastAsia="zh-CN"/>
        </w:rPr>
        <w:t xml:space="preserve"> examined.  The initial set </w:t>
      </w:r>
      <w:r w:rsidR="003C62CA">
        <w:rPr>
          <w:lang w:eastAsia="zh-CN"/>
        </w:rPr>
        <w:t xml:space="preserve">included </w:t>
      </w:r>
      <w:r>
        <w:rPr>
          <w:lang w:eastAsia="zh-CN"/>
        </w:rPr>
        <w:t xml:space="preserve">roughly 1000 </w:t>
      </w:r>
      <w:r w:rsidR="006E3C95">
        <w:rPr>
          <w:lang w:eastAsia="zh-CN"/>
        </w:rPr>
        <w:t>nanosatellites</w:t>
      </w:r>
      <w:r>
        <w:rPr>
          <w:lang w:eastAsia="zh-CN"/>
        </w:rPr>
        <w:t xml:space="preserve">.  This set was then investigated to determine </w:t>
      </w:r>
      <w:r w:rsidRPr="000F7B96">
        <w:rPr>
          <w:lang w:eastAsia="zh-CN"/>
        </w:rPr>
        <w:t>their prescribed masses, dimensions, satellite bus size, and Satellite ID numbers</w:t>
      </w:r>
      <w:r>
        <w:rPr>
          <w:lang w:eastAsia="zh-CN"/>
        </w:rPr>
        <w:t xml:space="preserve">.  The initial set of 1000 </w:t>
      </w:r>
      <w:r w:rsidR="006E3C95">
        <w:rPr>
          <w:lang w:eastAsia="zh-CN"/>
        </w:rPr>
        <w:t>nanosatellites</w:t>
      </w:r>
      <w:r>
        <w:rPr>
          <w:lang w:eastAsia="zh-CN"/>
        </w:rPr>
        <w:t xml:space="preserve"> was reduced </w:t>
      </w:r>
      <w:r w:rsidRPr="000F7B96">
        <w:rPr>
          <w:lang w:eastAsia="zh-CN"/>
        </w:rPr>
        <w:t>to 530 satellites based on satellite specification availability and launch successes</w:t>
      </w:r>
      <w:r>
        <w:rPr>
          <w:lang w:eastAsia="zh-CN"/>
        </w:rPr>
        <w:t xml:space="preserve">.  </w:t>
      </w:r>
      <w:r w:rsidRPr="000F7B96">
        <w:rPr>
          <w:lang w:eastAsia="zh-CN"/>
        </w:rPr>
        <w:t xml:space="preserve">As all of these spacecraft are cuboid in nature </w:t>
      </w:r>
      <w:r w:rsidR="00FD6B98">
        <w:rPr>
          <w:lang w:eastAsia="zh-CN"/>
        </w:rPr>
        <w:t>based on standard</w:t>
      </w:r>
      <w:r w:rsidRPr="000F7B96">
        <w:rPr>
          <w:lang w:eastAsia="zh-CN"/>
        </w:rPr>
        <w:t xml:space="preserve"> satellite buses available at that size, the expected frontal area for each spacecraft was estimated as the mean area presented by the spacecraft assuming a random tumbling </w:t>
      </w:r>
      <w:r w:rsidR="00FD6B98">
        <w:rPr>
          <w:lang w:eastAsia="zh-CN"/>
        </w:rPr>
        <w:t>behavior</w:t>
      </w:r>
      <w:r>
        <w:rPr>
          <w:lang w:eastAsia="zh-CN"/>
        </w:rPr>
        <w:t xml:space="preserve">.  Using this approach, an independent data set of small object masses </w:t>
      </w:r>
      <w:r>
        <w:rPr>
          <w:lang w:eastAsia="zh-CN"/>
        </w:rPr>
        <w:lastRenderedPageBreak/>
        <w:t>and frontal areas had been established. For an irregularly shaped object, a formula proposed in the NASA standard breakup model</w:t>
      </w:r>
      <w:r w:rsidR="001E042E" w:rsidRPr="001E042E">
        <w:rPr>
          <w:vertAlign w:val="superscript"/>
          <w:lang w:eastAsia="zh-CN"/>
        </w:rPr>
        <w:fldChar w:fldCharType="begin"/>
      </w:r>
      <w:r w:rsidR="001E042E" w:rsidRPr="001E042E">
        <w:rPr>
          <w:vertAlign w:val="superscript"/>
          <w:lang w:eastAsia="zh-CN"/>
        </w:rPr>
        <w:instrText xml:space="preserve"> NOTEREF _Ref8814677 \h </w:instrText>
      </w:r>
      <w:r w:rsidR="001E042E">
        <w:rPr>
          <w:vertAlign w:val="superscript"/>
          <w:lang w:eastAsia="zh-CN"/>
        </w:rPr>
        <w:instrText xml:space="preserve"> \* MERGEFORMAT </w:instrText>
      </w:r>
      <w:r w:rsidR="001E042E" w:rsidRPr="001E042E">
        <w:rPr>
          <w:vertAlign w:val="superscript"/>
          <w:lang w:eastAsia="zh-CN"/>
        </w:rPr>
      </w:r>
      <w:r w:rsidR="001E042E" w:rsidRPr="001E042E">
        <w:rPr>
          <w:vertAlign w:val="superscript"/>
          <w:lang w:eastAsia="zh-CN"/>
        </w:rPr>
        <w:fldChar w:fldCharType="separate"/>
      </w:r>
      <w:r w:rsidR="00D82D51">
        <w:rPr>
          <w:vertAlign w:val="superscript"/>
          <w:lang w:eastAsia="zh-CN"/>
        </w:rPr>
        <w:t>5</w:t>
      </w:r>
      <w:r w:rsidR="001E042E" w:rsidRPr="001E042E">
        <w:rPr>
          <w:vertAlign w:val="superscript"/>
          <w:lang w:eastAsia="zh-CN"/>
        </w:rPr>
        <w:fldChar w:fldCharType="end"/>
      </w:r>
      <w:r>
        <w:rPr>
          <w:lang w:eastAsia="zh-CN"/>
        </w:rPr>
        <w:t xml:space="preserve"> </w:t>
      </w:r>
      <w:r w:rsidR="00E8607C">
        <w:rPr>
          <w:lang w:eastAsia="zh-CN"/>
        </w:rPr>
        <w:t>and expounded upon by Hanada</w:t>
      </w:r>
      <w:r w:rsidR="00E8607C">
        <w:rPr>
          <w:rStyle w:val="EndnoteReference"/>
          <w:lang w:eastAsia="zh-CN"/>
        </w:rPr>
        <w:endnoteReference w:id="12"/>
      </w:r>
      <w:r>
        <w:rPr>
          <w:lang w:eastAsia="zh-CN"/>
        </w:rPr>
        <w:t xml:space="preserve"> for the average cross-sectional area is:</w:t>
      </w:r>
    </w:p>
    <w:p w14:paraId="05DBA5C2" w14:textId="77777777" w:rsidR="00281DEE" w:rsidRDefault="00281DEE" w:rsidP="00281DEE">
      <w:pPr>
        <w:pStyle w:val="Els-body-text"/>
        <w:tabs>
          <w:tab w:val="center" w:pos="5130"/>
          <w:tab w:val="right" w:pos="10260"/>
        </w:tabs>
        <w:spacing w:line="240" w:lineRule="auto"/>
        <w:ind w:firstLine="274"/>
        <w:rPr>
          <w:lang w:eastAsia="zh-CN"/>
        </w:rPr>
      </w:pPr>
    </w:p>
    <w:p w14:paraId="5672BE5F" w14:textId="77777777" w:rsidR="00281DEE" w:rsidRPr="002B346F" w:rsidRDefault="00DC28DE" w:rsidP="00DC28DE">
      <w:pPr>
        <w:pStyle w:val="Els-body-text"/>
        <w:tabs>
          <w:tab w:val="center" w:pos="4320"/>
          <w:tab w:val="right" w:pos="8640"/>
        </w:tabs>
        <w:spacing w:line="240" w:lineRule="auto"/>
        <w:ind w:firstLine="274"/>
        <w:rPr>
          <w:lang w:eastAsia="zh-CN"/>
        </w:rPr>
      </w:pPr>
      <w:r>
        <w:tab/>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total</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yz</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xz</m:t>
                </m:r>
              </m:sub>
            </m:sSub>
            <m:r>
              <w:rPr>
                <w:rFonts w:ascii="Cambria Math" w:hAnsi="Cambria Math"/>
                <w:lang w:eastAsia="zh-CN"/>
              </w:rPr>
              <m:t>)</m:t>
            </m:r>
          </m:num>
          <m:den>
            <m:r>
              <w:rPr>
                <w:rFonts w:ascii="Cambria Math" w:hAnsi="Cambria Math"/>
                <w:lang w:eastAsia="zh-CN"/>
              </w:rPr>
              <m:t>3</m:t>
            </m:r>
          </m:den>
        </m:f>
      </m:oMath>
      <w:r>
        <w:tab/>
        <w:t>(7)</w:t>
      </w:r>
    </w:p>
    <w:p w14:paraId="0AFE1383" w14:textId="77777777" w:rsidR="00281DEE" w:rsidRDefault="00281DEE" w:rsidP="00281DEE">
      <w:pPr>
        <w:pStyle w:val="Els-body-text"/>
        <w:tabs>
          <w:tab w:val="center" w:pos="5130"/>
          <w:tab w:val="right" w:pos="10260"/>
        </w:tabs>
        <w:spacing w:line="240" w:lineRule="auto"/>
        <w:ind w:firstLine="274"/>
        <w:rPr>
          <w:lang w:eastAsia="zh-CN"/>
        </w:rPr>
      </w:pPr>
    </w:p>
    <w:p w14:paraId="503F49A0" w14:textId="5891137C" w:rsidR="00281DEE" w:rsidRPr="001E042E" w:rsidRDefault="00E12769" w:rsidP="001E042E">
      <w:pPr>
        <w:pStyle w:val="Els-body-text"/>
        <w:tabs>
          <w:tab w:val="center" w:pos="5130"/>
          <w:tab w:val="right" w:pos="10260"/>
        </w:tabs>
        <w:spacing w:line="240" w:lineRule="auto"/>
        <w:ind w:firstLine="274"/>
        <w:rPr>
          <w:i/>
          <w:lang w:eastAsia="zh-CN"/>
        </w:rPr>
      </w:pPr>
      <w:r>
        <w:rPr>
          <w:lang w:eastAsia="zh-CN"/>
        </w:rPr>
        <w:t xml:space="preserve">Where the subscripts </w:t>
      </w:r>
      <w:r>
        <w:rPr>
          <w:i/>
          <w:lang w:eastAsia="zh-CN"/>
        </w:rPr>
        <w:t xml:space="preserve">x,y, </w:t>
      </w:r>
      <w:r>
        <w:rPr>
          <w:lang w:eastAsia="zh-CN"/>
        </w:rPr>
        <w:t xml:space="preserve">and </w:t>
      </w:r>
      <w:r>
        <w:rPr>
          <w:i/>
          <w:lang w:eastAsia="zh-CN"/>
        </w:rPr>
        <w:t xml:space="preserve">z </w:t>
      </w:r>
      <w:r>
        <w:rPr>
          <w:lang w:eastAsia="zh-CN"/>
        </w:rPr>
        <w:t xml:space="preserve">refer to the object’s dimensions.  </w:t>
      </w:r>
      <w:r w:rsidR="00281DEE">
        <w:rPr>
          <w:lang w:eastAsia="zh-CN"/>
        </w:rPr>
        <w:t xml:space="preserve">As the spacecraft in question are cuboid, the maximum triplet dimensions of </w:t>
      </w:r>
      <w:r w:rsidR="00281DEE">
        <w:rPr>
          <w:i/>
          <w:lang w:eastAsia="zh-CN"/>
        </w:rPr>
        <w:t xml:space="preserve">x, y, </w:t>
      </w:r>
      <w:r w:rsidR="00281DEE">
        <w:rPr>
          <w:lang w:eastAsia="zh-CN"/>
        </w:rPr>
        <w:t xml:space="preserve">and </w:t>
      </w:r>
      <w:r w:rsidR="00281DEE">
        <w:rPr>
          <w:i/>
          <w:lang w:eastAsia="zh-CN"/>
        </w:rPr>
        <w:t>z</w:t>
      </w:r>
      <w:r w:rsidR="00281DEE">
        <w:rPr>
          <w:lang w:eastAsia="zh-CN"/>
        </w:rPr>
        <w:t xml:space="preserve"> can be determined in a relatively straightforward manner as the outer dimensions of the cuboid are known.</w:t>
      </w:r>
    </w:p>
    <w:p w14:paraId="26F87271" w14:textId="77777777" w:rsidR="00281DEE" w:rsidRDefault="00281DEE" w:rsidP="000E38D9">
      <w:pPr>
        <w:pStyle w:val="Els-body-text"/>
        <w:tabs>
          <w:tab w:val="center" w:pos="5130"/>
          <w:tab w:val="right" w:pos="10260"/>
        </w:tabs>
        <w:spacing w:line="240" w:lineRule="auto"/>
        <w:ind w:firstLine="270"/>
        <w:rPr>
          <w:lang w:eastAsia="zh-CN"/>
        </w:rPr>
      </w:pPr>
      <w:r>
        <w:rPr>
          <w:lang w:eastAsia="zh-CN"/>
        </w:rPr>
        <w:t xml:space="preserve">Next, </w:t>
      </w:r>
      <w:r w:rsidRPr="00FB3B4D">
        <w:rPr>
          <w:lang w:eastAsia="zh-CN"/>
        </w:rPr>
        <w:t xml:space="preserve">orbit determination data was retrieved from relevant </w:t>
      </w:r>
      <w:r>
        <w:rPr>
          <w:lang w:eastAsia="zh-CN"/>
        </w:rPr>
        <w:t>Conjunction Data Messages (</w:t>
      </w:r>
      <w:r w:rsidRPr="00FB3B4D">
        <w:rPr>
          <w:lang w:eastAsia="zh-CN"/>
        </w:rPr>
        <w:t>CDMs</w:t>
      </w:r>
      <w:r>
        <w:rPr>
          <w:lang w:eastAsia="zh-CN"/>
        </w:rPr>
        <w:t>)</w:t>
      </w:r>
      <w:r w:rsidRPr="00FB3B4D">
        <w:rPr>
          <w:lang w:eastAsia="zh-CN"/>
        </w:rPr>
        <w:t xml:space="preserve"> pertaining to these objects, in</w:t>
      </w:r>
      <w:r>
        <w:rPr>
          <w:lang w:eastAsia="zh-CN"/>
        </w:rPr>
        <w:t>cluding orbit regime, RCS, and b</w:t>
      </w:r>
      <w:r w:rsidRPr="00FB3B4D">
        <w:rPr>
          <w:lang w:eastAsia="zh-CN"/>
        </w:rPr>
        <w:t xml:space="preserve">allistic </w:t>
      </w:r>
      <w:r>
        <w:rPr>
          <w:lang w:eastAsia="zh-CN"/>
        </w:rPr>
        <w:t>c</w:t>
      </w:r>
      <w:r w:rsidRPr="00FB3B4D">
        <w:rPr>
          <w:lang w:eastAsia="zh-CN"/>
        </w:rPr>
        <w:t>oefficient</w:t>
      </w:r>
      <w:r>
        <w:rPr>
          <w:lang w:eastAsia="zh-CN"/>
        </w:rPr>
        <w:t>.  This exercise further reduced the available Nanosat population for validation to 371 based on CDM data availability.</w:t>
      </w:r>
      <w:r w:rsidR="008C6E13">
        <w:rPr>
          <w:lang w:eastAsia="zh-CN"/>
        </w:rPr>
        <w:t xml:space="preserve">  These 371 nanosatellites ranged in altitude from 323 to 1304 km.</w:t>
      </w:r>
    </w:p>
    <w:p w14:paraId="244B216F" w14:textId="77777777" w:rsidR="00281DEE" w:rsidRDefault="000E38D9" w:rsidP="00281DEE">
      <w:pPr>
        <w:pStyle w:val="Heading1"/>
      </w:pPr>
      <w:r>
        <w:t>Valida</w:t>
      </w:r>
      <w:r w:rsidR="00281DEE">
        <w:t>tion Results</w:t>
      </w:r>
    </w:p>
    <w:p w14:paraId="714E64A1" w14:textId="3F3F209B" w:rsidR="00281DEE" w:rsidRDefault="00281DEE" w:rsidP="00281DEE">
      <w:pPr>
        <w:pStyle w:val="Els-body-text"/>
        <w:tabs>
          <w:tab w:val="center" w:pos="5130"/>
          <w:tab w:val="right" w:pos="10260"/>
        </w:tabs>
        <w:spacing w:line="240" w:lineRule="auto"/>
        <w:ind w:firstLine="270"/>
        <w:rPr>
          <w:lang w:eastAsia="zh-CN"/>
        </w:rPr>
      </w:pPr>
      <w:r w:rsidRPr="00FB3B4D">
        <w:rPr>
          <w:lang w:eastAsia="zh-CN"/>
        </w:rPr>
        <w:t>Combining the previous sections’ analyses</w:t>
      </w:r>
      <w:r>
        <w:rPr>
          <w:lang w:eastAsia="zh-CN"/>
        </w:rPr>
        <w:t xml:space="preserve"> and processes</w:t>
      </w:r>
      <w:r w:rsidRPr="00FB3B4D">
        <w:rPr>
          <w:lang w:eastAsia="zh-CN"/>
        </w:rPr>
        <w:t xml:space="preserve"> yields a distribution of object frontal areas and masses</w:t>
      </w:r>
      <w:r w:rsidR="002E2F95">
        <w:rPr>
          <w:lang w:eastAsia="zh-CN"/>
        </w:rPr>
        <w:t xml:space="preserve"> of previously examined NaK spheres and the</w:t>
      </w:r>
      <w:r>
        <w:rPr>
          <w:lang w:eastAsia="zh-CN"/>
        </w:rPr>
        <w:t xml:space="preserve"> prescribed </w:t>
      </w:r>
      <w:r w:rsidR="006E3C95">
        <w:rPr>
          <w:lang w:eastAsia="zh-CN"/>
        </w:rPr>
        <w:t>nanosatellites</w:t>
      </w:r>
      <w:r>
        <w:rPr>
          <w:lang w:eastAsia="zh-CN"/>
        </w:rPr>
        <w:t xml:space="preserve">.  For each </w:t>
      </w:r>
      <w:r w:rsidR="002E2F95">
        <w:rPr>
          <w:lang w:eastAsia="zh-CN"/>
        </w:rPr>
        <w:t>object,</w:t>
      </w:r>
      <w:r>
        <w:rPr>
          <w:lang w:eastAsia="zh-CN"/>
        </w:rPr>
        <w:t xml:space="preserve"> 10,000 samples were derived, taking random draws of ballistic coefficient</w:t>
      </w:r>
      <w:r w:rsidR="001E042E">
        <w:rPr>
          <w:lang w:eastAsia="zh-CN"/>
        </w:rPr>
        <w:t>, drag coefficient</w:t>
      </w:r>
      <w:r>
        <w:rPr>
          <w:lang w:eastAsia="zh-CN"/>
        </w:rPr>
        <w:t xml:space="preserve"> and frontal area as estimated from the RCS distribution.  </w:t>
      </w:r>
      <w:r w:rsidR="002E2F95">
        <w:rPr>
          <w:lang w:eastAsia="zh-CN"/>
        </w:rPr>
        <w:t>The</w:t>
      </w:r>
      <w:r w:rsidRPr="00FB3B4D">
        <w:rPr>
          <w:lang w:eastAsia="zh-CN"/>
        </w:rPr>
        <w:t xml:space="preserve"> </w:t>
      </w:r>
      <w:r>
        <w:rPr>
          <w:lang w:eastAsia="zh-CN"/>
        </w:rPr>
        <w:t>mass estimates are</w:t>
      </w:r>
      <w:r w:rsidRPr="00FB3B4D">
        <w:rPr>
          <w:lang w:eastAsia="zh-CN"/>
        </w:rPr>
        <w:t xml:space="preserve"> </w:t>
      </w:r>
      <w:r w:rsidR="002E2F95">
        <w:rPr>
          <w:lang w:eastAsia="zh-CN"/>
        </w:rPr>
        <w:t>given</w:t>
      </w:r>
      <w:r w:rsidRPr="00FB3B4D">
        <w:rPr>
          <w:lang w:eastAsia="zh-CN"/>
        </w:rPr>
        <w:t xml:space="preserve"> as </w:t>
      </w:r>
      <w:r w:rsidR="002E2F95">
        <w:rPr>
          <w:lang w:eastAsia="zh-CN"/>
        </w:rPr>
        <w:t>quantile values</w:t>
      </w:r>
      <w:r w:rsidR="001E042E">
        <w:rPr>
          <w:lang w:eastAsia="zh-CN"/>
        </w:rPr>
        <w:t xml:space="preserve"> as part of a cumulative distribution function</w:t>
      </w:r>
      <w:r w:rsidRPr="00FB3B4D">
        <w:rPr>
          <w:lang w:eastAsia="zh-CN"/>
        </w:rPr>
        <w:t xml:space="preserve"> of the object’s characteristics from this </w:t>
      </w:r>
      <w:r w:rsidR="002E2F95">
        <w:rPr>
          <w:lang w:eastAsia="zh-CN"/>
        </w:rPr>
        <w:t>process</w:t>
      </w:r>
      <w:r w:rsidRPr="00FB3B4D">
        <w:rPr>
          <w:lang w:eastAsia="zh-CN"/>
        </w:rPr>
        <w:t>.</w:t>
      </w:r>
      <w:r>
        <w:rPr>
          <w:lang w:eastAsia="zh-CN"/>
        </w:rPr>
        <w:t xml:space="preserve">  </w:t>
      </w:r>
      <w:r w:rsidRPr="00FB3B4D">
        <w:rPr>
          <w:lang w:eastAsia="zh-CN"/>
        </w:rPr>
        <w:t xml:space="preserve">The estimated masses of these </w:t>
      </w:r>
      <w:r w:rsidR="002E2F95">
        <w:rPr>
          <w:lang w:eastAsia="zh-CN"/>
        </w:rPr>
        <w:t>objects</w:t>
      </w:r>
      <w:r w:rsidRPr="00FB3B4D">
        <w:rPr>
          <w:lang w:eastAsia="zh-CN"/>
        </w:rPr>
        <w:t xml:space="preserve"> were then compared with the independently </w:t>
      </w:r>
      <w:r>
        <w:rPr>
          <w:lang w:eastAsia="zh-CN"/>
        </w:rPr>
        <w:t xml:space="preserve">determined </w:t>
      </w:r>
      <w:r w:rsidRPr="00FB3B4D">
        <w:rPr>
          <w:lang w:eastAsia="zh-CN"/>
        </w:rPr>
        <w:t>values from the spacecraft specifications as researched</w:t>
      </w:r>
      <w:r>
        <w:rPr>
          <w:lang w:eastAsia="zh-CN"/>
        </w:rPr>
        <w:t xml:space="preserve">, and compared in a normalized ratio sense.  </w:t>
      </w:r>
      <w:bookmarkStart w:id="6" w:name="_GoBack"/>
      <w:r w:rsidR="00D82D51">
        <w:rPr>
          <w:lang w:eastAsia="zh-CN"/>
        </w:rPr>
        <w:t>Figure</w:t>
      </w:r>
      <w:bookmarkEnd w:id="6"/>
      <w:r w:rsidR="00D82D51">
        <w:rPr>
          <w:lang w:eastAsia="zh-CN"/>
        </w:rPr>
        <w:t>s 2 and 3</w:t>
      </w:r>
      <w:r w:rsidR="00AC1F05">
        <w:rPr>
          <w:lang w:eastAsia="zh-CN"/>
        </w:rPr>
        <w:t xml:space="preserve"> summarize the</w:t>
      </w:r>
      <w:r w:rsidR="002E2F95">
        <w:rPr>
          <w:lang w:eastAsia="zh-CN"/>
        </w:rPr>
        <w:t xml:space="preserve"> </w:t>
      </w:r>
      <w:r>
        <w:rPr>
          <w:lang w:eastAsia="zh-CN"/>
        </w:rPr>
        <w:t>distribution of these</w:t>
      </w:r>
      <w:r w:rsidR="002E2F95">
        <w:rPr>
          <w:lang w:eastAsia="zh-CN"/>
        </w:rPr>
        <w:t xml:space="preserve"> mass ratios</w:t>
      </w:r>
      <w:r w:rsidR="00AC1F05">
        <w:rPr>
          <w:lang w:eastAsia="zh-CN"/>
        </w:rPr>
        <w:t>.</w:t>
      </w:r>
    </w:p>
    <w:p w14:paraId="6777755D" w14:textId="77777777" w:rsidR="002E2F95" w:rsidRDefault="001E042E" w:rsidP="002E2F95">
      <w:pPr>
        <w:pStyle w:val="Els-body-text"/>
        <w:keepNext/>
        <w:tabs>
          <w:tab w:val="center" w:pos="5130"/>
          <w:tab w:val="right" w:pos="10260"/>
        </w:tabs>
        <w:spacing w:line="240" w:lineRule="auto"/>
        <w:ind w:firstLine="270"/>
        <w:jc w:val="center"/>
      </w:pPr>
      <w:r>
        <w:rPr>
          <w:noProof/>
        </w:rPr>
        <w:drawing>
          <wp:inline distT="0" distB="0" distL="0" distR="0" wp14:anchorId="5C86873B" wp14:editId="2FFEC3EB">
            <wp:extent cx="4818832" cy="3613120"/>
            <wp:effectExtent l="0" t="0" r="1270" b="6985"/>
            <wp:docPr id="11" name="Picture 11" descr="E:\Collision Consequence\NanoSatValidationResults\NaKSphereQuantil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Collision Consequence\NanoSatValidationResults\NaKSphereQuantileAnalys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0245" cy="3621677"/>
                    </a:xfrm>
                    <a:prstGeom prst="rect">
                      <a:avLst/>
                    </a:prstGeom>
                    <a:noFill/>
                    <a:ln>
                      <a:noFill/>
                    </a:ln>
                  </pic:spPr>
                </pic:pic>
              </a:graphicData>
            </a:graphic>
          </wp:inline>
        </w:drawing>
      </w:r>
    </w:p>
    <w:p w14:paraId="6CDE5ACE" w14:textId="77777777" w:rsidR="002E2F95" w:rsidRPr="002E243E" w:rsidRDefault="002E2F95" w:rsidP="002E243E">
      <w:pPr>
        <w:pStyle w:val="Caption"/>
      </w:pPr>
      <w:bookmarkStart w:id="7" w:name="_Ref8652404"/>
      <w:r w:rsidRPr="002E243E">
        <w:t xml:space="preserve">Figure </w:t>
      </w:r>
      <w:r w:rsidR="00390928">
        <w:rPr>
          <w:noProof/>
        </w:rPr>
        <w:fldChar w:fldCharType="begin"/>
      </w:r>
      <w:r w:rsidR="00390928">
        <w:rPr>
          <w:noProof/>
        </w:rPr>
        <w:instrText xml:space="preserve"> SEQ Figure \* ARABIC </w:instrText>
      </w:r>
      <w:r w:rsidR="00390928">
        <w:rPr>
          <w:noProof/>
        </w:rPr>
        <w:fldChar w:fldCharType="separate"/>
      </w:r>
      <w:r w:rsidR="00D82D51">
        <w:rPr>
          <w:noProof/>
        </w:rPr>
        <w:t>2</w:t>
      </w:r>
      <w:r w:rsidR="00390928">
        <w:rPr>
          <w:noProof/>
        </w:rPr>
        <w:fldChar w:fldCharType="end"/>
      </w:r>
      <w:bookmarkEnd w:id="7"/>
      <w:r w:rsidRPr="002E243E">
        <w:t xml:space="preserve">: Cumulative Distribution Function of Quantile Mass Ratios to Researched </w:t>
      </w:r>
      <w:r w:rsidR="001E042E" w:rsidRPr="002E243E">
        <w:br/>
      </w:r>
      <w:r w:rsidRPr="002E243E">
        <w:t>Values for 24 NaK Spheres</w:t>
      </w:r>
    </w:p>
    <w:p w14:paraId="294E91DD" w14:textId="5A510C26" w:rsidR="008B15B0" w:rsidRPr="002E243E" w:rsidRDefault="008B15B0" w:rsidP="008B15B0">
      <w:pPr>
        <w:rPr>
          <w:sz w:val="20"/>
          <w:szCs w:val="20"/>
        </w:rPr>
      </w:pPr>
      <w:r w:rsidRPr="002E243E">
        <w:rPr>
          <w:sz w:val="20"/>
          <w:szCs w:val="20"/>
        </w:rPr>
        <w:fldChar w:fldCharType="begin"/>
      </w:r>
      <w:r w:rsidRPr="002E243E">
        <w:rPr>
          <w:sz w:val="20"/>
          <w:szCs w:val="20"/>
        </w:rPr>
        <w:instrText xml:space="preserve"> REF _Ref8652404 \h </w:instrText>
      </w:r>
      <w:r w:rsidR="002E243E">
        <w:rPr>
          <w:sz w:val="20"/>
          <w:szCs w:val="20"/>
        </w:rPr>
        <w:instrText xml:space="preserve"> \* MERGEFORMAT </w:instrText>
      </w:r>
      <w:r w:rsidRPr="002E243E">
        <w:rPr>
          <w:sz w:val="20"/>
          <w:szCs w:val="20"/>
        </w:rPr>
      </w:r>
      <w:r w:rsidRPr="002E243E">
        <w:rPr>
          <w:sz w:val="20"/>
          <w:szCs w:val="20"/>
        </w:rPr>
        <w:fldChar w:fldCharType="separate"/>
      </w:r>
      <w:r w:rsidR="00D82D51" w:rsidRPr="00D82D51">
        <w:rPr>
          <w:sz w:val="20"/>
          <w:szCs w:val="20"/>
        </w:rPr>
        <w:t xml:space="preserve">Figure </w:t>
      </w:r>
      <w:r w:rsidR="00D82D51" w:rsidRPr="00D82D51">
        <w:rPr>
          <w:noProof/>
          <w:sz w:val="20"/>
          <w:szCs w:val="20"/>
        </w:rPr>
        <w:t>2</w:t>
      </w:r>
      <w:r w:rsidRPr="002E243E">
        <w:rPr>
          <w:sz w:val="20"/>
          <w:szCs w:val="20"/>
        </w:rPr>
        <w:fldChar w:fldCharType="end"/>
      </w:r>
      <w:r w:rsidRPr="002E243E">
        <w:rPr>
          <w:sz w:val="20"/>
          <w:szCs w:val="20"/>
        </w:rPr>
        <w:t xml:space="preserve"> demonstrates that for spherical objects such as the NaK </w:t>
      </w:r>
      <w:r w:rsidR="003455AA">
        <w:rPr>
          <w:sz w:val="20"/>
          <w:szCs w:val="20"/>
        </w:rPr>
        <w:t>liquid-</w:t>
      </w:r>
      <w:r w:rsidR="001B64A0">
        <w:rPr>
          <w:sz w:val="20"/>
          <w:szCs w:val="20"/>
        </w:rPr>
        <w:t>droplet</w:t>
      </w:r>
      <w:r w:rsidR="003455AA">
        <w:rPr>
          <w:sz w:val="20"/>
          <w:szCs w:val="20"/>
        </w:rPr>
        <w:t xml:space="preserve"> sphere</w:t>
      </w:r>
      <w:r w:rsidR="001B64A0">
        <w:rPr>
          <w:sz w:val="20"/>
          <w:szCs w:val="20"/>
        </w:rPr>
        <w:t>s</w:t>
      </w:r>
      <w:r w:rsidRPr="002E243E">
        <w:rPr>
          <w:sz w:val="20"/>
          <w:szCs w:val="20"/>
        </w:rPr>
        <w:t xml:space="preserve">, a mass estimation quantile of 75% would be sufficient.  In this context, this would maintain a conservative mass estimate for the determination of collision nature.  However, </w:t>
      </w:r>
      <w:r w:rsidR="001B64A0">
        <w:rPr>
          <w:sz w:val="20"/>
          <w:szCs w:val="20"/>
        </w:rPr>
        <w:t>the actual shape of secondary satellites in conjunctions is rarely spherical, so</w:t>
      </w:r>
      <w:r w:rsidRPr="002E243E">
        <w:rPr>
          <w:sz w:val="20"/>
          <w:szCs w:val="20"/>
        </w:rPr>
        <w:t xml:space="preserve"> additional analysis for more irregular objects is required.</w:t>
      </w:r>
    </w:p>
    <w:p w14:paraId="463E9D08" w14:textId="77777777" w:rsidR="0059367B" w:rsidRDefault="001E042E" w:rsidP="0059367B">
      <w:pPr>
        <w:pStyle w:val="Els-body-text"/>
        <w:keepNext/>
        <w:tabs>
          <w:tab w:val="center" w:pos="5130"/>
          <w:tab w:val="right" w:pos="10260"/>
        </w:tabs>
        <w:spacing w:line="240" w:lineRule="auto"/>
        <w:ind w:firstLine="270"/>
        <w:jc w:val="center"/>
      </w:pPr>
      <w:r>
        <w:rPr>
          <w:noProof/>
        </w:rPr>
        <w:lastRenderedPageBreak/>
        <w:drawing>
          <wp:inline distT="0" distB="0" distL="0" distR="0" wp14:anchorId="5BAED95F" wp14:editId="5DD60AE5">
            <wp:extent cx="4846881" cy="3634151"/>
            <wp:effectExtent l="0" t="0" r="0" b="4445"/>
            <wp:docPr id="12" name="Picture 12" descr="E:\Collision Consequence\NanoSatValidationResults\NanoSatMassQuantil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Collision Consequence\NanoSatValidationResults\NanoSatMassQuantileAnalys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683" cy="3641501"/>
                    </a:xfrm>
                    <a:prstGeom prst="rect">
                      <a:avLst/>
                    </a:prstGeom>
                    <a:noFill/>
                    <a:ln>
                      <a:noFill/>
                    </a:ln>
                  </pic:spPr>
                </pic:pic>
              </a:graphicData>
            </a:graphic>
          </wp:inline>
        </w:drawing>
      </w:r>
    </w:p>
    <w:p w14:paraId="6B1B1C43" w14:textId="77777777" w:rsidR="00281DEE" w:rsidRDefault="0059367B" w:rsidP="002E243E">
      <w:pPr>
        <w:pStyle w:val="Caption"/>
        <w:rPr>
          <w:lang w:eastAsia="zh-CN"/>
        </w:rPr>
      </w:pPr>
      <w:bookmarkStart w:id="8" w:name="_Ref8653869"/>
      <w:r>
        <w:t xml:space="preserve">Figure </w:t>
      </w:r>
      <w:r w:rsidR="00D61970">
        <w:rPr>
          <w:noProof/>
        </w:rPr>
        <w:fldChar w:fldCharType="begin"/>
      </w:r>
      <w:r w:rsidR="00D61970">
        <w:rPr>
          <w:noProof/>
        </w:rPr>
        <w:instrText xml:space="preserve"> SEQ Figure \* ARABIC </w:instrText>
      </w:r>
      <w:r w:rsidR="00D61970">
        <w:rPr>
          <w:noProof/>
        </w:rPr>
        <w:fldChar w:fldCharType="separate"/>
      </w:r>
      <w:r w:rsidR="00D82D51">
        <w:rPr>
          <w:noProof/>
        </w:rPr>
        <w:t>3</w:t>
      </w:r>
      <w:r w:rsidR="00D61970">
        <w:rPr>
          <w:noProof/>
        </w:rPr>
        <w:fldChar w:fldCharType="end"/>
      </w:r>
      <w:bookmarkEnd w:id="8"/>
      <w:r>
        <w:t xml:space="preserve">: Cumulative Distribution Function of Quantile Mass Ratios to Researched </w:t>
      </w:r>
      <w:r w:rsidR="001E042E">
        <w:br/>
      </w:r>
      <w:r>
        <w:t xml:space="preserve">Values for 371 </w:t>
      </w:r>
      <w:r w:rsidR="006E3C95">
        <w:t>Nanosatellites</w:t>
      </w:r>
    </w:p>
    <w:p w14:paraId="0A1826D0" w14:textId="1B40D0B2" w:rsidR="00281DEE" w:rsidRDefault="0059367B" w:rsidP="00281DEE">
      <w:pPr>
        <w:pStyle w:val="Els-body-text"/>
        <w:tabs>
          <w:tab w:val="center" w:pos="5130"/>
          <w:tab w:val="right" w:pos="10260"/>
        </w:tabs>
        <w:spacing w:line="240" w:lineRule="auto"/>
        <w:ind w:firstLine="270"/>
        <w:rPr>
          <w:lang w:eastAsia="zh-CN"/>
        </w:rPr>
      </w:pPr>
      <w:r>
        <w:rPr>
          <w:lang w:eastAsia="zh-CN"/>
        </w:rPr>
        <w:fldChar w:fldCharType="begin"/>
      </w:r>
      <w:r>
        <w:rPr>
          <w:lang w:eastAsia="zh-CN"/>
        </w:rPr>
        <w:instrText xml:space="preserve"> REF _Ref8653869 \h </w:instrText>
      </w:r>
      <w:r>
        <w:rPr>
          <w:lang w:eastAsia="zh-CN"/>
        </w:rPr>
      </w:r>
      <w:r>
        <w:rPr>
          <w:lang w:eastAsia="zh-CN"/>
        </w:rPr>
        <w:fldChar w:fldCharType="separate"/>
      </w:r>
      <w:r w:rsidR="00D82D51">
        <w:t xml:space="preserve">Figure </w:t>
      </w:r>
      <w:r w:rsidR="00D82D51">
        <w:rPr>
          <w:noProof/>
        </w:rPr>
        <w:t>3</w:t>
      </w:r>
      <w:r>
        <w:rPr>
          <w:lang w:eastAsia="zh-CN"/>
        </w:rPr>
        <w:fldChar w:fldCharType="end"/>
      </w:r>
      <w:r>
        <w:rPr>
          <w:lang w:eastAsia="zh-CN"/>
        </w:rPr>
        <w:t xml:space="preserve"> </w:t>
      </w:r>
      <w:r w:rsidR="00281DEE" w:rsidRPr="00896363">
        <w:rPr>
          <w:lang w:eastAsia="zh-CN"/>
        </w:rPr>
        <w:t xml:space="preserve">shows the </w:t>
      </w:r>
      <w:r w:rsidR="00281DEE">
        <w:rPr>
          <w:lang w:eastAsia="zh-CN"/>
        </w:rPr>
        <w:t xml:space="preserve">cumulative </w:t>
      </w:r>
      <w:r w:rsidR="00281DEE" w:rsidRPr="00896363">
        <w:rPr>
          <w:lang w:eastAsia="zh-CN"/>
        </w:rPr>
        <w:t xml:space="preserve">distribution of estimated </w:t>
      </w:r>
      <w:r w:rsidR="008B15B0">
        <w:rPr>
          <w:lang w:eastAsia="zh-CN"/>
        </w:rPr>
        <w:t xml:space="preserve">mass quantile ratios for the 371 </w:t>
      </w:r>
      <w:r w:rsidR="006E3C95">
        <w:rPr>
          <w:lang w:eastAsia="zh-CN"/>
        </w:rPr>
        <w:t>nanosatellites</w:t>
      </w:r>
      <w:r w:rsidR="008B15B0">
        <w:rPr>
          <w:lang w:eastAsia="zh-CN"/>
        </w:rPr>
        <w:t xml:space="preserve">.  </w:t>
      </w:r>
      <w:r w:rsidR="00E253AD">
        <w:rPr>
          <w:lang w:eastAsia="zh-CN"/>
        </w:rPr>
        <w:t>For this group, t</w:t>
      </w:r>
      <w:r>
        <w:rPr>
          <w:lang w:eastAsia="zh-CN"/>
        </w:rPr>
        <w:t>he 75</w:t>
      </w:r>
      <w:r w:rsidRPr="0059367B">
        <w:rPr>
          <w:vertAlign w:val="superscript"/>
          <w:lang w:eastAsia="zh-CN"/>
        </w:rPr>
        <w:t>th</w:t>
      </w:r>
      <w:r>
        <w:rPr>
          <w:lang w:eastAsia="zh-CN"/>
        </w:rPr>
        <w:t xml:space="preserve"> percentile</w:t>
      </w:r>
      <w:r w:rsidR="003455AA">
        <w:rPr>
          <w:lang w:eastAsia="zh-CN"/>
        </w:rPr>
        <w:t xml:space="preserve"> noted for the NaK spheres</w:t>
      </w:r>
      <w:r>
        <w:rPr>
          <w:lang w:eastAsia="zh-CN"/>
        </w:rPr>
        <w:t xml:space="preserve"> yields</w:t>
      </w:r>
      <w:r w:rsidR="001E042E">
        <w:rPr>
          <w:lang w:eastAsia="zh-CN"/>
        </w:rPr>
        <w:t xml:space="preserve"> a</w:t>
      </w:r>
      <w:r w:rsidR="00E253AD">
        <w:rPr>
          <w:lang w:eastAsia="zh-CN"/>
        </w:rPr>
        <w:t xml:space="preserve"> mass</w:t>
      </w:r>
      <w:r>
        <w:rPr>
          <w:lang w:eastAsia="zh-CN"/>
        </w:rPr>
        <w:t xml:space="preserve"> underestimation rate of roughly 32% (see </w:t>
      </w:r>
      <w:r>
        <w:rPr>
          <w:lang w:eastAsia="zh-CN"/>
        </w:rPr>
        <w:fldChar w:fldCharType="begin"/>
      </w:r>
      <w:r>
        <w:rPr>
          <w:lang w:eastAsia="zh-CN"/>
        </w:rPr>
        <w:instrText xml:space="preserve"> REF _Ref8654074 \h </w:instrText>
      </w:r>
      <w:r>
        <w:rPr>
          <w:lang w:eastAsia="zh-CN"/>
        </w:rPr>
      </w:r>
      <w:r>
        <w:rPr>
          <w:lang w:eastAsia="zh-CN"/>
        </w:rPr>
        <w:fldChar w:fldCharType="separate"/>
      </w:r>
      <w:r w:rsidR="00D82D51">
        <w:t xml:space="preserve">Table </w:t>
      </w:r>
      <w:r w:rsidR="00D82D51">
        <w:rPr>
          <w:noProof/>
        </w:rPr>
        <w:t>1</w:t>
      </w:r>
      <w:r>
        <w:rPr>
          <w:lang w:eastAsia="zh-CN"/>
        </w:rPr>
        <w:fldChar w:fldCharType="end"/>
      </w:r>
      <w:r>
        <w:rPr>
          <w:lang w:eastAsia="zh-CN"/>
        </w:rPr>
        <w:t xml:space="preserve">), this level of underestimation is </w:t>
      </w:r>
      <w:r w:rsidR="00E253AD">
        <w:rPr>
          <w:lang w:eastAsia="zh-CN"/>
        </w:rPr>
        <w:t>deemed to be unacceptably high in this analysis</w:t>
      </w:r>
      <w:r>
        <w:rPr>
          <w:lang w:eastAsia="zh-CN"/>
        </w:rPr>
        <w:t xml:space="preserve"> to protect </w:t>
      </w:r>
      <w:r w:rsidR="00E253AD">
        <w:rPr>
          <w:lang w:eastAsia="zh-CN"/>
        </w:rPr>
        <w:t xml:space="preserve">critical </w:t>
      </w:r>
      <w:r>
        <w:rPr>
          <w:lang w:eastAsia="zh-CN"/>
        </w:rPr>
        <w:t xml:space="preserve">orbital </w:t>
      </w:r>
      <w:r w:rsidR="008A68E4">
        <w:rPr>
          <w:lang w:eastAsia="zh-CN"/>
        </w:rPr>
        <w:t>regime</w:t>
      </w:r>
      <w:r>
        <w:rPr>
          <w:lang w:eastAsia="zh-CN"/>
        </w:rPr>
        <w:t>s</w:t>
      </w:r>
      <w:r w:rsidR="00545DFA">
        <w:rPr>
          <w:lang w:eastAsia="zh-CN"/>
        </w:rPr>
        <w:t xml:space="preserve"> adequately</w:t>
      </w:r>
      <w:r>
        <w:rPr>
          <w:lang w:eastAsia="zh-CN"/>
        </w:rPr>
        <w:t xml:space="preserve">.  </w:t>
      </w:r>
      <w:r w:rsidR="00246E0D">
        <w:rPr>
          <w:lang w:eastAsia="zh-CN"/>
        </w:rPr>
        <w:t>I</w:t>
      </w:r>
      <w:r>
        <w:rPr>
          <w:lang w:eastAsia="zh-CN"/>
        </w:rPr>
        <w:t xml:space="preserve">t is desired, </w:t>
      </w:r>
      <w:r w:rsidR="001E042E">
        <w:rPr>
          <w:lang w:eastAsia="zh-CN"/>
        </w:rPr>
        <w:t>that</w:t>
      </w:r>
      <w:r>
        <w:rPr>
          <w:lang w:eastAsia="zh-CN"/>
        </w:rPr>
        <w:t xml:space="preserve"> collision consequences, and by proxy: secondary masses, </w:t>
      </w:r>
      <w:r w:rsidR="001E042E">
        <w:rPr>
          <w:lang w:eastAsia="zh-CN"/>
        </w:rPr>
        <w:t xml:space="preserve">be estimated </w:t>
      </w:r>
      <w:r>
        <w:rPr>
          <w:lang w:eastAsia="zh-CN"/>
        </w:rPr>
        <w:t>in a conservative manner so that the risk of debris production is minimized.  For this reason</w:t>
      </w:r>
      <w:r w:rsidR="00E253AD">
        <w:rPr>
          <w:lang w:eastAsia="zh-CN"/>
        </w:rPr>
        <w:t>, this</w:t>
      </w:r>
      <w:r>
        <w:rPr>
          <w:lang w:eastAsia="zh-CN"/>
        </w:rPr>
        <w:t xml:space="preserve"> </w:t>
      </w:r>
      <w:r w:rsidR="00E253AD">
        <w:rPr>
          <w:lang w:eastAsia="zh-CN"/>
        </w:rPr>
        <w:t>analysis</w:t>
      </w:r>
      <w:r>
        <w:rPr>
          <w:lang w:eastAsia="zh-CN"/>
        </w:rPr>
        <w:t xml:space="preserve"> </w:t>
      </w:r>
      <w:r w:rsidR="00E253AD">
        <w:rPr>
          <w:lang w:eastAsia="zh-CN"/>
        </w:rPr>
        <w:t xml:space="preserve">recommends </w:t>
      </w:r>
      <w:r>
        <w:rPr>
          <w:lang w:eastAsia="zh-CN"/>
        </w:rPr>
        <w:t>that the</w:t>
      </w:r>
      <w:r w:rsidR="00E253AD">
        <w:rPr>
          <w:lang w:eastAsia="zh-CN"/>
        </w:rPr>
        <w:t xml:space="preserve"> more conservative</w:t>
      </w:r>
      <w:r>
        <w:rPr>
          <w:lang w:eastAsia="zh-CN"/>
        </w:rPr>
        <w:t xml:space="preserve"> 99.9</w:t>
      </w:r>
      <w:r w:rsidRPr="0059367B">
        <w:rPr>
          <w:vertAlign w:val="superscript"/>
          <w:lang w:eastAsia="zh-CN"/>
        </w:rPr>
        <w:t>th</w:t>
      </w:r>
      <w:r>
        <w:rPr>
          <w:lang w:eastAsia="zh-CN"/>
        </w:rPr>
        <w:t xml:space="preserve"> quantile of secondary mass estimation be used for both </w:t>
      </w:r>
      <w:r w:rsidR="00E52AEE">
        <w:rPr>
          <w:lang w:eastAsia="zh-CN"/>
        </w:rPr>
        <w:t>catastrophic coll</w:t>
      </w:r>
      <w:r w:rsidR="001E042E">
        <w:rPr>
          <w:lang w:eastAsia="zh-CN"/>
        </w:rPr>
        <w:t>ision determination as well as potential</w:t>
      </w:r>
      <w:r w:rsidR="00E52AEE">
        <w:rPr>
          <w:lang w:eastAsia="zh-CN"/>
        </w:rPr>
        <w:t xml:space="preserve"> debris object generation. </w:t>
      </w:r>
      <w:r w:rsidR="00E52AEE">
        <w:rPr>
          <w:lang w:eastAsia="zh-CN"/>
        </w:rPr>
        <w:fldChar w:fldCharType="begin"/>
      </w:r>
      <w:r w:rsidR="00E52AEE">
        <w:rPr>
          <w:lang w:eastAsia="zh-CN"/>
        </w:rPr>
        <w:instrText xml:space="preserve"> REF _Ref8654074 \h </w:instrText>
      </w:r>
      <w:r w:rsidR="00E52AEE">
        <w:rPr>
          <w:lang w:eastAsia="zh-CN"/>
        </w:rPr>
      </w:r>
      <w:r w:rsidR="00E52AEE">
        <w:rPr>
          <w:lang w:eastAsia="zh-CN"/>
        </w:rPr>
        <w:fldChar w:fldCharType="separate"/>
      </w:r>
      <w:r w:rsidR="00D82D51">
        <w:t xml:space="preserve">Table </w:t>
      </w:r>
      <w:r w:rsidR="00D82D51">
        <w:rPr>
          <w:noProof/>
        </w:rPr>
        <w:t>1</w:t>
      </w:r>
      <w:r w:rsidR="00E52AEE">
        <w:rPr>
          <w:lang w:eastAsia="zh-CN"/>
        </w:rPr>
        <w:fldChar w:fldCharType="end"/>
      </w:r>
      <w:r w:rsidR="00E52AEE">
        <w:rPr>
          <w:lang w:eastAsia="zh-CN"/>
        </w:rPr>
        <w:t xml:space="preserve"> </w:t>
      </w:r>
      <w:r w:rsidR="00E253AD">
        <w:rPr>
          <w:lang w:eastAsia="zh-CN"/>
        </w:rPr>
        <w:t xml:space="preserve">lists </w:t>
      </w:r>
      <w:r w:rsidR="00E52AEE">
        <w:rPr>
          <w:lang w:eastAsia="zh-CN"/>
        </w:rPr>
        <w:t xml:space="preserve">specific thresholds at which </w:t>
      </w:r>
      <w:r w:rsidR="001E042E">
        <w:rPr>
          <w:lang w:eastAsia="zh-CN"/>
        </w:rPr>
        <w:t>the nanos</w:t>
      </w:r>
      <w:r w:rsidR="00E52AEE">
        <w:rPr>
          <w:lang w:eastAsia="zh-CN"/>
        </w:rPr>
        <w:t>atellite masses have been underestimated</w:t>
      </w:r>
      <w:r w:rsidR="001E042E">
        <w:rPr>
          <w:lang w:eastAsia="zh-CN"/>
        </w:rPr>
        <w:t xml:space="preserve"> based on this mass quantile approach</w:t>
      </w:r>
      <w:r w:rsidR="00E52AEE">
        <w:rPr>
          <w:lang w:eastAsia="zh-CN"/>
        </w:rPr>
        <w:t>.  There is a single outlier nanosatellite consistently underestimated by the mass estimation process which drives th</w:t>
      </w:r>
      <w:r w:rsidR="00E253AD">
        <w:rPr>
          <w:lang w:eastAsia="zh-CN"/>
        </w:rPr>
        <w:t>is</w:t>
      </w:r>
      <w:r w:rsidR="00E52AEE">
        <w:rPr>
          <w:lang w:eastAsia="zh-CN"/>
        </w:rPr>
        <w:t xml:space="preserve"> recommendation </w:t>
      </w:r>
      <w:r w:rsidR="00E253AD">
        <w:rPr>
          <w:lang w:eastAsia="zh-CN"/>
        </w:rPr>
        <w:t xml:space="preserve">up </w:t>
      </w:r>
      <w:r w:rsidR="00E52AEE">
        <w:rPr>
          <w:lang w:eastAsia="zh-CN"/>
        </w:rPr>
        <w:t>to the 99.9</w:t>
      </w:r>
      <w:r w:rsidR="00E52AEE" w:rsidRPr="00E52AEE">
        <w:rPr>
          <w:vertAlign w:val="superscript"/>
          <w:lang w:eastAsia="zh-CN"/>
        </w:rPr>
        <w:t>th</w:t>
      </w:r>
      <w:r w:rsidR="001E042E">
        <w:rPr>
          <w:lang w:eastAsia="zh-CN"/>
        </w:rPr>
        <w:t xml:space="preserve"> percentile, but yet is still not included in the 99.99</w:t>
      </w:r>
      <w:r w:rsidR="001E042E" w:rsidRPr="001E042E">
        <w:rPr>
          <w:vertAlign w:val="superscript"/>
          <w:lang w:eastAsia="zh-CN"/>
        </w:rPr>
        <w:t>th</w:t>
      </w:r>
      <w:r w:rsidR="001E042E">
        <w:rPr>
          <w:lang w:eastAsia="zh-CN"/>
        </w:rPr>
        <w:t xml:space="preserve"> percentile </w:t>
      </w:r>
      <w:r w:rsidR="000E38D9">
        <w:rPr>
          <w:lang w:eastAsia="zh-CN"/>
        </w:rPr>
        <w:t>assessment.</w:t>
      </w:r>
    </w:p>
    <w:p w14:paraId="5B959F66" w14:textId="77777777" w:rsidR="0059367B" w:rsidRDefault="0059367B" w:rsidP="002E243E">
      <w:pPr>
        <w:pStyle w:val="Caption"/>
      </w:pPr>
      <w:bookmarkStart w:id="9" w:name="_Ref8654074"/>
      <w:r>
        <w:t xml:space="preserve">Table </w:t>
      </w:r>
      <w:r w:rsidR="00D61970">
        <w:rPr>
          <w:noProof/>
        </w:rPr>
        <w:fldChar w:fldCharType="begin"/>
      </w:r>
      <w:r w:rsidR="00D61970">
        <w:rPr>
          <w:noProof/>
        </w:rPr>
        <w:instrText xml:space="preserve"> SEQ Table \* ARABIC </w:instrText>
      </w:r>
      <w:r w:rsidR="00D61970">
        <w:rPr>
          <w:noProof/>
        </w:rPr>
        <w:fldChar w:fldCharType="separate"/>
      </w:r>
      <w:r w:rsidR="00D82D51">
        <w:rPr>
          <w:noProof/>
        </w:rPr>
        <w:t>1</w:t>
      </w:r>
      <w:r w:rsidR="00D61970">
        <w:rPr>
          <w:noProof/>
        </w:rPr>
        <w:fldChar w:fldCharType="end"/>
      </w:r>
      <w:bookmarkEnd w:id="9"/>
      <w:r>
        <w:t>: Mass Underestimation Thresholds for Given Mass Estimation Quantiles</w:t>
      </w:r>
    </w:p>
    <w:tbl>
      <w:tblPr>
        <w:tblStyle w:val="TableClassic1"/>
        <w:tblW w:w="5580" w:type="dxa"/>
        <w:jc w:val="center"/>
        <w:tblLook w:val="04A0" w:firstRow="1" w:lastRow="0" w:firstColumn="1" w:lastColumn="0" w:noHBand="0" w:noVBand="1"/>
      </w:tblPr>
      <w:tblGrid>
        <w:gridCol w:w="2700"/>
        <w:gridCol w:w="2880"/>
      </w:tblGrid>
      <w:tr w:rsidR="0059367B" w:rsidRPr="0059367B" w14:paraId="4E4667E4" w14:textId="77777777" w:rsidTr="005936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hideMark/>
          </w:tcPr>
          <w:p w14:paraId="161101D8" w14:textId="77777777" w:rsidR="0059367B" w:rsidRPr="0059367B" w:rsidRDefault="0059367B" w:rsidP="0059367B">
            <w:pPr>
              <w:pStyle w:val="Els-body-text"/>
              <w:tabs>
                <w:tab w:val="center" w:pos="5130"/>
                <w:tab w:val="right" w:pos="10260"/>
              </w:tabs>
              <w:spacing w:line="240" w:lineRule="auto"/>
              <w:ind w:firstLine="0"/>
              <w:jc w:val="center"/>
            </w:pPr>
            <w:r w:rsidRPr="0059367B">
              <w:rPr>
                <w:b/>
                <w:bCs/>
              </w:rPr>
              <w:t xml:space="preserve">Mass Estimation </w:t>
            </w:r>
            <w:r>
              <w:rPr>
                <w:b/>
                <w:bCs/>
              </w:rPr>
              <w:br/>
            </w:r>
            <w:r w:rsidRPr="0059367B">
              <w:rPr>
                <w:b/>
                <w:bCs/>
              </w:rPr>
              <w:t>Quantile</w:t>
            </w:r>
          </w:p>
        </w:tc>
        <w:tc>
          <w:tcPr>
            <w:tcW w:w="2880" w:type="dxa"/>
            <w:hideMark/>
          </w:tcPr>
          <w:p w14:paraId="258083A0" w14:textId="77777777" w:rsidR="0059367B" w:rsidRPr="0059367B" w:rsidRDefault="0059367B" w:rsidP="006E3C95">
            <w:pPr>
              <w:pStyle w:val="Els-body-text"/>
              <w:tabs>
                <w:tab w:val="center" w:pos="5130"/>
                <w:tab w:val="right" w:pos="10260"/>
              </w:tabs>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sidRPr="0059367B">
              <w:rPr>
                <w:b/>
                <w:bCs/>
              </w:rPr>
              <w:t xml:space="preserve">Percent of </w:t>
            </w:r>
            <w:r w:rsidR="006E3C95">
              <w:rPr>
                <w:b/>
                <w:bCs/>
              </w:rPr>
              <w:t>Nanosatellite</w:t>
            </w:r>
            <w:r w:rsidRPr="0059367B">
              <w:rPr>
                <w:b/>
                <w:bCs/>
              </w:rPr>
              <w:t xml:space="preserve"> Masses Underestimated</w:t>
            </w:r>
          </w:p>
        </w:tc>
      </w:tr>
      <w:tr w:rsidR="0059367B" w:rsidRPr="0059367B" w14:paraId="177A721D" w14:textId="77777777" w:rsidTr="0059367B">
        <w:trPr>
          <w:jc w:val="center"/>
        </w:trPr>
        <w:tc>
          <w:tcPr>
            <w:cnfStyle w:val="001000000000" w:firstRow="0" w:lastRow="0" w:firstColumn="1" w:lastColumn="0" w:oddVBand="0" w:evenVBand="0" w:oddHBand="0" w:evenHBand="0" w:firstRowFirstColumn="0" w:firstRowLastColumn="0" w:lastRowFirstColumn="0" w:lastRowLastColumn="0"/>
            <w:tcW w:w="2700" w:type="dxa"/>
            <w:hideMark/>
          </w:tcPr>
          <w:p w14:paraId="7E0C7CB4" w14:textId="77777777" w:rsidR="0059367B" w:rsidRPr="00E0664B" w:rsidRDefault="0059367B" w:rsidP="0059367B">
            <w:pPr>
              <w:pStyle w:val="Els-body-text"/>
              <w:tabs>
                <w:tab w:val="center" w:pos="5130"/>
                <w:tab w:val="right" w:pos="10260"/>
              </w:tabs>
              <w:spacing w:line="240" w:lineRule="auto"/>
              <w:ind w:firstLine="0"/>
              <w:jc w:val="center"/>
            </w:pPr>
            <w:r w:rsidRPr="00E0664B">
              <w:rPr>
                <w:bCs/>
              </w:rPr>
              <w:t>50%</w:t>
            </w:r>
          </w:p>
        </w:tc>
        <w:tc>
          <w:tcPr>
            <w:tcW w:w="2880" w:type="dxa"/>
            <w:hideMark/>
          </w:tcPr>
          <w:p w14:paraId="4018EE4A" w14:textId="77777777" w:rsidR="0059367B" w:rsidRPr="0059367B" w:rsidRDefault="0059367B" w:rsidP="0059367B">
            <w:pPr>
              <w:pStyle w:val="Els-body-text"/>
              <w:tabs>
                <w:tab w:val="center" w:pos="5130"/>
                <w:tab w:val="right" w:pos="10260"/>
              </w:tabs>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59367B">
              <w:t>64.01%</w:t>
            </w:r>
          </w:p>
        </w:tc>
      </w:tr>
      <w:tr w:rsidR="0059367B" w:rsidRPr="0059367B" w14:paraId="379C6409" w14:textId="77777777" w:rsidTr="0059367B">
        <w:trPr>
          <w:jc w:val="center"/>
        </w:trPr>
        <w:tc>
          <w:tcPr>
            <w:cnfStyle w:val="001000000000" w:firstRow="0" w:lastRow="0" w:firstColumn="1" w:lastColumn="0" w:oddVBand="0" w:evenVBand="0" w:oddHBand="0" w:evenHBand="0" w:firstRowFirstColumn="0" w:firstRowLastColumn="0" w:lastRowFirstColumn="0" w:lastRowLastColumn="0"/>
            <w:tcW w:w="2700" w:type="dxa"/>
            <w:hideMark/>
          </w:tcPr>
          <w:p w14:paraId="4F788539" w14:textId="77777777" w:rsidR="0059367B" w:rsidRPr="00E0664B" w:rsidRDefault="0059367B" w:rsidP="0059367B">
            <w:pPr>
              <w:pStyle w:val="Els-body-text"/>
              <w:tabs>
                <w:tab w:val="center" w:pos="5130"/>
                <w:tab w:val="right" w:pos="10260"/>
              </w:tabs>
              <w:spacing w:line="240" w:lineRule="auto"/>
              <w:ind w:firstLine="0"/>
              <w:jc w:val="center"/>
            </w:pPr>
            <w:r w:rsidRPr="00E0664B">
              <w:rPr>
                <w:bCs/>
              </w:rPr>
              <w:t>75%</w:t>
            </w:r>
          </w:p>
        </w:tc>
        <w:tc>
          <w:tcPr>
            <w:tcW w:w="2880" w:type="dxa"/>
            <w:hideMark/>
          </w:tcPr>
          <w:p w14:paraId="5D9BA882" w14:textId="77777777" w:rsidR="0059367B" w:rsidRPr="0059367B" w:rsidRDefault="0059367B" w:rsidP="0059367B">
            <w:pPr>
              <w:pStyle w:val="Els-body-text"/>
              <w:tabs>
                <w:tab w:val="center" w:pos="5130"/>
                <w:tab w:val="right" w:pos="10260"/>
              </w:tabs>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59367B">
              <w:t>32.33%</w:t>
            </w:r>
          </w:p>
        </w:tc>
      </w:tr>
      <w:tr w:rsidR="0059367B" w:rsidRPr="0059367B" w14:paraId="48AC77CA" w14:textId="77777777" w:rsidTr="0059367B">
        <w:trPr>
          <w:jc w:val="center"/>
        </w:trPr>
        <w:tc>
          <w:tcPr>
            <w:cnfStyle w:val="001000000000" w:firstRow="0" w:lastRow="0" w:firstColumn="1" w:lastColumn="0" w:oddVBand="0" w:evenVBand="0" w:oddHBand="0" w:evenHBand="0" w:firstRowFirstColumn="0" w:firstRowLastColumn="0" w:lastRowFirstColumn="0" w:lastRowLastColumn="0"/>
            <w:tcW w:w="2700" w:type="dxa"/>
            <w:hideMark/>
          </w:tcPr>
          <w:p w14:paraId="05B67AD3" w14:textId="77777777" w:rsidR="0059367B" w:rsidRPr="00E0664B" w:rsidRDefault="0059367B" w:rsidP="0059367B">
            <w:pPr>
              <w:pStyle w:val="Els-body-text"/>
              <w:tabs>
                <w:tab w:val="center" w:pos="5130"/>
                <w:tab w:val="right" w:pos="10260"/>
              </w:tabs>
              <w:spacing w:line="240" w:lineRule="auto"/>
              <w:ind w:firstLine="0"/>
              <w:jc w:val="center"/>
            </w:pPr>
            <w:r w:rsidRPr="00E0664B">
              <w:rPr>
                <w:bCs/>
              </w:rPr>
              <w:t>95%</w:t>
            </w:r>
          </w:p>
        </w:tc>
        <w:tc>
          <w:tcPr>
            <w:tcW w:w="2880" w:type="dxa"/>
            <w:hideMark/>
          </w:tcPr>
          <w:p w14:paraId="4492A40E" w14:textId="77777777" w:rsidR="0059367B" w:rsidRPr="0059367B" w:rsidRDefault="0059367B" w:rsidP="0059367B">
            <w:pPr>
              <w:pStyle w:val="Els-body-text"/>
              <w:tabs>
                <w:tab w:val="center" w:pos="5130"/>
                <w:tab w:val="right" w:pos="10260"/>
              </w:tabs>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59367B">
              <w:t>5.08%</w:t>
            </w:r>
          </w:p>
        </w:tc>
      </w:tr>
      <w:tr w:rsidR="0059367B" w:rsidRPr="0059367B" w14:paraId="4214BD45" w14:textId="77777777" w:rsidTr="0059367B">
        <w:trPr>
          <w:jc w:val="center"/>
        </w:trPr>
        <w:tc>
          <w:tcPr>
            <w:cnfStyle w:val="001000000000" w:firstRow="0" w:lastRow="0" w:firstColumn="1" w:lastColumn="0" w:oddVBand="0" w:evenVBand="0" w:oddHBand="0" w:evenHBand="0" w:firstRowFirstColumn="0" w:firstRowLastColumn="0" w:lastRowFirstColumn="0" w:lastRowLastColumn="0"/>
            <w:tcW w:w="2700" w:type="dxa"/>
            <w:hideMark/>
          </w:tcPr>
          <w:p w14:paraId="1B7C5DE5" w14:textId="77777777" w:rsidR="0059367B" w:rsidRPr="00E0664B" w:rsidRDefault="0059367B" w:rsidP="0059367B">
            <w:pPr>
              <w:pStyle w:val="Els-body-text"/>
              <w:tabs>
                <w:tab w:val="center" w:pos="5130"/>
                <w:tab w:val="right" w:pos="10260"/>
              </w:tabs>
              <w:spacing w:line="240" w:lineRule="auto"/>
              <w:ind w:firstLine="0"/>
              <w:jc w:val="center"/>
            </w:pPr>
            <w:r w:rsidRPr="00E0664B">
              <w:rPr>
                <w:bCs/>
              </w:rPr>
              <w:t>99%</w:t>
            </w:r>
          </w:p>
        </w:tc>
        <w:tc>
          <w:tcPr>
            <w:tcW w:w="2880" w:type="dxa"/>
            <w:hideMark/>
          </w:tcPr>
          <w:p w14:paraId="0D2AE80C" w14:textId="77777777" w:rsidR="0059367B" w:rsidRPr="0059367B" w:rsidRDefault="0059367B" w:rsidP="0059367B">
            <w:pPr>
              <w:pStyle w:val="Els-body-text"/>
              <w:tabs>
                <w:tab w:val="center" w:pos="5130"/>
                <w:tab w:val="right" w:pos="10260"/>
              </w:tabs>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59367B">
              <w:t>1.31%</w:t>
            </w:r>
          </w:p>
        </w:tc>
      </w:tr>
      <w:tr w:rsidR="0059367B" w:rsidRPr="0059367B" w14:paraId="490E2631" w14:textId="77777777" w:rsidTr="0059367B">
        <w:trPr>
          <w:jc w:val="center"/>
        </w:trPr>
        <w:tc>
          <w:tcPr>
            <w:cnfStyle w:val="001000000000" w:firstRow="0" w:lastRow="0" w:firstColumn="1" w:lastColumn="0" w:oddVBand="0" w:evenVBand="0" w:oddHBand="0" w:evenHBand="0" w:firstRowFirstColumn="0" w:firstRowLastColumn="0" w:lastRowFirstColumn="0" w:lastRowLastColumn="0"/>
            <w:tcW w:w="2700" w:type="dxa"/>
            <w:hideMark/>
          </w:tcPr>
          <w:p w14:paraId="30ADE0A6" w14:textId="77777777" w:rsidR="0059367B" w:rsidRPr="00E0664B" w:rsidRDefault="0059367B" w:rsidP="0059367B">
            <w:pPr>
              <w:pStyle w:val="Els-body-text"/>
              <w:tabs>
                <w:tab w:val="center" w:pos="5130"/>
                <w:tab w:val="right" w:pos="10260"/>
              </w:tabs>
              <w:spacing w:line="240" w:lineRule="auto"/>
              <w:ind w:firstLine="0"/>
              <w:jc w:val="center"/>
            </w:pPr>
            <w:r w:rsidRPr="00E0664B">
              <w:rPr>
                <w:bCs/>
              </w:rPr>
              <w:t>99.9%</w:t>
            </w:r>
          </w:p>
        </w:tc>
        <w:tc>
          <w:tcPr>
            <w:tcW w:w="2880" w:type="dxa"/>
            <w:hideMark/>
          </w:tcPr>
          <w:p w14:paraId="19901F51" w14:textId="77777777" w:rsidR="0059367B" w:rsidRPr="0059367B" w:rsidRDefault="0059367B" w:rsidP="0059367B">
            <w:pPr>
              <w:pStyle w:val="Els-body-text"/>
              <w:tabs>
                <w:tab w:val="center" w:pos="5130"/>
                <w:tab w:val="right" w:pos="10260"/>
              </w:tabs>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59367B">
              <w:t>0.52%</w:t>
            </w:r>
          </w:p>
        </w:tc>
      </w:tr>
      <w:tr w:rsidR="0059367B" w:rsidRPr="0059367B" w14:paraId="11F8965E" w14:textId="77777777" w:rsidTr="0059367B">
        <w:trPr>
          <w:jc w:val="center"/>
        </w:trPr>
        <w:tc>
          <w:tcPr>
            <w:cnfStyle w:val="001000000000" w:firstRow="0" w:lastRow="0" w:firstColumn="1" w:lastColumn="0" w:oddVBand="0" w:evenVBand="0" w:oddHBand="0" w:evenHBand="0" w:firstRowFirstColumn="0" w:firstRowLastColumn="0" w:lastRowFirstColumn="0" w:lastRowLastColumn="0"/>
            <w:tcW w:w="2700" w:type="dxa"/>
            <w:hideMark/>
          </w:tcPr>
          <w:p w14:paraId="3EDBEF61" w14:textId="77777777" w:rsidR="0059367B" w:rsidRPr="00E0664B" w:rsidRDefault="0059367B" w:rsidP="0059367B">
            <w:pPr>
              <w:pStyle w:val="Els-body-text"/>
              <w:tabs>
                <w:tab w:val="center" w:pos="5130"/>
                <w:tab w:val="right" w:pos="10260"/>
              </w:tabs>
              <w:spacing w:line="240" w:lineRule="auto"/>
              <w:ind w:firstLine="0"/>
              <w:jc w:val="center"/>
            </w:pPr>
            <w:r w:rsidRPr="00E0664B">
              <w:rPr>
                <w:bCs/>
              </w:rPr>
              <w:t>99.99%</w:t>
            </w:r>
          </w:p>
        </w:tc>
        <w:tc>
          <w:tcPr>
            <w:tcW w:w="2880" w:type="dxa"/>
            <w:hideMark/>
          </w:tcPr>
          <w:p w14:paraId="167B4451" w14:textId="77777777" w:rsidR="0059367B" w:rsidRPr="0059367B" w:rsidRDefault="0059367B" w:rsidP="0059367B">
            <w:pPr>
              <w:pStyle w:val="Els-body-text"/>
              <w:tabs>
                <w:tab w:val="center" w:pos="5130"/>
                <w:tab w:val="right" w:pos="10260"/>
              </w:tabs>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59367B">
              <w:t>0.40%</w:t>
            </w:r>
          </w:p>
        </w:tc>
      </w:tr>
    </w:tbl>
    <w:p w14:paraId="258D5923" w14:textId="77777777" w:rsidR="00281DEE" w:rsidRDefault="00281DEE" w:rsidP="00C37D3E">
      <w:pPr>
        <w:pStyle w:val="Els-body-text"/>
        <w:tabs>
          <w:tab w:val="center" w:pos="5130"/>
          <w:tab w:val="right" w:pos="10260"/>
        </w:tabs>
        <w:ind w:firstLine="0"/>
        <w:rPr>
          <w:lang w:eastAsia="zh-CN"/>
        </w:rPr>
      </w:pPr>
    </w:p>
    <w:p w14:paraId="3AA15DD2" w14:textId="77777777" w:rsidR="00281DEE" w:rsidRDefault="00281DEE" w:rsidP="00281DEE">
      <w:pPr>
        <w:pStyle w:val="Heading1"/>
      </w:pPr>
      <w:r>
        <w:lastRenderedPageBreak/>
        <w:t xml:space="preserve">Collision Consequence Assessment for </w:t>
      </w:r>
      <w:r w:rsidR="002E2F95">
        <w:t>Historic</w:t>
      </w:r>
      <w:r>
        <w:t xml:space="preserve"> Events</w:t>
      </w:r>
    </w:p>
    <w:p w14:paraId="5B990D6A" w14:textId="1EFA27C6" w:rsidR="00832D3E" w:rsidRDefault="00424792" w:rsidP="00832D3E">
      <w:pPr>
        <w:pStyle w:val="Els-body-text"/>
        <w:tabs>
          <w:tab w:val="center" w:pos="5130"/>
          <w:tab w:val="right" w:pos="10260"/>
        </w:tabs>
        <w:spacing w:line="240" w:lineRule="auto"/>
        <w:ind w:firstLine="274"/>
        <w:rPr>
          <w:lang w:eastAsia="zh-CN"/>
        </w:rPr>
      </w:pPr>
      <w:r>
        <w:rPr>
          <w:lang w:eastAsia="zh-CN"/>
        </w:rPr>
        <w:t>Applying the quantile mass estimation method to a set of archived conjunctions provides a means to evaluate the frequency of catastrophic events.  Specifically</w:t>
      </w:r>
      <w:r w:rsidR="003D2D81">
        <w:rPr>
          <w:lang w:eastAsia="zh-CN"/>
        </w:rPr>
        <w:t>, this analysis applies the method</w:t>
      </w:r>
      <w:r>
        <w:rPr>
          <w:lang w:eastAsia="zh-CN"/>
        </w:rPr>
        <w:t xml:space="preserve"> to 9,652 conjunctions </w:t>
      </w:r>
      <w:r w:rsidR="000F756C">
        <w:rPr>
          <w:lang w:eastAsia="zh-CN"/>
        </w:rPr>
        <w:t xml:space="preserve">observed over 5 years </w:t>
      </w:r>
      <w:r w:rsidR="003D2D81">
        <w:rPr>
          <w:lang w:eastAsia="zh-CN"/>
        </w:rPr>
        <w:t>involving</w:t>
      </w:r>
      <w:r>
        <w:rPr>
          <w:lang w:eastAsia="zh-CN"/>
        </w:rPr>
        <w:t xml:space="preserve"> three NASA </w:t>
      </w:r>
      <w:r w:rsidR="00024BFA">
        <w:rPr>
          <w:lang w:eastAsia="zh-CN"/>
        </w:rPr>
        <w:t xml:space="preserve">“A-train” </w:t>
      </w:r>
      <w:r>
        <w:rPr>
          <w:lang w:eastAsia="zh-CN"/>
        </w:rPr>
        <w:t>satellites</w:t>
      </w:r>
      <w:r w:rsidR="000F756C">
        <w:rPr>
          <w:lang w:eastAsia="zh-CN"/>
        </w:rPr>
        <w:t>,</w:t>
      </w:r>
      <w:r w:rsidR="00246E0D">
        <w:rPr>
          <w:lang w:eastAsia="zh-CN"/>
        </w:rPr>
        <w:t xml:space="preserve"> </w:t>
      </w:r>
      <w:r w:rsidR="00832D3E">
        <w:rPr>
          <w:lang w:eastAsia="zh-CN"/>
        </w:rPr>
        <w:t>AQUA, AURA, and TERRA</w:t>
      </w:r>
      <w:r>
        <w:rPr>
          <w:lang w:eastAsia="zh-CN"/>
        </w:rPr>
        <w:t>,</w:t>
      </w:r>
      <w:r w:rsidR="00832D3E">
        <w:rPr>
          <w:lang w:eastAsia="zh-CN"/>
        </w:rPr>
        <w:t xml:space="preserve"> which </w:t>
      </w:r>
      <w:r>
        <w:rPr>
          <w:lang w:eastAsia="zh-CN"/>
        </w:rPr>
        <w:t xml:space="preserve">occupy a </w:t>
      </w:r>
      <w:r w:rsidR="00832D3E">
        <w:rPr>
          <w:lang w:eastAsia="zh-CN"/>
        </w:rPr>
        <w:t>~700 km altitude polar orbit</w:t>
      </w:r>
      <w:r>
        <w:rPr>
          <w:lang w:eastAsia="zh-CN"/>
        </w:rPr>
        <w:t xml:space="preserve"> </w:t>
      </w:r>
      <w:r w:rsidR="000F756C">
        <w:rPr>
          <w:lang w:eastAsia="zh-CN"/>
        </w:rPr>
        <w:t>in a leading/trailing configuration</w:t>
      </w:r>
      <w:r w:rsidR="00832D3E">
        <w:rPr>
          <w:lang w:eastAsia="zh-CN"/>
        </w:rPr>
        <w:t xml:space="preserve">.  </w:t>
      </w:r>
      <w:r w:rsidR="000F756C">
        <w:rPr>
          <w:lang w:eastAsia="zh-CN"/>
        </w:rPr>
        <w:t>T</w:t>
      </w:r>
      <w:r w:rsidR="00832D3E">
        <w:rPr>
          <w:lang w:eastAsia="zh-CN"/>
        </w:rPr>
        <w:t>he catastrophic nature of potential collisions was analyzed using a normalized mass of 2000 k</w:t>
      </w:r>
      <w:r w:rsidR="00C35A40">
        <w:rPr>
          <w:lang w:eastAsia="zh-CN"/>
        </w:rPr>
        <w:t>g</w:t>
      </w:r>
      <w:r w:rsidR="00832D3E">
        <w:rPr>
          <w:lang w:eastAsia="zh-CN"/>
        </w:rPr>
        <w:t xml:space="preserve"> for each of the</w:t>
      </w:r>
      <w:r w:rsidR="003D2D81">
        <w:rPr>
          <w:lang w:eastAsia="zh-CN"/>
        </w:rPr>
        <w:t>se</w:t>
      </w:r>
      <w:r w:rsidR="00832D3E">
        <w:rPr>
          <w:lang w:eastAsia="zh-CN"/>
        </w:rPr>
        <w:t xml:space="preserve"> primary objects.  This allowed the catastrophic event frequency</w:t>
      </w:r>
      <w:r w:rsidR="000F756C">
        <w:rPr>
          <w:lang w:eastAsia="zh-CN"/>
        </w:rPr>
        <w:t xml:space="preserve"> and debris production potential</w:t>
      </w:r>
      <w:r w:rsidR="00832D3E">
        <w:rPr>
          <w:lang w:eastAsia="zh-CN"/>
        </w:rPr>
        <w:t xml:space="preserve"> for satellites in orbits similar to </w:t>
      </w:r>
      <w:r w:rsidR="00165BD5">
        <w:rPr>
          <w:lang w:eastAsia="zh-CN"/>
        </w:rPr>
        <w:t xml:space="preserve">these </w:t>
      </w:r>
      <w:r w:rsidR="00832D3E">
        <w:rPr>
          <w:lang w:eastAsia="zh-CN"/>
        </w:rPr>
        <w:t xml:space="preserve">primaries to be examined on a mass estimation quantile basis as seen in </w:t>
      </w:r>
      <w:r w:rsidR="004A662B">
        <w:rPr>
          <w:lang w:eastAsia="zh-CN"/>
        </w:rPr>
        <w:fldChar w:fldCharType="begin"/>
      </w:r>
      <w:r w:rsidR="004A662B">
        <w:rPr>
          <w:lang w:eastAsia="zh-CN"/>
        </w:rPr>
        <w:instrText xml:space="preserve"> REF _Ref8656383 \h </w:instrText>
      </w:r>
      <w:r w:rsidR="004A662B">
        <w:rPr>
          <w:lang w:eastAsia="zh-CN"/>
        </w:rPr>
      </w:r>
      <w:r w:rsidR="004A662B">
        <w:rPr>
          <w:lang w:eastAsia="zh-CN"/>
        </w:rPr>
        <w:fldChar w:fldCharType="separate"/>
      </w:r>
      <w:r w:rsidR="00D82D51">
        <w:t xml:space="preserve">Figure </w:t>
      </w:r>
      <w:r w:rsidR="00D82D51">
        <w:rPr>
          <w:noProof/>
        </w:rPr>
        <w:t>4</w:t>
      </w:r>
      <w:r w:rsidR="004A662B">
        <w:rPr>
          <w:lang w:eastAsia="zh-CN"/>
        </w:rPr>
        <w:fldChar w:fldCharType="end"/>
      </w:r>
      <w:r w:rsidR="004A662B">
        <w:rPr>
          <w:lang w:eastAsia="zh-CN"/>
        </w:rPr>
        <w:t>.</w:t>
      </w:r>
    </w:p>
    <w:p w14:paraId="19A48A54" w14:textId="77777777" w:rsidR="00832D3E" w:rsidRDefault="00832D3E" w:rsidP="00832D3E">
      <w:pPr>
        <w:pStyle w:val="Els-body-text"/>
        <w:keepNext/>
        <w:tabs>
          <w:tab w:val="center" w:pos="5130"/>
          <w:tab w:val="right" w:pos="10260"/>
        </w:tabs>
        <w:spacing w:line="240" w:lineRule="auto"/>
        <w:ind w:firstLine="274"/>
      </w:pPr>
      <w:r w:rsidRPr="00832D3E">
        <w:rPr>
          <w:noProof/>
        </w:rPr>
        <w:drawing>
          <wp:inline distT="0" distB="0" distL="0" distR="0" wp14:anchorId="776CD6EB" wp14:editId="257DEC82">
            <wp:extent cx="5045688" cy="4499072"/>
            <wp:effectExtent l="0" t="0" r="3175" b="0"/>
            <wp:docPr id="3" name="Picture 3" descr="E:\Collision Consequence\HistoricDataAnalysisResults\Historic Data Analysis.png"/>
            <wp:cNvGraphicFramePr/>
            <a:graphic xmlns:a="http://schemas.openxmlformats.org/drawingml/2006/main">
              <a:graphicData uri="http://schemas.openxmlformats.org/drawingml/2006/picture">
                <pic:pic xmlns:pic="http://schemas.openxmlformats.org/drawingml/2006/picture">
                  <pic:nvPicPr>
                    <pic:cNvPr id="4" name="Picture 3" descr="E:\Collision Consequence\HistoricDataAnalysisResults\Historic Data Analysis.png"/>
                    <pic:cNvPicPr/>
                  </pic:nvPicPr>
                  <pic:blipFill rotWithShape="1">
                    <a:blip r:embed="rId11">
                      <a:extLst>
                        <a:ext uri="{28A0092B-C50C-407E-A947-70E740481C1C}">
                          <a14:useLocalDpi xmlns:a14="http://schemas.microsoft.com/office/drawing/2010/main" val="0"/>
                        </a:ext>
                      </a:extLst>
                    </a:blip>
                    <a:srcRect l="5804" r="7809" b="3174"/>
                    <a:stretch/>
                  </pic:blipFill>
                  <pic:spPr bwMode="auto">
                    <a:xfrm>
                      <a:off x="0" y="0"/>
                      <a:ext cx="5050542" cy="4503400"/>
                    </a:xfrm>
                    <a:prstGeom prst="rect">
                      <a:avLst/>
                    </a:prstGeom>
                    <a:noFill/>
                    <a:ln>
                      <a:noFill/>
                    </a:ln>
                  </pic:spPr>
                </pic:pic>
              </a:graphicData>
            </a:graphic>
          </wp:inline>
        </w:drawing>
      </w:r>
    </w:p>
    <w:p w14:paraId="585B84CB" w14:textId="77777777" w:rsidR="00832D3E" w:rsidRPr="00832D3E" w:rsidRDefault="00832D3E" w:rsidP="002E243E">
      <w:pPr>
        <w:pStyle w:val="Caption"/>
      </w:pPr>
      <w:bookmarkStart w:id="10" w:name="_Ref8656383"/>
      <w:r>
        <w:t xml:space="preserve">Figure </w:t>
      </w:r>
      <w:r w:rsidR="00D61970">
        <w:rPr>
          <w:noProof/>
        </w:rPr>
        <w:fldChar w:fldCharType="begin"/>
      </w:r>
      <w:r w:rsidR="00D61970">
        <w:rPr>
          <w:noProof/>
        </w:rPr>
        <w:instrText xml:space="preserve"> SEQ Figure \* ARABIC </w:instrText>
      </w:r>
      <w:r w:rsidR="00D61970">
        <w:rPr>
          <w:noProof/>
        </w:rPr>
        <w:fldChar w:fldCharType="separate"/>
      </w:r>
      <w:r w:rsidR="00D82D51">
        <w:rPr>
          <w:noProof/>
        </w:rPr>
        <w:t>4</w:t>
      </w:r>
      <w:r w:rsidR="00D61970">
        <w:rPr>
          <w:noProof/>
        </w:rPr>
        <w:fldChar w:fldCharType="end"/>
      </w:r>
      <w:bookmarkEnd w:id="10"/>
      <w:r>
        <w:t xml:space="preserve">: </w:t>
      </w:r>
      <w:r w:rsidR="004A662B">
        <w:t>Historic Data, Catastrophic Collision Estimates by Mass Estimation Quantile</w:t>
      </w:r>
    </w:p>
    <w:p w14:paraId="4A023623" w14:textId="29AC823A" w:rsidR="00832D3E" w:rsidRDefault="00E25F16" w:rsidP="00832D3E">
      <w:pPr>
        <w:pStyle w:val="Els-body-text"/>
        <w:tabs>
          <w:tab w:val="center" w:pos="5130"/>
          <w:tab w:val="right" w:pos="10260"/>
        </w:tabs>
        <w:spacing w:line="240" w:lineRule="auto"/>
        <w:ind w:firstLine="274"/>
        <w:rPr>
          <w:lang w:eastAsia="zh-CN"/>
        </w:rPr>
      </w:pPr>
      <w:r>
        <w:rPr>
          <w:lang w:eastAsia="zh-CN"/>
        </w:rPr>
        <w:fldChar w:fldCharType="begin"/>
      </w:r>
      <w:r>
        <w:rPr>
          <w:lang w:eastAsia="zh-CN"/>
        </w:rPr>
        <w:instrText xml:space="preserve"> REF _Ref8656383 \h </w:instrText>
      </w:r>
      <w:r>
        <w:rPr>
          <w:lang w:eastAsia="zh-CN"/>
        </w:rPr>
      </w:r>
      <w:r>
        <w:rPr>
          <w:lang w:eastAsia="zh-CN"/>
        </w:rPr>
        <w:fldChar w:fldCharType="separate"/>
      </w:r>
      <w:r>
        <w:t xml:space="preserve">Figure </w:t>
      </w:r>
      <w:r>
        <w:rPr>
          <w:noProof/>
        </w:rPr>
        <w:t>4</w:t>
      </w:r>
      <w:r>
        <w:rPr>
          <w:lang w:eastAsia="zh-CN"/>
        </w:rPr>
        <w:fldChar w:fldCharType="end"/>
      </w:r>
      <w:r w:rsidR="0079589B">
        <w:rPr>
          <w:lang w:eastAsia="zh-CN"/>
        </w:rPr>
        <w:t xml:space="preserve"> shows that the method indicates ~69% of the analyzed conjunctions</w:t>
      </w:r>
      <w:r w:rsidR="004A662B">
        <w:rPr>
          <w:lang w:eastAsia="zh-CN"/>
        </w:rPr>
        <w:t xml:space="preserve"> </w:t>
      </w:r>
      <w:r w:rsidR="003E5804">
        <w:rPr>
          <w:lang w:eastAsia="zh-CN"/>
        </w:rPr>
        <w:t xml:space="preserve">to be </w:t>
      </w:r>
      <w:r w:rsidR="0079589B">
        <w:rPr>
          <w:lang w:eastAsia="zh-CN"/>
        </w:rPr>
        <w:t xml:space="preserve">likely </w:t>
      </w:r>
      <w:r w:rsidR="004A662B">
        <w:rPr>
          <w:lang w:eastAsia="zh-CN"/>
        </w:rPr>
        <w:t>non-catastrophic</w:t>
      </w:r>
      <w:r w:rsidR="000F756C">
        <w:rPr>
          <w:lang w:eastAsia="zh-CN"/>
        </w:rPr>
        <w:t>, using the recommended quantile of 99.9% for mass estimation</w:t>
      </w:r>
      <w:r w:rsidR="004A662B">
        <w:rPr>
          <w:lang w:eastAsia="zh-CN"/>
        </w:rPr>
        <w:t>.</w:t>
      </w:r>
      <w:r w:rsidR="001F6A1F">
        <w:rPr>
          <w:lang w:eastAsia="zh-CN"/>
        </w:rPr>
        <w:t xml:space="preserve">  </w:t>
      </w:r>
      <w:r w:rsidR="00C35A40">
        <w:rPr>
          <w:lang w:eastAsia="zh-CN"/>
        </w:rPr>
        <w:t>If an operator</w:t>
      </w:r>
      <w:r w:rsidR="00246E0D">
        <w:rPr>
          <w:lang w:eastAsia="zh-CN"/>
        </w:rPr>
        <w:t xml:space="preserve"> desires</w:t>
      </w:r>
      <w:r w:rsidR="00C35A40">
        <w:rPr>
          <w:lang w:eastAsia="zh-CN"/>
        </w:rPr>
        <w:t xml:space="preserve"> to </w:t>
      </w:r>
      <w:r w:rsidR="00165BD5">
        <w:rPr>
          <w:lang w:eastAsia="zh-CN"/>
        </w:rPr>
        <w:t>invoke a more conservative</w:t>
      </w:r>
      <w:r w:rsidR="00C35A40">
        <w:rPr>
          <w:lang w:eastAsia="zh-CN"/>
        </w:rPr>
        <w:t xml:space="preserve"> approximation of </w:t>
      </w:r>
      <w:r w:rsidR="00246E0D">
        <w:rPr>
          <w:lang w:eastAsia="zh-CN"/>
        </w:rPr>
        <w:t>a</w:t>
      </w:r>
      <w:r w:rsidR="00C35A40">
        <w:rPr>
          <w:lang w:eastAsia="zh-CN"/>
        </w:rPr>
        <w:t xml:space="preserve"> “lethal” relative kinetic energy at 20,000 J/kg</w:t>
      </w:r>
      <w:r w:rsidR="000F756C">
        <w:rPr>
          <w:lang w:eastAsia="zh-CN"/>
        </w:rPr>
        <w:t xml:space="preserve"> (instead of 40,000 J/kg</w:t>
      </w:r>
      <w:r w:rsidR="00865115">
        <w:rPr>
          <w:lang w:eastAsia="zh-CN"/>
        </w:rPr>
        <w:t>, to approximate the case wherein the primary object is rendered inoperable, but not fragmented</w:t>
      </w:r>
      <w:r w:rsidR="000F756C">
        <w:rPr>
          <w:lang w:eastAsia="zh-CN"/>
        </w:rPr>
        <w:t>)</w:t>
      </w:r>
      <w:r w:rsidR="00C35A40">
        <w:rPr>
          <w:lang w:eastAsia="zh-CN"/>
        </w:rPr>
        <w:t xml:space="preserve">, and treat all events below that threshold </w:t>
      </w:r>
      <w:r w:rsidR="000F756C">
        <w:rPr>
          <w:lang w:eastAsia="zh-CN"/>
        </w:rPr>
        <w:t>non-catastrophic</w:t>
      </w:r>
      <w:r w:rsidR="00C35A40">
        <w:rPr>
          <w:lang w:eastAsia="zh-CN"/>
        </w:rPr>
        <w:t xml:space="preserve">, </w:t>
      </w:r>
      <w:r w:rsidR="000F756C">
        <w:rPr>
          <w:lang w:eastAsia="zh-CN"/>
        </w:rPr>
        <w:t xml:space="preserve">then </w:t>
      </w:r>
      <w:r w:rsidR="003E31C5">
        <w:rPr>
          <w:lang w:eastAsia="zh-CN"/>
        </w:rPr>
        <w:t xml:space="preserve">this would be reduced to </w:t>
      </w:r>
      <w:r w:rsidR="00C35A40">
        <w:rPr>
          <w:lang w:eastAsia="zh-CN"/>
        </w:rPr>
        <w:t>~52%</w:t>
      </w:r>
      <w:r w:rsidR="003E31C5">
        <w:rPr>
          <w:lang w:eastAsia="zh-CN"/>
        </w:rPr>
        <w:t xml:space="preserve">, as indicated in </w:t>
      </w:r>
      <w:r w:rsidR="00246E0D">
        <w:rPr>
          <w:lang w:eastAsia="zh-CN"/>
        </w:rPr>
        <w:fldChar w:fldCharType="begin"/>
      </w:r>
      <w:r w:rsidR="00246E0D">
        <w:rPr>
          <w:lang w:eastAsia="zh-CN"/>
        </w:rPr>
        <w:instrText xml:space="preserve"> REF _Ref8656383 \h </w:instrText>
      </w:r>
      <w:r w:rsidR="00246E0D">
        <w:rPr>
          <w:lang w:eastAsia="zh-CN"/>
        </w:rPr>
      </w:r>
      <w:r w:rsidR="00246E0D">
        <w:rPr>
          <w:lang w:eastAsia="zh-CN"/>
        </w:rPr>
        <w:fldChar w:fldCharType="separate"/>
      </w:r>
      <w:r w:rsidR="00D82D51">
        <w:t xml:space="preserve">Figure </w:t>
      </w:r>
      <w:r w:rsidR="00D82D51">
        <w:rPr>
          <w:noProof/>
        </w:rPr>
        <w:t>4</w:t>
      </w:r>
      <w:r w:rsidR="00246E0D">
        <w:rPr>
          <w:lang w:eastAsia="zh-CN"/>
        </w:rPr>
        <w:fldChar w:fldCharType="end"/>
      </w:r>
      <w:r w:rsidR="00C35A40">
        <w:rPr>
          <w:lang w:eastAsia="zh-CN"/>
        </w:rPr>
        <w:t xml:space="preserve">.  </w:t>
      </w:r>
      <w:r w:rsidR="003E5804">
        <w:rPr>
          <w:lang w:eastAsia="zh-CN"/>
        </w:rPr>
        <w:t>So</w:t>
      </w:r>
      <w:r w:rsidR="00165BD5">
        <w:rPr>
          <w:lang w:eastAsia="zh-CN"/>
        </w:rPr>
        <w:t>,</w:t>
      </w:r>
      <w:r w:rsidR="003E5804">
        <w:rPr>
          <w:lang w:eastAsia="zh-CN"/>
        </w:rPr>
        <w:t xml:space="preserve"> for this orbital regime</w:t>
      </w:r>
      <w:r w:rsidR="0079589B">
        <w:rPr>
          <w:lang w:eastAsia="zh-CN"/>
        </w:rPr>
        <w:t xml:space="preserve"> and for this assumed primary mass</w:t>
      </w:r>
      <w:r w:rsidR="003E5804">
        <w:rPr>
          <w:lang w:eastAsia="zh-CN"/>
        </w:rPr>
        <w:t xml:space="preserve">, the analysis indicates that a majority of conjunctions may be considered non-catastrophic.  </w:t>
      </w:r>
      <w:r w:rsidR="00165BD5">
        <w:rPr>
          <w:lang w:eastAsia="zh-CN"/>
        </w:rPr>
        <w:t xml:space="preserve">This demonstrates that the method presented here provides a means of </w:t>
      </w:r>
      <w:r w:rsidR="003E31C5">
        <w:rPr>
          <w:lang w:eastAsia="zh-CN"/>
        </w:rPr>
        <w:t>identifying</w:t>
      </w:r>
      <w:r w:rsidR="00165BD5">
        <w:rPr>
          <w:lang w:eastAsia="zh-CN"/>
        </w:rPr>
        <w:t xml:space="preserve"> the subset of</w:t>
      </w:r>
      <w:r w:rsidR="001F6A1F">
        <w:rPr>
          <w:lang w:eastAsia="zh-CN"/>
        </w:rPr>
        <w:t xml:space="preserve"> events </w:t>
      </w:r>
      <w:r w:rsidR="0079589B">
        <w:rPr>
          <w:lang w:eastAsia="zh-CN"/>
        </w:rPr>
        <w:t xml:space="preserve">most </w:t>
      </w:r>
      <w:r w:rsidR="001F6A1F">
        <w:rPr>
          <w:lang w:eastAsia="zh-CN"/>
        </w:rPr>
        <w:t xml:space="preserve">consequential for </w:t>
      </w:r>
      <w:r w:rsidR="003E5804">
        <w:rPr>
          <w:lang w:eastAsia="zh-CN"/>
        </w:rPr>
        <w:t xml:space="preserve">orbital </w:t>
      </w:r>
      <w:r w:rsidR="0079589B">
        <w:rPr>
          <w:lang w:eastAsia="zh-CN"/>
        </w:rPr>
        <w:t>debris production</w:t>
      </w:r>
      <w:r w:rsidR="00165BD5">
        <w:rPr>
          <w:lang w:eastAsia="zh-CN"/>
        </w:rPr>
        <w:t>, which will be increasingly useful as future satellite populations and conjunction rates continue to grow</w:t>
      </w:r>
      <w:r w:rsidR="00EF2849">
        <w:rPr>
          <w:lang w:eastAsia="zh-CN"/>
        </w:rPr>
        <w:t xml:space="preserve">.  While </w:t>
      </w:r>
      <w:r w:rsidR="00EF2849">
        <w:rPr>
          <w:lang w:eastAsia="zh-CN"/>
        </w:rPr>
        <w:fldChar w:fldCharType="begin"/>
      </w:r>
      <w:r w:rsidR="00EF2849">
        <w:rPr>
          <w:lang w:eastAsia="zh-CN"/>
        </w:rPr>
        <w:instrText xml:space="preserve"> REF _Ref8656383 \h </w:instrText>
      </w:r>
      <w:r w:rsidR="00EF2849">
        <w:rPr>
          <w:lang w:eastAsia="zh-CN"/>
        </w:rPr>
      </w:r>
      <w:r w:rsidR="00EF2849">
        <w:rPr>
          <w:lang w:eastAsia="zh-CN"/>
        </w:rPr>
        <w:fldChar w:fldCharType="separate"/>
      </w:r>
      <w:r w:rsidR="00D82D51">
        <w:t xml:space="preserve">Figure </w:t>
      </w:r>
      <w:r w:rsidR="00D82D51">
        <w:rPr>
          <w:noProof/>
        </w:rPr>
        <w:t>4</w:t>
      </w:r>
      <w:r w:rsidR="00EF2849">
        <w:rPr>
          <w:lang w:eastAsia="zh-CN"/>
        </w:rPr>
        <w:fldChar w:fldCharType="end"/>
      </w:r>
      <w:r w:rsidR="00EF2849">
        <w:rPr>
          <w:lang w:eastAsia="zh-CN"/>
        </w:rPr>
        <w:t xml:space="preserve"> only examines the catastrophic nature of </w:t>
      </w:r>
      <w:r w:rsidR="00246E0D">
        <w:rPr>
          <w:lang w:eastAsia="zh-CN"/>
        </w:rPr>
        <w:t xml:space="preserve">examined </w:t>
      </w:r>
      <w:r w:rsidR="00EF2849">
        <w:rPr>
          <w:lang w:eastAsia="zh-CN"/>
        </w:rPr>
        <w:t>conjunctions, a trade space may be</w:t>
      </w:r>
      <w:r w:rsidR="00246E0D">
        <w:rPr>
          <w:lang w:eastAsia="zh-CN"/>
        </w:rPr>
        <w:t xml:space="preserve"> examined</w:t>
      </w:r>
      <w:r w:rsidR="00EF2849">
        <w:rPr>
          <w:lang w:eastAsia="zh-CN"/>
        </w:rPr>
        <w:t xml:space="preserve"> to understand the effect the primary object mass </w:t>
      </w:r>
      <w:r w:rsidR="00797B0E">
        <w:rPr>
          <w:lang w:eastAsia="zh-CN"/>
        </w:rPr>
        <w:t>has on</w:t>
      </w:r>
      <w:r w:rsidR="00EF2849">
        <w:rPr>
          <w:lang w:eastAsia="zh-CN"/>
        </w:rPr>
        <w:t xml:space="preserve"> debris production potential</w:t>
      </w:r>
      <w:r w:rsidR="009460D3">
        <w:rPr>
          <w:lang w:eastAsia="zh-CN"/>
        </w:rPr>
        <w:t>.</w:t>
      </w:r>
    </w:p>
    <w:p w14:paraId="51E3C71D" w14:textId="77777777" w:rsidR="009460D3" w:rsidRDefault="005114B0" w:rsidP="009460D3">
      <w:pPr>
        <w:pStyle w:val="Els-body-text"/>
        <w:keepNext/>
        <w:tabs>
          <w:tab w:val="center" w:pos="5130"/>
          <w:tab w:val="right" w:pos="10260"/>
        </w:tabs>
        <w:spacing w:line="240" w:lineRule="auto"/>
        <w:ind w:firstLine="274"/>
        <w:jc w:val="center"/>
      </w:pPr>
      <w:r>
        <w:rPr>
          <w:noProof/>
        </w:rPr>
        <w:lastRenderedPageBreak/>
        <w:drawing>
          <wp:inline distT="0" distB="0" distL="0" distR="0" wp14:anchorId="6AE709DF" wp14:editId="3C729743">
            <wp:extent cx="4785173" cy="3587883"/>
            <wp:effectExtent l="0" t="0" r="0" b="0"/>
            <wp:docPr id="13" name="Picture 13" descr="E:\Collision Consequence\HistoricDataAnalysisResults\PrimaryMassTradeSpace_A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Collision Consequence\HistoricDataAnalysisResults\PrimaryMassTradeSpace_ATr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0681" cy="3592012"/>
                    </a:xfrm>
                    <a:prstGeom prst="rect">
                      <a:avLst/>
                    </a:prstGeom>
                    <a:noFill/>
                    <a:ln>
                      <a:noFill/>
                    </a:ln>
                  </pic:spPr>
                </pic:pic>
              </a:graphicData>
            </a:graphic>
          </wp:inline>
        </w:drawing>
      </w:r>
    </w:p>
    <w:p w14:paraId="2A5A7AAE" w14:textId="77777777" w:rsidR="009460D3" w:rsidRDefault="009460D3" w:rsidP="002E243E">
      <w:pPr>
        <w:pStyle w:val="Caption"/>
      </w:pPr>
      <w:bookmarkStart w:id="11" w:name="_Ref8657996"/>
      <w:r>
        <w:t xml:space="preserve">Figure </w:t>
      </w:r>
      <w:r w:rsidR="00D61970">
        <w:rPr>
          <w:noProof/>
        </w:rPr>
        <w:fldChar w:fldCharType="begin"/>
      </w:r>
      <w:r w:rsidR="00D61970">
        <w:rPr>
          <w:noProof/>
        </w:rPr>
        <w:instrText xml:space="preserve"> SEQ Figure \* ARABIC </w:instrText>
      </w:r>
      <w:r w:rsidR="00D61970">
        <w:rPr>
          <w:noProof/>
        </w:rPr>
        <w:fldChar w:fldCharType="separate"/>
      </w:r>
      <w:r w:rsidR="00D82D51">
        <w:rPr>
          <w:noProof/>
        </w:rPr>
        <w:t>5</w:t>
      </w:r>
      <w:r w:rsidR="00D61970">
        <w:rPr>
          <w:noProof/>
        </w:rPr>
        <w:fldChar w:fldCharType="end"/>
      </w:r>
      <w:bookmarkEnd w:id="11"/>
      <w:r>
        <w:t>: Primary Object Mass-Debris Production Trade Space</w:t>
      </w:r>
    </w:p>
    <w:p w14:paraId="6C212233" w14:textId="2C973316" w:rsidR="00281DEE" w:rsidRPr="00E25F16" w:rsidRDefault="00E25F16" w:rsidP="002E243E">
      <w:pPr>
        <w:rPr>
          <w:sz w:val="20"/>
          <w:szCs w:val="20"/>
        </w:rPr>
      </w:pPr>
      <w:r w:rsidRPr="00E25F16">
        <w:rPr>
          <w:sz w:val="20"/>
          <w:szCs w:val="20"/>
        </w:rPr>
        <w:fldChar w:fldCharType="begin"/>
      </w:r>
      <w:r w:rsidRPr="00E25F16">
        <w:rPr>
          <w:sz w:val="20"/>
          <w:szCs w:val="20"/>
        </w:rPr>
        <w:instrText xml:space="preserve"> REF _Ref8657996 \h </w:instrText>
      </w:r>
      <w:r w:rsidRPr="00E25F16">
        <w:rPr>
          <w:sz w:val="20"/>
          <w:szCs w:val="20"/>
        </w:rPr>
      </w:r>
      <w:r w:rsidRPr="00E25F16">
        <w:rPr>
          <w:sz w:val="20"/>
          <w:szCs w:val="20"/>
        </w:rPr>
        <w:instrText xml:space="preserve"> \* MERGEFORMAT </w:instrText>
      </w:r>
      <w:r w:rsidRPr="00E25F16">
        <w:rPr>
          <w:sz w:val="20"/>
          <w:szCs w:val="20"/>
        </w:rPr>
        <w:fldChar w:fldCharType="separate"/>
      </w:r>
      <w:r w:rsidRPr="00E25F16">
        <w:rPr>
          <w:sz w:val="20"/>
          <w:szCs w:val="20"/>
        </w:rPr>
        <w:t xml:space="preserve">Figure </w:t>
      </w:r>
      <w:r w:rsidRPr="00E25F16">
        <w:rPr>
          <w:noProof/>
          <w:sz w:val="20"/>
          <w:szCs w:val="20"/>
        </w:rPr>
        <w:t>5</w:t>
      </w:r>
      <w:r w:rsidRPr="00E25F16">
        <w:rPr>
          <w:sz w:val="20"/>
          <w:szCs w:val="20"/>
        </w:rPr>
        <w:fldChar w:fldCharType="end"/>
      </w:r>
      <w:r w:rsidR="00024BFA" w:rsidRPr="00E25F16">
        <w:rPr>
          <w:sz w:val="20"/>
          <w:szCs w:val="20"/>
        </w:rPr>
        <w:t xml:space="preserve"> examines this trade space</w:t>
      </w:r>
      <w:r w:rsidR="00A10051" w:rsidRPr="00E25F16">
        <w:rPr>
          <w:sz w:val="20"/>
          <w:szCs w:val="20"/>
        </w:rPr>
        <w:t xml:space="preserve"> for the A-train conjunction data set</w:t>
      </w:r>
      <w:r w:rsidR="009460D3" w:rsidRPr="00E25F16">
        <w:rPr>
          <w:sz w:val="20"/>
          <w:szCs w:val="20"/>
        </w:rPr>
        <w:t>, demonstrating that there is a significant</w:t>
      </w:r>
      <w:r w:rsidR="00024BFA" w:rsidRPr="00E25F16">
        <w:rPr>
          <w:sz w:val="20"/>
          <w:szCs w:val="20"/>
        </w:rPr>
        <w:t>, discontinuous</w:t>
      </w:r>
      <w:r w:rsidR="009460D3" w:rsidRPr="00E25F16">
        <w:rPr>
          <w:sz w:val="20"/>
          <w:szCs w:val="20"/>
        </w:rPr>
        <w:t xml:space="preserve"> increase in debris production potential across t</w:t>
      </w:r>
      <w:r w:rsidR="0098300A" w:rsidRPr="00E25F16">
        <w:rPr>
          <w:sz w:val="20"/>
          <w:szCs w:val="20"/>
        </w:rPr>
        <w:t>he catastrophic event threshold</w:t>
      </w:r>
      <w:r w:rsidR="00024BFA" w:rsidRPr="00E25F16">
        <w:rPr>
          <w:sz w:val="20"/>
          <w:szCs w:val="20"/>
        </w:rPr>
        <w:t xml:space="preserve"> defined by equation (1).</w:t>
      </w:r>
      <w:r w:rsidR="0098300A" w:rsidRPr="00E25F16">
        <w:rPr>
          <w:sz w:val="20"/>
          <w:szCs w:val="20"/>
        </w:rPr>
        <w:t xml:space="preserve"> </w:t>
      </w:r>
      <w:r w:rsidR="00024BFA" w:rsidRPr="00E25F16">
        <w:rPr>
          <w:sz w:val="20"/>
          <w:szCs w:val="20"/>
        </w:rPr>
        <w:t xml:space="preserve">The bold black line in </w:t>
      </w:r>
      <w:r w:rsidRPr="00E25F16">
        <w:rPr>
          <w:sz w:val="20"/>
          <w:szCs w:val="20"/>
        </w:rPr>
        <w:fldChar w:fldCharType="begin"/>
      </w:r>
      <w:r w:rsidRPr="00E25F16">
        <w:rPr>
          <w:sz w:val="20"/>
          <w:szCs w:val="20"/>
        </w:rPr>
        <w:instrText xml:space="preserve"> REF _Ref8657996 \h </w:instrText>
      </w:r>
      <w:r w:rsidRPr="00E25F16">
        <w:rPr>
          <w:sz w:val="20"/>
          <w:szCs w:val="20"/>
        </w:rPr>
      </w:r>
      <w:r>
        <w:rPr>
          <w:sz w:val="20"/>
          <w:szCs w:val="20"/>
        </w:rPr>
        <w:instrText xml:space="preserve"> \* MERGEFORMAT </w:instrText>
      </w:r>
      <w:r w:rsidRPr="00E25F16">
        <w:rPr>
          <w:sz w:val="20"/>
          <w:szCs w:val="20"/>
        </w:rPr>
        <w:fldChar w:fldCharType="separate"/>
      </w:r>
      <w:r w:rsidRPr="00E25F16">
        <w:rPr>
          <w:sz w:val="20"/>
          <w:szCs w:val="20"/>
        </w:rPr>
        <w:t xml:space="preserve">Figure </w:t>
      </w:r>
      <w:r w:rsidRPr="00E25F16">
        <w:rPr>
          <w:noProof/>
          <w:sz w:val="20"/>
          <w:szCs w:val="20"/>
        </w:rPr>
        <w:t>5</w:t>
      </w:r>
      <w:r w:rsidRPr="00E25F16">
        <w:rPr>
          <w:sz w:val="20"/>
          <w:szCs w:val="20"/>
        </w:rPr>
        <w:fldChar w:fldCharType="end"/>
      </w:r>
      <w:r w:rsidR="00024BFA" w:rsidRPr="00E25F16">
        <w:rPr>
          <w:sz w:val="20"/>
          <w:szCs w:val="20"/>
        </w:rPr>
        <w:t xml:space="preserve"> shows this discontinuity, which exceeds</w:t>
      </w:r>
      <w:r w:rsidR="005114B0" w:rsidRPr="00E25F16">
        <w:rPr>
          <w:sz w:val="20"/>
          <w:szCs w:val="20"/>
        </w:rPr>
        <w:t xml:space="preserve"> </w:t>
      </w:r>
      <w:r w:rsidR="0098300A" w:rsidRPr="00E25F16">
        <w:rPr>
          <w:sz w:val="20"/>
          <w:szCs w:val="20"/>
        </w:rPr>
        <w:t xml:space="preserve">an order of magnitude </w:t>
      </w:r>
      <w:r w:rsidR="00024BFA" w:rsidRPr="00E25F16">
        <w:rPr>
          <w:sz w:val="20"/>
          <w:szCs w:val="20"/>
        </w:rPr>
        <w:t>over much of the examined trade space</w:t>
      </w:r>
      <w:r w:rsidR="0098300A" w:rsidRPr="00E25F16">
        <w:rPr>
          <w:sz w:val="20"/>
          <w:szCs w:val="20"/>
        </w:rPr>
        <w:t xml:space="preserve">.  This </w:t>
      </w:r>
      <w:r w:rsidR="00024BFA" w:rsidRPr="00E25F16">
        <w:rPr>
          <w:sz w:val="20"/>
          <w:szCs w:val="20"/>
        </w:rPr>
        <w:t>suggests</w:t>
      </w:r>
      <w:r w:rsidR="00526A49" w:rsidRPr="00E25F16">
        <w:rPr>
          <w:sz w:val="20"/>
          <w:szCs w:val="20"/>
        </w:rPr>
        <w:t xml:space="preserve"> another method to analyze collision consequence: by examining the potential for debris production for a conjunction given a primary object mass.  For example, using the default </w:t>
      </w:r>
      <w:r w:rsidR="00A10051" w:rsidRPr="00E25F16">
        <w:rPr>
          <w:sz w:val="20"/>
          <w:szCs w:val="20"/>
        </w:rPr>
        <w:t xml:space="preserve">2,000 kg </w:t>
      </w:r>
      <w:r w:rsidR="00526A49" w:rsidRPr="00E25F16">
        <w:rPr>
          <w:sz w:val="20"/>
          <w:szCs w:val="20"/>
        </w:rPr>
        <w:t xml:space="preserve">satellite mass, </w:t>
      </w:r>
      <w:r w:rsidRPr="00E25F16">
        <w:rPr>
          <w:sz w:val="20"/>
          <w:szCs w:val="20"/>
        </w:rPr>
        <w:fldChar w:fldCharType="begin"/>
      </w:r>
      <w:r w:rsidRPr="00E25F16">
        <w:rPr>
          <w:sz w:val="20"/>
          <w:szCs w:val="20"/>
        </w:rPr>
        <w:instrText xml:space="preserve"> REF _Ref8657996 \h </w:instrText>
      </w:r>
      <w:r w:rsidRPr="00E25F16">
        <w:rPr>
          <w:sz w:val="20"/>
          <w:szCs w:val="20"/>
        </w:rPr>
      </w:r>
      <w:r>
        <w:rPr>
          <w:sz w:val="20"/>
          <w:szCs w:val="20"/>
        </w:rPr>
        <w:instrText xml:space="preserve"> \* MERGEFORMAT </w:instrText>
      </w:r>
      <w:r w:rsidRPr="00E25F16">
        <w:rPr>
          <w:sz w:val="20"/>
          <w:szCs w:val="20"/>
        </w:rPr>
        <w:fldChar w:fldCharType="separate"/>
      </w:r>
      <w:r w:rsidRPr="00E25F16">
        <w:rPr>
          <w:sz w:val="20"/>
          <w:szCs w:val="20"/>
        </w:rPr>
        <w:t xml:space="preserve">Figure </w:t>
      </w:r>
      <w:r w:rsidRPr="00E25F16">
        <w:rPr>
          <w:noProof/>
          <w:sz w:val="20"/>
          <w:szCs w:val="20"/>
        </w:rPr>
        <w:t>5</w:t>
      </w:r>
      <w:r w:rsidRPr="00E25F16">
        <w:rPr>
          <w:sz w:val="20"/>
          <w:szCs w:val="20"/>
        </w:rPr>
        <w:fldChar w:fldCharType="end"/>
      </w:r>
      <w:r w:rsidR="0079589B" w:rsidRPr="00E25F16">
        <w:rPr>
          <w:sz w:val="20"/>
          <w:szCs w:val="20"/>
        </w:rPr>
        <w:t xml:space="preserve"> indicates that </w:t>
      </w:r>
      <w:r w:rsidR="00526A49" w:rsidRPr="00E25F16">
        <w:rPr>
          <w:sz w:val="20"/>
          <w:szCs w:val="20"/>
        </w:rPr>
        <w:t xml:space="preserve">roughly 60% of all potential conjunctions produce less than 100 additional debris objects larger than 5 cm in characteristic length. </w:t>
      </w:r>
    </w:p>
    <w:p w14:paraId="4E29F92F" w14:textId="77777777" w:rsidR="00281DEE" w:rsidRDefault="00281DEE" w:rsidP="00281DEE">
      <w:pPr>
        <w:pStyle w:val="Heading1"/>
      </w:pPr>
      <w:r>
        <w:t>Conclusions and Future Work</w:t>
      </w:r>
    </w:p>
    <w:p w14:paraId="3B496740" w14:textId="4CF3099A" w:rsidR="00526A49" w:rsidRDefault="00281DEE" w:rsidP="00281DEE">
      <w:pPr>
        <w:pStyle w:val="Els-body-text"/>
        <w:tabs>
          <w:tab w:val="center" w:pos="5130"/>
          <w:tab w:val="right" w:pos="10260"/>
        </w:tabs>
        <w:spacing w:line="240" w:lineRule="auto"/>
        <w:ind w:firstLine="274"/>
        <w:rPr>
          <w:lang w:eastAsia="zh-CN"/>
        </w:rPr>
      </w:pPr>
      <w:r>
        <w:rPr>
          <w:lang w:eastAsia="zh-CN"/>
        </w:rPr>
        <w:t xml:space="preserve">This study presents </w:t>
      </w:r>
      <w:r w:rsidR="0098300A">
        <w:rPr>
          <w:lang w:eastAsia="zh-CN"/>
        </w:rPr>
        <w:t>additional analysis in the</w:t>
      </w:r>
      <w:r>
        <w:rPr>
          <w:lang w:eastAsia="zh-CN"/>
        </w:rPr>
        <w:t xml:space="preserve"> estimation of the mass and size of secondary objects which pose a collision risk to operational spacecraft, but whose characteristics are not known.  </w:t>
      </w:r>
      <w:r w:rsidR="0098300A">
        <w:rPr>
          <w:lang w:eastAsia="zh-CN"/>
        </w:rPr>
        <w:t>This study also presents analysis on how best to implement the secondary mass estimation process, and how primary object masse</w:t>
      </w:r>
      <w:r w:rsidR="005114B0">
        <w:rPr>
          <w:lang w:eastAsia="zh-CN"/>
        </w:rPr>
        <w:t>s</w:t>
      </w:r>
      <w:r w:rsidR="0098300A">
        <w:rPr>
          <w:lang w:eastAsia="zh-CN"/>
        </w:rPr>
        <w:t xml:space="preserve"> affect the potential for debris production. The estimation processes we</w:t>
      </w:r>
      <w:r>
        <w:rPr>
          <w:lang w:eastAsia="zh-CN"/>
        </w:rPr>
        <w:t xml:space="preserve">re validated against a set of known </w:t>
      </w:r>
      <w:r w:rsidR="005114B0">
        <w:rPr>
          <w:lang w:eastAsia="zh-CN"/>
        </w:rPr>
        <w:t>nanosatellites and NaK RORSAT spheres</w:t>
      </w:r>
      <w:r>
        <w:rPr>
          <w:lang w:eastAsia="zh-CN"/>
        </w:rPr>
        <w:t>, and show acceptable agreement, but are far from perfect in the estimati</w:t>
      </w:r>
      <w:r w:rsidR="0098300A">
        <w:rPr>
          <w:lang w:eastAsia="zh-CN"/>
        </w:rPr>
        <w:t xml:space="preserve">on of satellite </w:t>
      </w:r>
      <w:r w:rsidR="00C37D3E">
        <w:rPr>
          <w:lang w:eastAsia="zh-CN"/>
        </w:rPr>
        <w:t>masse</w:t>
      </w:r>
      <w:r w:rsidR="0098300A">
        <w:rPr>
          <w:lang w:eastAsia="zh-CN"/>
        </w:rPr>
        <w:t xml:space="preserve">s.  Updated </w:t>
      </w:r>
      <w:r>
        <w:rPr>
          <w:lang w:eastAsia="zh-CN"/>
        </w:rPr>
        <w:t xml:space="preserve">methodologies for assessing secondary object mass </w:t>
      </w:r>
      <w:r w:rsidR="0098300A">
        <w:rPr>
          <w:lang w:eastAsia="zh-CN"/>
        </w:rPr>
        <w:t>may be</w:t>
      </w:r>
      <w:r>
        <w:rPr>
          <w:lang w:eastAsia="zh-CN"/>
        </w:rPr>
        <w:t xml:space="preserve"> used in a collision consequence assessment to provide operators with additional information regarding the potential for detrimental effects on </w:t>
      </w:r>
      <w:r w:rsidR="00C37D3E">
        <w:rPr>
          <w:lang w:eastAsia="zh-CN"/>
        </w:rPr>
        <w:t>specific orbital regimes</w:t>
      </w:r>
      <w:r>
        <w:rPr>
          <w:lang w:eastAsia="zh-CN"/>
        </w:rPr>
        <w:t xml:space="preserve"> through the </w:t>
      </w:r>
      <w:r w:rsidR="005114B0">
        <w:rPr>
          <w:lang w:eastAsia="zh-CN"/>
        </w:rPr>
        <w:t>severity</w:t>
      </w:r>
      <w:r>
        <w:rPr>
          <w:lang w:eastAsia="zh-CN"/>
        </w:rPr>
        <w:t xml:space="preserve"> of </w:t>
      </w:r>
      <w:r w:rsidR="005114B0">
        <w:rPr>
          <w:lang w:eastAsia="zh-CN"/>
        </w:rPr>
        <w:t xml:space="preserve">potential </w:t>
      </w:r>
      <w:r>
        <w:rPr>
          <w:lang w:eastAsia="zh-CN"/>
        </w:rPr>
        <w:t xml:space="preserve">debris generation events.  </w:t>
      </w:r>
    </w:p>
    <w:p w14:paraId="0A0AE0AA" w14:textId="18A95FE2" w:rsidR="005114B0" w:rsidRDefault="00C37D3E" w:rsidP="005114B0">
      <w:pPr>
        <w:pStyle w:val="Els-body-text"/>
        <w:tabs>
          <w:tab w:val="center" w:pos="5130"/>
          <w:tab w:val="right" w:pos="10260"/>
        </w:tabs>
        <w:spacing w:line="240" w:lineRule="auto"/>
        <w:ind w:firstLine="274"/>
        <w:rPr>
          <w:lang w:eastAsia="zh-CN"/>
        </w:rPr>
      </w:pPr>
      <w:r>
        <w:rPr>
          <w:lang w:eastAsia="zh-CN"/>
        </w:rPr>
        <w:t>Based on this</w:t>
      </w:r>
      <w:r w:rsidR="005114B0">
        <w:rPr>
          <w:lang w:eastAsia="zh-CN"/>
        </w:rPr>
        <w:t xml:space="preserve"> analysis, in order to estimate secondary object masses </w:t>
      </w:r>
      <w:r w:rsidR="00273528">
        <w:rPr>
          <w:lang w:eastAsia="zh-CN"/>
        </w:rPr>
        <w:t>conservatively, this analysis recommends using</w:t>
      </w:r>
      <w:r w:rsidR="005114B0">
        <w:rPr>
          <w:lang w:eastAsia="zh-CN"/>
        </w:rPr>
        <w:t xml:space="preserve"> a quantile estimate of the secondary object mass at the 99.9</w:t>
      </w:r>
      <w:r w:rsidR="005114B0" w:rsidRPr="00A55300">
        <w:rPr>
          <w:vertAlign w:val="superscript"/>
          <w:lang w:eastAsia="zh-CN"/>
        </w:rPr>
        <w:t>th</w:t>
      </w:r>
      <w:r w:rsidR="005114B0">
        <w:rPr>
          <w:lang w:eastAsia="zh-CN"/>
        </w:rPr>
        <w:t xml:space="preserve"> percentile level.</w:t>
      </w:r>
    </w:p>
    <w:p w14:paraId="5E598823" w14:textId="6305B39D" w:rsidR="00A55300" w:rsidRDefault="00526A49" w:rsidP="00281DEE">
      <w:pPr>
        <w:pStyle w:val="Els-body-text"/>
        <w:tabs>
          <w:tab w:val="center" w:pos="5130"/>
          <w:tab w:val="right" w:pos="10260"/>
        </w:tabs>
        <w:spacing w:line="240" w:lineRule="auto"/>
        <w:ind w:firstLine="274"/>
        <w:rPr>
          <w:lang w:eastAsia="zh-CN"/>
        </w:rPr>
      </w:pPr>
      <w:r>
        <w:rPr>
          <w:lang w:eastAsia="zh-CN"/>
        </w:rPr>
        <w:t>Conjunctions likely to be catastrophic</w:t>
      </w:r>
      <w:r w:rsidR="0079589B">
        <w:rPr>
          <w:lang w:eastAsia="zh-CN"/>
        </w:rPr>
        <w:t>,</w:t>
      </w:r>
      <w:r>
        <w:rPr>
          <w:lang w:eastAsia="zh-CN"/>
        </w:rPr>
        <w:t xml:space="preserve"> or likely to produce large amounts of debris</w:t>
      </w:r>
      <w:r w:rsidR="0079589B">
        <w:rPr>
          <w:lang w:eastAsia="zh-CN"/>
        </w:rPr>
        <w:t>,</w:t>
      </w:r>
      <w:r>
        <w:rPr>
          <w:lang w:eastAsia="zh-CN"/>
        </w:rPr>
        <w:t xml:space="preserve"> should be given higher </w:t>
      </w:r>
      <w:r w:rsidR="00062FDA">
        <w:rPr>
          <w:lang w:eastAsia="zh-CN"/>
        </w:rPr>
        <w:t xml:space="preserve">priority </w:t>
      </w:r>
      <w:r>
        <w:rPr>
          <w:lang w:eastAsia="zh-CN"/>
        </w:rPr>
        <w:t xml:space="preserve">in collision avoidance </w:t>
      </w:r>
      <w:r w:rsidR="00062FDA">
        <w:rPr>
          <w:lang w:eastAsia="zh-CN"/>
        </w:rPr>
        <w:t>planning</w:t>
      </w:r>
      <w:r>
        <w:rPr>
          <w:lang w:eastAsia="zh-CN"/>
        </w:rPr>
        <w:t xml:space="preserve">.  Conjunctions </w:t>
      </w:r>
      <w:r w:rsidR="00CA317C">
        <w:rPr>
          <w:lang w:eastAsia="zh-CN"/>
        </w:rPr>
        <w:t>likely to be non-catastrophic, or with a low debris production potential</w:t>
      </w:r>
      <w:r w:rsidR="0079589B">
        <w:rPr>
          <w:lang w:eastAsia="zh-CN"/>
        </w:rPr>
        <w:t>,</w:t>
      </w:r>
      <w:r w:rsidR="00CA317C">
        <w:rPr>
          <w:lang w:eastAsia="zh-CN"/>
        </w:rPr>
        <w:t xml:space="preserve"> may be allowed additional leniency in the collision avoidance processes and perhaps less stringent risk mitigation maneuver thresholds.  </w:t>
      </w:r>
      <w:r w:rsidR="00185BF2">
        <w:rPr>
          <w:lang w:eastAsia="zh-CN"/>
        </w:rPr>
        <w:t xml:space="preserve">Allowing </w:t>
      </w:r>
      <w:r w:rsidR="00A55300">
        <w:rPr>
          <w:lang w:eastAsia="zh-CN"/>
        </w:rPr>
        <w:t>satellite operators to triage maneuver planning activities based on either the catastrophic/non-catastrophic distinction, or the debris production po</w:t>
      </w:r>
      <w:r w:rsidR="00A55300">
        <w:rPr>
          <w:lang w:eastAsia="zh-CN"/>
        </w:rPr>
        <w:lastRenderedPageBreak/>
        <w:t xml:space="preserve">tential of specific events, </w:t>
      </w:r>
      <w:r w:rsidR="00185BF2">
        <w:rPr>
          <w:lang w:eastAsia="zh-CN"/>
        </w:rPr>
        <w:t xml:space="preserve">could significantly reduce </w:t>
      </w:r>
      <w:r w:rsidR="005114B0">
        <w:rPr>
          <w:lang w:eastAsia="zh-CN"/>
        </w:rPr>
        <w:t xml:space="preserve">maneuver planning </w:t>
      </w:r>
      <w:r w:rsidR="00185BF2">
        <w:rPr>
          <w:lang w:eastAsia="zh-CN"/>
        </w:rPr>
        <w:t xml:space="preserve">and </w:t>
      </w:r>
      <w:r w:rsidR="005114B0">
        <w:rPr>
          <w:lang w:eastAsia="zh-CN"/>
        </w:rPr>
        <w:t xml:space="preserve">resource </w:t>
      </w:r>
      <w:r w:rsidR="00185BF2">
        <w:rPr>
          <w:lang w:eastAsia="zh-CN"/>
        </w:rPr>
        <w:t>expenditures</w:t>
      </w:r>
      <w:r w:rsidR="00A55300">
        <w:rPr>
          <w:lang w:eastAsia="zh-CN"/>
        </w:rPr>
        <w:t xml:space="preserve">.  </w:t>
      </w:r>
      <w:r w:rsidR="00185BF2">
        <w:rPr>
          <w:lang w:eastAsia="zh-CN"/>
        </w:rPr>
        <w:t xml:space="preserve">For instance, in the </w:t>
      </w:r>
      <w:r w:rsidR="00A55300">
        <w:rPr>
          <w:lang w:eastAsia="zh-CN"/>
        </w:rPr>
        <w:t xml:space="preserve">example </w:t>
      </w:r>
      <w:r w:rsidR="00185BF2">
        <w:rPr>
          <w:lang w:eastAsia="zh-CN"/>
        </w:rPr>
        <w:t xml:space="preserve">presented here of 2,000 kg </w:t>
      </w:r>
      <w:r w:rsidR="00A55300">
        <w:rPr>
          <w:lang w:eastAsia="zh-CN"/>
        </w:rPr>
        <w:t xml:space="preserve">satellites </w:t>
      </w:r>
      <w:r w:rsidR="00185BF2">
        <w:rPr>
          <w:lang w:eastAsia="zh-CN"/>
        </w:rPr>
        <w:t>occupying</w:t>
      </w:r>
      <w:r w:rsidR="00A55300">
        <w:rPr>
          <w:lang w:eastAsia="zh-CN"/>
        </w:rPr>
        <w:t xml:space="preserve"> ~700 km polar orbit</w:t>
      </w:r>
      <w:r w:rsidR="005114B0">
        <w:rPr>
          <w:lang w:eastAsia="zh-CN"/>
        </w:rPr>
        <w:t>s</w:t>
      </w:r>
      <w:r w:rsidR="00A55300">
        <w:rPr>
          <w:lang w:eastAsia="zh-CN"/>
        </w:rPr>
        <w:t xml:space="preserve">, </w:t>
      </w:r>
      <w:r w:rsidR="00185BF2">
        <w:rPr>
          <w:lang w:eastAsia="zh-CN"/>
        </w:rPr>
        <w:t xml:space="preserve">the analysis indicates that </w:t>
      </w:r>
      <w:r w:rsidR="00273528">
        <w:rPr>
          <w:lang w:eastAsia="zh-CN"/>
        </w:rPr>
        <w:t>~</w:t>
      </w:r>
      <w:r w:rsidR="00A55300">
        <w:rPr>
          <w:lang w:eastAsia="zh-CN"/>
        </w:rPr>
        <w:t xml:space="preserve">69% of all conjunctions </w:t>
      </w:r>
      <w:r w:rsidR="00185BF2">
        <w:rPr>
          <w:lang w:eastAsia="zh-CN"/>
        </w:rPr>
        <w:t>likely produce non-catastrophic collisions</w:t>
      </w:r>
      <w:r w:rsidR="00A55300">
        <w:rPr>
          <w:lang w:eastAsia="zh-CN"/>
        </w:rPr>
        <w:t>.</w:t>
      </w:r>
    </w:p>
    <w:p w14:paraId="2BC89144" w14:textId="6361DEB6" w:rsidR="00281DEE" w:rsidRPr="0080370F" w:rsidRDefault="00281DEE" w:rsidP="00281DEE">
      <w:pPr>
        <w:pStyle w:val="Els-body-text"/>
        <w:tabs>
          <w:tab w:val="center" w:pos="5130"/>
          <w:tab w:val="right" w:pos="10260"/>
        </w:tabs>
        <w:spacing w:line="240" w:lineRule="auto"/>
        <w:ind w:firstLine="274"/>
        <w:rPr>
          <w:lang w:eastAsia="zh-CN"/>
        </w:rPr>
      </w:pPr>
      <w:r>
        <w:rPr>
          <w:lang w:eastAsia="zh-CN"/>
        </w:rPr>
        <w:t xml:space="preserve">In future work, better drag coefficient estimation methodologies may be explored, </w:t>
      </w:r>
      <w:r w:rsidR="00683DCA">
        <w:rPr>
          <w:lang w:eastAsia="zh-CN"/>
        </w:rPr>
        <w:t>debris production potential analysis of operational events may be considered</w:t>
      </w:r>
      <w:r>
        <w:rPr>
          <w:lang w:eastAsia="zh-CN"/>
        </w:rPr>
        <w:t xml:space="preserve">, and additional characteristics of the predicted debris pieces may be assessed.  One such additional characteristic may be the orbital </w:t>
      </w:r>
      <w:r w:rsidR="00273528">
        <w:rPr>
          <w:lang w:eastAsia="zh-CN"/>
        </w:rPr>
        <w:t>lifetime distribution</w:t>
      </w:r>
      <w:r w:rsidR="00C37D3E">
        <w:rPr>
          <w:lang w:eastAsia="zh-CN"/>
        </w:rPr>
        <w:t xml:space="preserve"> and decay rate</w:t>
      </w:r>
      <w:r>
        <w:rPr>
          <w:lang w:eastAsia="zh-CN"/>
        </w:rPr>
        <w:t xml:space="preserve"> of the debris field based on drag modelling and atmospheric density predictions.</w:t>
      </w:r>
    </w:p>
    <w:p w14:paraId="48799C6B" w14:textId="77777777" w:rsidR="00FE7C46" w:rsidRDefault="00FE7C46" w:rsidP="00C35592">
      <w:pPr>
        <w:pStyle w:val="Section"/>
      </w:pPr>
      <w:r>
        <w:t>Acknowledgment</w:t>
      </w:r>
      <w:r w:rsidR="002450FD">
        <w:t>s</w:t>
      </w:r>
    </w:p>
    <w:p w14:paraId="7C728FFB" w14:textId="77777777" w:rsidR="00FE7C46" w:rsidRPr="005114B0" w:rsidRDefault="00AA0E9C">
      <w:pPr>
        <w:rPr>
          <w:sz w:val="20"/>
          <w:szCs w:val="20"/>
        </w:rPr>
      </w:pPr>
      <w:r w:rsidRPr="005114B0">
        <w:rPr>
          <w:sz w:val="20"/>
          <w:szCs w:val="20"/>
        </w:rPr>
        <w:t>The author would like to thank Doyle Hall and Matthew Hejduk for several helpful discussions and analyses.</w:t>
      </w:r>
      <w:r w:rsidR="005114B0">
        <w:rPr>
          <w:sz w:val="20"/>
          <w:szCs w:val="20"/>
        </w:rPr>
        <w:t xml:space="preserve">  As well as Matthew Hejduk’s supplying of NaK sphere characteristics.</w:t>
      </w:r>
    </w:p>
    <w:p w14:paraId="520A8B97" w14:textId="77777777" w:rsidR="00FE7C46" w:rsidRDefault="00FE7C46" w:rsidP="00C35592">
      <w:pPr>
        <w:pStyle w:val="Section"/>
      </w:pPr>
      <w:r>
        <w:t>NOTATION</w:t>
      </w:r>
    </w:p>
    <w:p w14:paraId="7999FFFC" w14:textId="77777777" w:rsidR="00E34B9B" w:rsidRDefault="00E34B9B"/>
    <w:tbl>
      <w:tblPr>
        <w:tblW w:w="5000" w:type="pct"/>
        <w:tblLook w:val="00A0" w:firstRow="1" w:lastRow="0" w:firstColumn="1" w:lastColumn="0" w:noHBand="0" w:noVBand="0"/>
      </w:tblPr>
      <w:tblGrid>
        <w:gridCol w:w="1177"/>
        <w:gridCol w:w="7463"/>
      </w:tblGrid>
      <w:tr w:rsidR="008A7D89" w14:paraId="3C083CDA" w14:textId="77777777" w:rsidTr="00033BCF">
        <w:trPr>
          <w:trHeight w:val="288"/>
        </w:trPr>
        <w:tc>
          <w:tcPr>
            <w:tcW w:w="681" w:type="pct"/>
            <w:vAlign w:val="center"/>
          </w:tcPr>
          <w:p w14:paraId="23FE6879" w14:textId="77777777" w:rsidR="008A7D89" w:rsidRDefault="008A7D89" w:rsidP="008A7D89">
            <w:pPr>
              <w:spacing w:after="0"/>
              <w:ind w:firstLine="0"/>
              <w:jc w:val="right"/>
              <w:rPr>
                <w:i/>
                <w:iCs/>
                <w:color w:val="000000"/>
                <w:sz w:val="20"/>
                <w:szCs w:val="20"/>
              </w:rPr>
            </w:pPr>
            <w:r>
              <w:rPr>
                <w:i/>
                <w:iCs/>
                <w:color w:val="000000"/>
                <w:sz w:val="20"/>
                <w:szCs w:val="20"/>
                <w:lang w:val="en-GB"/>
              </w:rPr>
              <w:t>A</w:t>
            </w:r>
          </w:p>
        </w:tc>
        <w:tc>
          <w:tcPr>
            <w:tcW w:w="4319" w:type="pct"/>
            <w:vAlign w:val="center"/>
          </w:tcPr>
          <w:p w14:paraId="71FAC298" w14:textId="77777777" w:rsidR="008A7D89" w:rsidRDefault="008A7D89" w:rsidP="00FF0172">
            <w:pPr>
              <w:spacing w:after="0"/>
              <w:ind w:hanging="18"/>
              <w:rPr>
                <w:color w:val="000000"/>
                <w:sz w:val="20"/>
                <w:szCs w:val="20"/>
              </w:rPr>
            </w:pPr>
            <w:r>
              <w:rPr>
                <w:iCs/>
                <w:color w:val="000000"/>
                <w:sz w:val="20"/>
                <w:szCs w:val="20"/>
                <w:lang w:val="en-GB"/>
              </w:rPr>
              <w:t>Satellite Frontal Area (m</w:t>
            </w:r>
            <w:r>
              <w:rPr>
                <w:color w:val="000000"/>
                <w:sz w:val="20"/>
                <w:szCs w:val="20"/>
                <w:vertAlign w:val="superscript"/>
                <w:lang w:val="en-GB"/>
              </w:rPr>
              <w:t>2</w:t>
            </w:r>
            <w:r>
              <w:rPr>
                <w:color w:val="000000"/>
                <w:sz w:val="20"/>
                <w:szCs w:val="20"/>
                <w:lang w:val="en-GB"/>
              </w:rPr>
              <w:t>)</w:t>
            </w:r>
          </w:p>
        </w:tc>
      </w:tr>
      <w:tr w:rsidR="005B7098" w14:paraId="59B0913B" w14:textId="77777777" w:rsidTr="00033BCF">
        <w:trPr>
          <w:trHeight w:val="288"/>
        </w:trPr>
        <w:tc>
          <w:tcPr>
            <w:tcW w:w="681" w:type="pct"/>
            <w:vAlign w:val="center"/>
          </w:tcPr>
          <w:p w14:paraId="45944D6D" w14:textId="450E2286" w:rsidR="005B7098" w:rsidRPr="005B7098" w:rsidRDefault="00244245" w:rsidP="008A7D89">
            <w:pPr>
              <w:spacing w:after="0"/>
              <w:ind w:firstLine="0"/>
              <w:jc w:val="right"/>
              <w:rPr>
                <w:i/>
                <w:iCs/>
                <w:color w:val="000000"/>
                <w:sz w:val="20"/>
                <w:szCs w:val="20"/>
                <w:lang w:val="en-GB"/>
              </w:rPr>
            </w:pPr>
            <m:oMathPara>
              <m:oMathParaPr>
                <m:jc m:val="right"/>
              </m:oMathParaPr>
              <m:oMath>
                <m:sSub>
                  <m:sSubPr>
                    <m:ctrlPr>
                      <w:rPr>
                        <w:rFonts w:ascii="Cambria Math" w:hAnsi="Cambria Math"/>
                        <w:i/>
                        <w:iCs/>
                        <w:color w:val="000000"/>
                        <w:sz w:val="20"/>
                        <w:szCs w:val="20"/>
                        <w:lang w:val="en-GB"/>
                      </w:rPr>
                    </m:ctrlPr>
                  </m:sSubPr>
                  <m:e>
                    <m:acc>
                      <m:accPr>
                        <m:chr m:val="⃗"/>
                        <m:ctrlPr>
                          <w:rPr>
                            <w:rFonts w:ascii="Cambria Math" w:hAnsi="Cambria Math"/>
                            <w:i/>
                            <w:iCs/>
                            <w:color w:val="000000"/>
                            <w:sz w:val="20"/>
                            <w:szCs w:val="20"/>
                            <w:lang w:val="en-GB"/>
                          </w:rPr>
                        </m:ctrlPr>
                      </m:accPr>
                      <m:e>
                        <m:r>
                          <w:rPr>
                            <w:rFonts w:ascii="Cambria Math" w:hAnsi="Cambria Math"/>
                            <w:color w:val="000000"/>
                            <w:sz w:val="20"/>
                            <w:szCs w:val="20"/>
                            <w:lang w:val="en-GB"/>
                          </w:rPr>
                          <m:t>a</m:t>
                        </m:r>
                      </m:e>
                    </m:acc>
                  </m:e>
                  <m:sub>
                    <m:r>
                      <w:rPr>
                        <w:rFonts w:ascii="Cambria Math" w:hAnsi="Cambria Math"/>
                        <w:color w:val="000000"/>
                        <w:sz w:val="20"/>
                        <w:szCs w:val="20"/>
                        <w:lang w:val="en-GB"/>
                      </w:rPr>
                      <m:t>drag</m:t>
                    </m:r>
                  </m:sub>
                </m:sSub>
              </m:oMath>
            </m:oMathPara>
          </w:p>
        </w:tc>
        <w:tc>
          <w:tcPr>
            <w:tcW w:w="4319" w:type="pct"/>
            <w:vAlign w:val="center"/>
          </w:tcPr>
          <w:p w14:paraId="656B1FD1" w14:textId="3A96020D" w:rsidR="005B7098" w:rsidRDefault="00305E52" w:rsidP="00FF0172">
            <w:pPr>
              <w:spacing w:after="0"/>
              <w:ind w:hanging="18"/>
              <w:rPr>
                <w:iCs/>
                <w:color w:val="000000"/>
                <w:sz w:val="20"/>
                <w:szCs w:val="20"/>
                <w:lang w:val="en-GB"/>
              </w:rPr>
            </w:pPr>
            <w:r>
              <w:rPr>
                <w:iCs/>
                <w:color w:val="000000"/>
                <w:sz w:val="20"/>
                <w:szCs w:val="20"/>
                <w:lang w:val="en-GB"/>
              </w:rPr>
              <w:t xml:space="preserve">Atmospheric Drag </w:t>
            </w:r>
            <w:r w:rsidR="005B7098">
              <w:rPr>
                <w:iCs/>
                <w:color w:val="000000"/>
                <w:sz w:val="20"/>
                <w:szCs w:val="20"/>
                <w:lang w:val="en-GB"/>
              </w:rPr>
              <w:t xml:space="preserve">Acceleration </w:t>
            </w:r>
            <w:r w:rsidR="00033BCF">
              <w:rPr>
                <w:iCs/>
                <w:color w:val="000000"/>
                <w:sz w:val="20"/>
                <w:szCs w:val="20"/>
                <w:lang w:val="en-GB"/>
              </w:rPr>
              <w:t>(m/</w:t>
            </w:r>
            <w:r w:rsidR="004A3AA4">
              <w:rPr>
                <w:iCs/>
                <w:color w:val="000000"/>
                <w:sz w:val="20"/>
                <w:szCs w:val="20"/>
                <w:lang w:val="en-GB"/>
              </w:rPr>
              <w:t>s</w:t>
            </w:r>
            <w:r w:rsidR="004A3AA4" w:rsidRPr="00033BCF">
              <w:rPr>
                <w:iCs/>
                <w:color w:val="000000"/>
                <w:sz w:val="20"/>
                <w:szCs w:val="20"/>
                <w:vertAlign w:val="superscript"/>
                <w:lang w:val="en-GB"/>
              </w:rPr>
              <w:t>2</w:t>
            </w:r>
            <w:r w:rsidR="004A3AA4">
              <w:rPr>
                <w:iCs/>
                <w:color w:val="000000"/>
                <w:sz w:val="20"/>
                <w:szCs w:val="20"/>
                <w:lang w:val="en-GB"/>
              </w:rPr>
              <w:t>)</w:t>
            </w:r>
          </w:p>
        </w:tc>
      </w:tr>
      <w:tr w:rsidR="008A7D89" w14:paraId="04D49A20" w14:textId="77777777" w:rsidTr="00033BCF">
        <w:trPr>
          <w:trHeight w:val="288"/>
        </w:trPr>
        <w:tc>
          <w:tcPr>
            <w:tcW w:w="681" w:type="pct"/>
            <w:vAlign w:val="center"/>
          </w:tcPr>
          <w:p w14:paraId="231345F2" w14:textId="77777777" w:rsidR="008A7D89" w:rsidRDefault="008A7D89" w:rsidP="00FF0172">
            <w:pPr>
              <w:spacing w:after="0"/>
              <w:jc w:val="right"/>
              <w:rPr>
                <w:i/>
                <w:iCs/>
                <w:color w:val="000000"/>
                <w:sz w:val="20"/>
                <w:szCs w:val="20"/>
              </w:rPr>
            </w:pPr>
            <w:r>
              <w:rPr>
                <w:i/>
                <w:iCs/>
                <w:color w:val="000000"/>
                <w:sz w:val="20"/>
                <w:szCs w:val="20"/>
                <w:lang w:val="en-GB"/>
              </w:rPr>
              <w:t>BC</w:t>
            </w:r>
          </w:p>
        </w:tc>
        <w:tc>
          <w:tcPr>
            <w:tcW w:w="4319" w:type="pct"/>
            <w:vAlign w:val="center"/>
          </w:tcPr>
          <w:p w14:paraId="356F2B15" w14:textId="38189F56" w:rsidR="008A7D89" w:rsidRDefault="008A7D89" w:rsidP="00FF0172">
            <w:pPr>
              <w:spacing w:after="0"/>
              <w:ind w:hanging="18"/>
              <w:rPr>
                <w:color w:val="000000"/>
                <w:sz w:val="20"/>
                <w:szCs w:val="20"/>
              </w:rPr>
            </w:pPr>
            <w:r>
              <w:rPr>
                <w:iCs/>
                <w:color w:val="000000"/>
                <w:sz w:val="20"/>
                <w:szCs w:val="20"/>
                <w:lang w:val="en-GB"/>
              </w:rPr>
              <w:t>Ballistic Coefficient (m</w:t>
            </w:r>
            <w:r>
              <w:rPr>
                <w:color w:val="000000"/>
                <w:sz w:val="20"/>
                <w:szCs w:val="20"/>
                <w:vertAlign w:val="superscript"/>
                <w:lang w:val="en-GB"/>
              </w:rPr>
              <w:t>2</w:t>
            </w:r>
            <w:r>
              <w:rPr>
                <w:color w:val="000000"/>
                <w:sz w:val="20"/>
                <w:szCs w:val="20"/>
                <w:lang w:val="en-GB"/>
              </w:rPr>
              <w:t>/kg)</w:t>
            </w:r>
          </w:p>
        </w:tc>
      </w:tr>
      <w:tr w:rsidR="008A7D89" w14:paraId="07BFE843" w14:textId="77777777" w:rsidTr="00033BCF">
        <w:trPr>
          <w:trHeight w:val="288"/>
        </w:trPr>
        <w:tc>
          <w:tcPr>
            <w:tcW w:w="681" w:type="pct"/>
            <w:vAlign w:val="center"/>
          </w:tcPr>
          <w:p w14:paraId="6B297AC4" w14:textId="77777777" w:rsidR="008A7D89" w:rsidRDefault="008A7D89" w:rsidP="00FF0172">
            <w:pPr>
              <w:spacing w:after="0"/>
              <w:jc w:val="right"/>
              <w:rPr>
                <w:i/>
                <w:iCs/>
                <w:color w:val="000000"/>
                <w:sz w:val="20"/>
                <w:szCs w:val="20"/>
              </w:rPr>
            </w:pPr>
            <w:r>
              <w:rPr>
                <w:i/>
                <w:iCs/>
                <w:color w:val="000000"/>
                <w:sz w:val="20"/>
                <w:szCs w:val="20"/>
                <w:lang w:val="en-GB"/>
              </w:rPr>
              <w:t>C</w:t>
            </w:r>
            <w:r>
              <w:rPr>
                <w:i/>
                <w:iCs/>
                <w:color w:val="000000"/>
                <w:sz w:val="20"/>
                <w:szCs w:val="20"/>
                <w:vertAlign w:val="subscript"/>
                <w:lang w:val="en-GB"/>
              </w:rPr>
              <w:t>d</w:t>
            </w:r>
          </w:p>
        </w:tc>
        <w:tc>
          <w:tcPr>
            <w:tcW w:w="4319" w:type="pct"/>
            <w:vAlign w:val="center"/>
          </w:tcPr>
          <w:p w14:paraId="3157936F" w14:textId="77777777" w:rsidR="008A7D89" w:rsidRDefault="008A7D89" w:rsidP="00FF0172">
            <w:pPr>
              <w:spacing w:after="0"/>
              <w:ind w:hanging="18"/>
              <w:rPr>
                <w:color w:val="000000"/>
                <w:sz w:val="20"/>
                <w:szCs w:val="20"/>
              </w:rPr>
            </w:pPr>
            <w:r>
              <w:rPr>
                <w:color w:val="000000"/>
                <w:sz w:val="20"/>
                <w:szCs w:val="20"/>
              </w:rPr>
              <w:t>Drag Coefficient (dimensionless)</w:t>
            </w:r>
          </w:p>
        </w:tc>
      </w:tr>
      <w:tr w:rsidR="008A7D89" w14:paraId="7A48C935" w14:textId="77777777" w:rsidTr="00033BCF">
        <w:trPr>
          <w:trHeight w:val="288"/>
        </w:trPr>
        <w:tc>
          <w:tcPr>
            <w:tcW w:w="681" w:type="pct"/>
            <w:vAlign w:val="center"/>
          </w:tcPr>
          <w:p w14:paraId="683E0B22" w14:textId="77777777" w:rsidR="008A7D89" w:rsidRDefault="008A7D89" w:rsidP="00FF0172">
            <w:pPr>
              <w:spacing w:after="0"/>
              <w:jc w:val="right"/>
              <w:rPr>
                <w:i/>
                <w:iCs/>
                <w:color w:val="000000"/>
                <w:sz w:val="20"/>
                <w:szCs w:val="20"/>
              </w:rPr>
            </w:pPr>
            <w:r>
              <w:rPr>
                <w:i/>
                <w:iCs/>
                <w:color w:val="000000"/>
                <w:sz w:val="20"/>
                <w:szCs w:val="20"/>
                <w:lang w:val="en-GB"/>
              </w:rPr>
              <w:t>CDM</w:t>
            </w:r>
          </w:p>
        </w:tc>
        <w:tc>
          <w:tcPr>
            <w:tcW w:w="4319" w:type="pct"/>
            <w:vAlign w:val="center"/>
          </w:tcPr>
          <w:p w14:paraId="2F3E0B6B" w14:textId="77777777" w:rsidR="008A7D89" w:rsidRDefault="008A7D89" w:rsidP="00FF0172">
            <w:pPr>
              <w:spacing w:after="0"/>
              <w:ind w:hanging="18"/>
              <w:rPr>
                <w:color w:val="000000"/>
                <w:sz w:val="20"/>
                <w:szCs w:val="20"/>
              </w:rPr>
            </w:pPr>
            <w:r>
              <w:rPr>
                <w:color w:val="000000"/>
                <w:sz w:val="20"/>
                <w:szCs w:val="20"/>
              </w:rPr>
              <w:t>Conjunction Data Message</w:t>
            </w:r>
          </w:p>
        </w:tc>
      </w:tr>
      <w:tr w:rsidR="008A7D89" w14:paraId="047A41BA" w14:textId="77777777" w:rsidTr="00033BCF">
        <w:trPr>
          <w:trHeight w:val="288"/>
        </w:trPr>
        <w:tc>
          <w:tcPr>
            <w:tcW w:w="681" w:type="pct"/>
            <w:vAlign w:val="center"/>
          </w:tcPr>
          <w:p w14:paraId="555BDF14" w14:textId="77777777" w:rsidR="008A7D89" w:rsidRDefault="008A7D89" w:rsidP="00FF0172">
            <w:pPr>
              <w:spacing w:after="0"/>
              <w:jc w:val="right"/>
              <w:rPr>
                <w:i/>
                <w:iCs/>
                <w:color w:val="000000"/>
                <w:sz w:val="20"/>
                <w:szCs w:val="20"/>
              </w:rPr>
            </w:pPr>
            <w:r>
              <w:rPr>
                <w:i/>
                <w:iCs/>
                <w:color w:val="000000"/>
                <w:sz w:val="20"/>
                <w:szCs w:val="20"/>
                <w:lang w:val="en-GB"/>
              </w:rPr>
              <w:t>L</w:t>
            </w:r>
            <w:r>
              <w:rPr>
                <w:i/>
                <w:iCs/>
                <w:color w:val="000000"/>
                <w:sz w:val="20"/>
                <w:szCs w:val="20"/>
                <w:vertAlign w:val="subscript"/>
                <w:lang w:val="en-GB"/>
              </w:rPr>
              <w:t>c</w:t>
            </w:r>
          </w:p>
        </w:tc>
        <w:tc>
          <w:tcPr>
            <w:tcW w:w="4319" w:type="pct"/>
            <w:vAlign w:val="center"/>
          </w:tcPr>
          <w:p w14:paraId="4089E09A" w14:textId="77777777" w:rsidR="008A7D89" w:rsidRDefault="008A7D89" w:rsidP="00FF0172">
            <w:pPr>
              <w:spacing w:after="0"/>
              <w:ind w:hanging="18"/>
              <w:rPr>
                <w:color w:val="000000"/>
                <w:sz w:val="20"/>
                <w:szCs w:val="20"/>
              </w:rPr>
            </w:pPr>
            <w:r>
              <w:rPr>
                <w:iCs/>
                <w:color w:val="000000"/>
                <w:sz w:val="20"/>
                <w:szCs w:val="20"/>
                <w:lang w:val="en-GB"/>
              </w:rPr>
              <w:t>Characteristic Length (m)</w:t>
            </w:r>
          </w:p>
        </w:tc>
      </w:tr>
      <w:tr w:rsidR="008A7D89" w14:paraId="6F0257E1" w14:textId="77777777" w:rsidTr="00033BCF">
        <w:trPr>
          <w:trHeight w:val="288"/>
        </w:trPr>
        <w:tc>
          <w:tcPr>
            <w:tcW w:w="681" w:type="pct"/>
            <w:vAlign w:val="center"/>
          </w:tcPr>
          <w:p w14:paraId="61381E83" w14:textId="77777777" w:rsidR="008A7D89" w:rsidRDefault="008A7D89" w:rsidP="00FF0172">
            <w:pPr>
              <w:spacing w:after="0"/>
              <w:jc w:val="right"/>
              <w:rPr>
                <w:i/>
                <w:iCs/>
                <w:color w:val="000000"/>
                <w:sz w:val="20"/>
                <w:szCs w:val="20"/>
              </w:rPr>
            </w:pPr>
            <w:r>
              <w:rPr>
                <w:i/>
                <w:iCs/>
                <w:color w:val="000000"/>
                <w:sz w:val="20"/>
                <w:szCs w:val="20"/>
                <w:lang w:val="en-GB"/>
              </w:rPr>
              <w:t>M</w:t>
            </w:r>
            <w:r>
              <w:rPr>
                <w:i/>
                <w:iCs/>
                <w:color w:val="000000"/>
                <w:sz w:val="20"/>
                <w:szCs w:val="20"/>
                <w:vertAlign w:val="subscript"/>
                <w:lang w:val="en-GB"/>
              </w:rPr>
              <w:t>p</w:t>
            </w:r>
          </w:p>
        </w:tc>
        <w:tc>
          <w:tcPr>
            <w:tcW w:w="4319" w:type="pct"/>
            <w:vAlign w:val="center"/>
          </w:tcPr>
          <w:p w14:paraId="40F76C4B" w14:textId="77777777" w:rsidR="008A7D89" w:rsidRDefault="008A7D89" w:rsidP="00FF0172">
            <w:pPr>
              <w:spacing w:after="0"/>
              <w:ind w:hanging="18"/>
              <w:rPr>
                <w:color w:val="000000"/>
                <w:sz w:val="20"/>
                <w:szCs w:val="20"/>
              </w:rPr>
            </w:pPr>
            <w:r>
              <w:rPr>
                <w:color w:val="000000"/>
                <w:sz w:val="20"/>
                <w:szCs w:val="20"/>
              </w:rPr>
              <w:t>Mass of Primary Object (kg)</w:t>
            </w:r>
          </w:p>
        </w:tc>
      </w:tr>
      <w:tr w:rsidR="008A7D89" w14:paraId="285DD7C0" w14:textId="77777777" w:rsidTr="00033BCF">
        <w:trPr>
          <w:trHeight w:val="288"/>
        </w:trPr>
        <w:tc>
          <w:tcPr>
            <w:tcW w:w="681" w:type="pct"/>
            <w:vAlign w:val="center"/>
          </w:tcPr>
          <w:p w14:paraId="47F23C63" w14:textId="77777777" w:rsidR="008A7D89" w:rsidRDefault="008A7D89" w:rsidP="00FF0172">
            <w:pPr>
              <w:spacing w:after="0"/>
              <w:jc w:val="right"/>
              <w:rPr>
                <w:i/>
                <w:iCs/>
                <w:color w:val="000000"/>
                <w:sz w:val="20"/>
                <w:szCs w:val="20"/>
              </w:rPr>
            </w:pPr>
            <w:r>
              <w:rPr>
                <w:i/>
                <w:iCs/>
                <w:color w:val="000000"/>
                <w:sz w:val="20"/>
                <w:szCs w:val="20"/>
                <w:lang w:val="en-GB"/>
              </w:rPr>
              <w:t>M</w:t>
            </w:r>
            <w:r>
              <w:rPr>
                <w:i/>
                <w:iCs/>
                <w:color w:val="000000"/>
                <w:sz w:val="20"/>
                <w:szCs w:val="20"/>
                <w:vertAlign w:val="subscript"/>
                <w:lang w:val="en-GB"/>
              </w:rPr>
              <w:t>s</w:t>
            </w:r>
          </w:p>
        </w:tc>
        <w:tc>
          <w:tcPr>
            <w:tcW w:w="4319" w:type="pct"/>
            <w:vAlign w:val="center"/>
          </w:tcPr>
          <w:p w14:paraId="3303804D" w14:textId="77777777" w:rsidR="008A7D89" w:rsidRDefault="008A7D89" w:rsidP="00FF0172">
            <w:pPr>
              <w:spacing w:after="0"/>
              <w:ind w:hanging="18"/>
              <w:rPr>
                <w:color w:val="000000"/>
                <w:sz w:val="20"/>
                <w:szCs w:val="20"/>
              </w:rPr>
            </w:pPr>
            <w:r>
              <w:rPr>
                <w:color w:val="000000"/>
                <w:sz w:val="20"/>
                <w:szCs w:val="20"/>
              </w:rPr>
              <w:t>Mass of Secondary Object (kg)</w:t>
            </w:r>
          </w:p>
        </w:tc>
      </w:tr>
      <w:tr w:rsidR="008A7D89" w14:paraId="6B6EBE04" w14:textId="77777777" w:rsidTr="00033BCF">
        <w:trPr>
          <w:trHeight w:val="288"/>
        </w:trPr>
        <w:tc>
          <w:tcPr>
            <w:tcW w:w="681" w:type="pct"/>
            <w:vAlign w:val="center"/>
          </w:tcPr>
          <w:p w14:paraId="332AA90F" w14:textId="77777777" w:rsidR="008A7D89" w:rsidRDefault="008A7D89" w:rsidP="00FF0172">
            <w:pPr>
              <w:spacing w:after="0"/>
              <w:jc w:val="right"/>
              <w:rPr>
                <w:i/>
                <w:iCs/>
                <w:color w:val="000000"/>
                <w:sz w:val="20"/>
                <w:szCs w:val="20"/>
              </w:rPr>
            </w:pPr>
            <w:r>
              <w:rPr>
                <w:i/>
                <w:iCs/>
                <w:color w:val="000000"/>
                <w:sz w:val="20"/>
                <w:szCs w:val="20"/>
                <w:lang w:val="en-GB"/>
              </w:rPr>
              <w:t>P</w:t>
            </w:r>
            <w:r>
              <w:rPr>
                <w:i/>
                <w:iCs/>
                <w:color w:val="000000"/>
                <w:sz w:val="20"/>
                <w:szCs w:val="20"/>
                <w:vertAlign w:val="subscript"/>
                <w:lang w:val="en-GB"/>
              </w:rPr>
              <w:t>c</w:t>
            </w:r>
          </w:p>
        </w:tc>
        <w:tc>
          <w:tcPr>
            <w:tcW w:w="4319" w:type="pct"/>
            <w:vAlign w:val="center"/>
          </w:tcPr>
          <w:p w14:paraId="06A462CB" w14:textId="77777777" w:rsidR="008A7D89" w:rsidRDefault="008A7D89" w:rsidP="00FF0172">
            <w:pPr>
              <w:spacing w:after="0"/>
              <w:ind w:hanging="18"/>
              <w:rPr>
                <w:color w:val="000000"/>
                <w:sz w:val="20"/>
                <w:szCs w:val="20"/>
              </w:rPr>
            </w:pPr>
            <w:r>
              <w:rPr>
                <w:color w:val="000000"/>
                <w:sz w:val="20"/>
                <w:szCs w:val="20"/>
              </w:rPr>
              <w:t>Probability of Collision</w:t>
            </w:r>
          </w:p>
        </w:tc>
      </w:tr>
      <w:tr w:rsidR="008A7D89" w14:paraId="19202E6F" w14:textId="77777777" w:rsidTr="00033BCF">
        <w:trPr>
          <w:trHeight w:val="288"/>
        </w:trPr>
        <w:tc>
          <w:tcPr>
            <w:tcW w:w="681" w:type="pct"/>
            <w:vAlign w:val="center"/>
          </w:tcPr>
          <w:p w14:paraId="127C891B" w14:textId="77777777" w:rsidR="008A7D89" w:rsidRDefault="008A7D89" w:rsidP="00FF0172">
            <w:pPr>
              <w:spacing w:after="0"/>
              <w:jc w:val="right"/>
              <w:rPr>
                <w:i/>
                <w:iCs/>
                <w:color w:val="000000"/>
                <w:sz w:val="20"/>
                <w:szCs w:val="20"/>
              </w:rPr>
            </w:pPr>
            <w:r>
              <w:rPr>
                <w:i/>
                <w:iCs/>
                <w:color w:val="000000"/>
                <w:sz w:val="20"/>
                <w:szCs w:val="20"/>
                <w:lang w:val="en-GB"/>
              </w:rPr>
              <w:t>RCS</w:t>
            </w:r>
          </w:p>
        </w:tc>
        <w:tc>
          <w:tcPr>
            <w:tcW w:w="4319" w:type="pct"/>
            <w:vAlign w:val="center"/>
          </w:tcPr>
          <w:p w14:paraId="4EA488C8" w14:textId="77777777" w:rsidR="008A7D89" w:rsidRDefault="008A7D89" w:rsidP="00FF0172">
            <w:pPr>
              <w:spacing w:after="0"/>
              <w:ind w:hanging="18"/>
              <w:rPr>
                <w:color w:val="000000"/>
                <w:sz w:val="20"/>
                <w:szCs w:val="20"/>
              </w:rPr>
            </w:pPr>
            <w:r>
              <w:rPr>
                <w:color w:val="000000"/>
                <w:sz w:val="20"/>
                <w:szCs w:val="20"/>
              </w:rPr>
              <w:t>Radar Cross Section (m)</w:t>
            </w:r>
          </w:p>
        </w:tc>
      </w:tr>
      <w:tr w:rsidR="008A7D89" w14:paraId="19302771" w14:textId="77777777" w:rsidTr="00033BCF">
        <w:trPr>
          <w:trHeight w:val="288"/>
        </w:trPr>
        <w:tc>
          <w:tcPr>
            <w:tcW w:w="681" w:type="pct"/>
            <w:vAlign w:val="center"/>
          </w:tcPr>
          <w:p w14:paraId="02A220A2" w14:textId="77777777" w:rsidR="008A7D89" w:rsidRDefault="008A7D89" w:rsidP="00FF0172">
            <w:pPr>
              <w:spacing w:after="0"/>
              <w:jc w:val="right"/>
              <w:rPr>
                <w:i/>
                <w:iCs/>
                <w:color w:val="000000"/>
                <w:sz w:val="20"/>
                <w:szCs w:val="20"/>
              </w:rPr>
            </w:pPr>
            <w:r>
              <w:rPr>
                <w:i/>
                <w:iCs/>
                <w:color w:val="000000"/>
                <w:sz w:val="20"/>
                <w:szCs w:val="20"/>
                <w:lang w:val="en-GB"/>
              </w:rPr>
              <w:t>SEM</w:t>
            </w:r>
          </w:p>
        </w:tc>
        <w:tc>
          <w:tcPr>
            <w:tcW w:w="4319" w:type="pct"/>
            <w:vAlign w:val="center"/>
          </w:tcPr>
          <w:p w14:paraId="20CAA532" w14:textId="77777777" w:rsidR="008A7D89" w:rsidRDefault="008A7D89" w:rsidP="00FF0172">
            <w:pPr>
              <w:spacing w:after="0"/>
              <w:ind w:hanging="18"/>
              <w:rPr>
                <w:color w:val="000000"/>
                <w:sz w:val="20"/>
                <w:szCs w:val="20"/>
              </w:rPr>
            </w:pPr>
            <w:r>
              <w:rPr>
                <w:color w:val="000000"/>
                <w:sz w:val="20"/>
                <w:szCs w:val="20"/>
              </w:rPr>
              <w:t>Size Estimation Model</w:t>
            </w:r>
          </w:p>
        </w:tc>
      </w:tr>
      <w:tr w:rsidR="008A7D89" w14:paraId="3997511D" w14:textId="77777777" w:rsidTr="00033BCF">
        <w:trPr>
          <w:trHeight w:val="288"/>
        </w:trPr>
        <w:tc>
          <w:tcPr>
            <w:tcW w:w="681" w:type="pct"/>
            <w:vAlign w:val="bottom"/>
          </w:tcPr>
          <w:p w14:paraId="39614B5B" w14:textId="79438B94" w:rsidR="008A7D89" w:rsidRPr="00033BCF" w:rsidRDefault="00244245" w:rsidP="00033BCF">
            <w:pPr>
              <w:spacing w:after="0"/>
              <w:jc w:val="right"/>
              <w:rPr>
                <w:rFonts w:ascii="Calibri" w:hAnsi="Calibri"/>
                <w:color w:val="000000"/>
                <w:szCs w:val="22"/>
              </w:rPr>
            </w:pPr>
            <m:oMathPara>
              <m:oMathParaPr>
                <m:jc m:val="right"/>
              </m:oMathParaPr>
              <m:oMath>
                <m:acc>
                  <m:accPr>
                    <m:chr m:val="⃗"/>
                    <m:ctrlPr>
                      <w:rPr>
                        <w:rFonts w:ascii="Cambria Math" w:hAnsi="Cambria Math"/>
                        <w:i/>
                        <w:color w:val="000000"/>
                        <w:sz w:val="20"/>
                        <w:szCs w:val="22"/>
                      </w:rPr>
                    </m:ctrlPr>
                  </m:accPr>
                  <m:e>
                    <m:r>
                      <w:rPr>
                        <w:rFonts w:ascii="Cambria Math" w:hAnsi="Cambria Math"/>
                        <w:color w:val="000000"/>
                        <w:sz w:val="20"/>
                        <w:szCs w:val="22"/>
                      </w:rPr>
                      <m:t>v</m:t>
                    </m:r>
                  </m:e>
                </m:acc>
              </m:oMath>
            </m:oMathPara>
          </w:p>
        </w:tc>
        <w:tc>
          <w:tcPr>
            <w:tcW w:w="4319" w:type="pct"/>
            <w:vAlign w:val="center"/>
          </w:tcPr>
          <w:p w14:paraId="6494C004" w14:textId="77777777" w:rsidR="008A7D89" w:rsidRDefault="008A7D89" w:rsidP="00FF0172">
            <w:pPr>
              <w:spacing w:after="0"/>
              <w:ind w:hanging="18"/>
              <w:rPr>
                <w:color w:val="000000"/>
                <w:sz w:val="20"/>
                <w:szCs w:val="20"/>
              </w:rPr>
            </w:pPr>
            <w:r>
              <w:rPr>
                <w:iCs/>
                <w:color w:val="000000"/>
                <w:sz w:val="20"/>
                <w:szCs w:val="20"/>
                <w:lang w:val="en-GB"/>
              </w:rPr>
              <w:t>Satellite Velocity Vector (m/s)</w:t>
            </w:r>
          </w:p>
        </w:tc>
      </w:tr>
      <w:tr w:rsidR="008A7D89" w14:paraId="01A984D8" w14:textId="77777777" w:rsidTr="00033BCF">
        <w:trPr>
          <w:trHeight w:val="288"/>
        </w:trPr>
        <w:tc>
          <w:tcPr>
            <w:tcW w:w="681" w:type="pct"/>
            <w:vAlign w:val="center"/>
          </w:tcPr>
          <w:p w14:paraId="7D0FA271" w14:textId="77777777" w:rsidR="008A7D89" w:rsidRDefault="008A7D89" w:rsidP="00FF0172">
            <w:pPr>
              <w:spacing w:after="0"/>
              <w:jc w:val="right"/>
              <w:rPr>
                <w:i/>
                <w:iCs/>
                <w:color w:val="000000"/>
                <w:sz w:val="20"/>
                <w:szCs w:val="20"/>
              </w:rPr>
            </w:pPr>
            <w:r>
              <w:rPr>
                <w:i/>
                <w:iCs/>
                <w:color w:val="000000"/>
                <w:sz w:val="20"/>
                <w:szCs w:val="20"/>
                <w:lang w:val="en-GB"/>
              </w:rPr>
              <w:t>V</w:t>
            </w:r>
            <w:r>
              <w:rPr>
                <w:i/>
                <w:iCs/>
                <w:color w:val="000000"/>
                <w:sz w:val="20"/>
                <w:szCs w:val="20"/>
                <w:vertAlign w:val="subscript"/>
                <w:lang w:val="en-GB"/>
              </w:rPr>
              <w:t>rel</w:t>
            </w:r>
          </w:p>
        </w:tc>
        <w:tc>
          <w:tcPr>
            <w:tcW w:w="4319" w:type="pct"/>
            <w:vAlign w:val="center"/>
          </w:tcPr>
          <w:p w14:paraId="5BD7D23E" w14:textId="77777777" w:rsidR="008A7D89" w:rsidRDefault="008A7D89" w:rsidP="00FF0172">
            <w:pPr>
              <w:spacing w:after="0"/>
              <w:ind w:hanging="18"/>
              <w:rPr>
                <w:color w:val="000000"/>
                <w:sz w:val="20"/>
                <w:szCs w:val="20"/>
              </w:rPr>
            </w:pPr>
            <w:r>
              <w:rPr>
                <w:color w:val="000000"/>
                <w:sz w:val="20"/>
                <w:szCs w:val="20"/>
              </w:rPr>
              <w:t>Relative Velocity (m/s)</w:t>
            </w:r>
          </w:p>
        </w:tc>
      </w:tr>
      <w:tr w:rsidR="008A7D89" w14:paraId="6CCA13B5" w14:textId="77777777" w:rsidTr="00033BCF">
        <w:trPr>
          <w:trHeight w:val="288"/>
        </w:trPr>
        <w:tc>
          <w:tcPr>
            <w:tcW w:w="681" w:type="pct"/>
            <w:vAlign w:val="center"/>
          </w:tcPr>
          <w:p w14:paraId="5F5A10A8" w14:textId="77777777" w:rsidR="008A7D89" w:rsidRDefault="008A7D89" w:rsidP="00FF0172">
            <w:pPr>
              <w:spacing w:after="0"/>
              <w:jc w:val="right"/>
              <w:rPr>
                <w:i/>
                <w:iCs/>
                <w:color w:val="000000"/>
                <w:sz w:val="20"/>
                <w:szCs w:val="20"/>
              </w:rPr>
            </w:pPr>
            <w:r>
              <w:rPr>
                <w:i/>
                <w:iCs/>
                <w:color w:val="000000"/>
                <w:sz w:val="20"/>
                <w:szCs w:val="20"/>
                <w:lang w:val="en-GB"/>
              </w:rPr>
              <w:t xml:space="preserve">x </w:t>
            </w:r>
          </w:p>
        </w:tc>
        <w:tc>
          <w:tcPr>
            <w:tcW w:w="4319" w:type="pct"/>
            <w:vAlign w:val="center"/>
          </w:tcPr>
          <w:p w14:paraId="1D3DF419" w14:textId="77777777" w:rsidR="008A7D89" w:rsidRDefault="008A7D89" w:rsidP="00FF0172">
            <w:pPr>
              <w:spacing w:after="0"/>
              <w:ind w:hanging="18"/>
              <w:rPr>
                <w:color w:val="000000"/>
                <w:sz w:val="20"/>
                <w:szCs w:val="20"/>
              </w:rPr>
            </w:pPr>
            <w:r>
              <w:rPr>
                <w:iCs/>
                <w:color w:val="000000"/>
                <w:sz w:val="20"/>
                <w:szCs w:val="20"/>
                <w:lang w:val="en-GB"/>
              </w:rPr>
              <w:t>Longest Dimension of Object (m)</w:t>
            </w:r>
          </w:p>
        </w:tc>
      </w:tr>
      <w:tr w:rsidR="008A7D89" w14:paraId="26487CB1" w14:textId="77777777" w:rsidTr="00033BCF">
        <w:trPr>
          <w:trHeight w:val="288"/>
        </w:trPr>
        <w:tc>
          <w:tcPr>
            <w:tcW w:w="681" w:type="pct"/>
            <w:vAlign w:val="center"/>
          </w:tcPr>
          <w:p w14:paraId="1F63028A" w14:textId="77777777" w:rsidR="008A7D89" w:rsidRDefault="008A7D89" w:rsidP="00FF0172">
            <w:pPr>
              <w:spacing w:after="0"/>
              <w:jc w:val="right"/>
              <w:rPr>
                <w:i/>
                <w:iCs/>
                <w:color w:val="000000"/>
                <w:sz w:val="20"/>
                <w:szCs w:val="20"/>
              </w:rPr>
            </w:pPr>
            <w:r>
              <w:rPr>
                <w:i/>
                <w:iCs/>
                <w:color w:val="000000"/>
                <w:sz w:val="20"/>
                <w:szCs w:val="20"/>
                <w:lang w:val="en-GB"/>
              </w:rPr>
              <w:t>y</w:t>
            </w:r>
            <w:r>
              <w:rPr>
                <w:color w:val="000000"/>
                <w:sz w:val="20"/>
                <w:szCs w:val="20"/>
                <w:lang w:val="en-GB"/>
              </w:rPr>
              <w:t xml:space="preserve"> </w:t>
            </w:r>
          </w:p>
        </w:tc>
        <w:tc>
          <w:tcPr>
            <w:tcW w:w="4319" w:type="pct"/>
            <w:vAlign w:val="center"/>
          </w:tcPr>
          <w:p w14:paraId="34651E4F" w14:textId="77777777" w:rsidR="008A7D89" w:rsidRDefault="008A7D89" w:rsidP="00FF0172">
            <w:pPr>
              <w:spacing w:after="0"/>
              <w:ind w:hanging="18"/>
              <w:rPr>
                <w:color w:val="000000"/>
                <w:sz w:val="20"/>
                <w:szCs w:val="20"/>
              </w:rPr>
            </w:pPr>
            <w:r>
              <w:rPr>
                <w:color w:val="000000"/>
                <w:sz w:val="20"/>
                <w:szCs w:val="20"/>
              </w:rPr>
              <w:t xml:space="preserve">Longest Dimension of Object in Plane Perpendicular to </w:t>
            </w:r>
            <w:r>
              <w:rPr>
                <w:i/>
                <w:iCs/>
                <w:color w:val="000000"/>
                <w:sz w:val="20"/>
                <w:szCs w:val="20"/>
              </w:rPr>
              <w:t>x</w:t>
            </w:r>
            <w:r>
              <w:rPr>
                <w:color w:val="000000"/>
                <w:sz w:val="20"/>
                <w:szCs w:val="20"/>
              </w:rPr>
              <w:t xml:space="preserve"> (m)</w:t>
            </w:r>
          </w:p>
        </w:tc>
      </w:tr>
      <w:tr w:rsidR="008A7D89" w14:paraId="6519E657" w14:textId="77777777" w:rsidTr="00033BCF">
        <w:trPr>
          <w:trHeight w:val="288"/>
        </w:trPr>
        <w:tc>
          <w:tcPr>
            <w:tcW w:w="681" w:type="pct"/>
            <w:vAlign w:val="center"/>
          </w:tcPr>
          <w:p w14:paraId="45E44A6C" w14:textId="77777777" w:rsidR="008A7D89" w:rsidRDefault="008A7D89" w:rsidP="00FF0172">
            <w:pPr>
              <w:spacing w:after="0"/>
              <w:jc w:val="right"/>
              <w:rPr>
                <w:i/>
                <w:iCs/>
                <w:color w:val="000000"/>
                <w:sz w:val="20"/>
                <w:szCs w:val="20"/>
              </w:rPr>
            </w:pPr>
            <w:r>
              <w:rPr>
                <w:i/>
                <w:iCs/>
                <w:color w:val="000000"/>
                <w:sz w:val="20"/>
                <w:szCs w:val="20"/>
                <w:lang w:val="en-GB"/>
              </w:rPr>
              <w:t>z</w:t>
            </w:r>
          </w:p>
        </w:tc>
        <w:tc>
          <w:tcPr>
            <w:tcW w:w="4319" w:type="pct"/>
            <w:vAlign w:val="center"/>
          </w:tcPr>
          <w:p w14:paraId="6207ECF2" w14:textId="77777777" w:rsidR="008A7D89" w:rsidRDefault="008A7D89" w:rsidP="00FF0172">
            <w:pPr>
              <w:spacing w:after="0"/>
              <w:ind w:hanging="18"/>
              <w:rPr>
                <w:color w:val="000000"/>
                <w:sz w:val="20"/>
                <w:szCs w:val="20"/>
              </w:rPr>
            </w:pPr>
            <w:r>
              <w:rPr>
                <w:color w:val="000000"/>
                <w:sz w:val="20"/>
                <w:szCs w:val="20"/>
              </w:rPr>
              <w:t xml:space="preserve">Longest Dimension of Object Perpendicular to both </w:t>
            </w:r>
            <w:r>
              <w:rPr>
                <w:i/>
                <w:iCs/>
                <w:color w:val="000000"/>
                <w:sz w:val="20"/>
                <w:szCs w:val="20"/>
              </w:rPr>
              <w:t>x</w:t>
            </w:r>
            <w:r>
              <w:rPr>
                <w:color w:val="000000"/>
                <w:sz w:val="20"/>
                <w:szCs w:val="20"/>
              </w:rPr>
              <w:t xml:space="preserve"> and </w:t>
            </w:r>
            <w:r>
              <w:rPr>
                <w:i/>
                <w:iCs/>
                <w:color w:val="000000"/>
                <w:sz w:val="20"/>
                <w:szCs w:val="20"/>
              </w:rPr>
              <w:t>y</w:t>
            </w:r>
            <w:r>
              <w:rPr>
                <w:color w:val="000000"/>
                <w:sz w:val="20"/>
                <w:szCs w:val="20"/>
              </w:rPr>
              <w:t xml:space="preserve"> (m)</w:t>
            </w:r>
          </w:p>
        </w:tc>
      </w:tr>
      <w:tr w:rsidR="008A7D89" w14:paraId="31F4E670" w14:textId="77777777" w:rsidTr="00033BCF">
        <w:trPr>
          <w:trHeight w:val="288"/>
        </w:trPr>
        <w:tc>
          <w:tcPr>
            <w:tcW w:w="681" w:type="pct"/>
            <w:vAlign w:val="center"/>
          </w:tcPr>
          <w:p w14:paraId="2DA67D0F" w14:textId="77777777" w:rsidR="008A7D89" w:rsidRDefault="008A7D89" w:rsidP="00FF0172">
            <w:pPr>
              <w:spacing w:after="0"/>
              <w:jc w:val="right"/>
              <w:rPr>
                <w:i/>
                <w:iCs/>
                <w:color w:val="000000"/>
                <w:sz w:val="20"/>
                <w:szCs w:val="20"/>
              </w:rPr>
            </w:pPr>
            <w:r>
              <w:rPr>
                <w:i/>
                <w:iCs/>
                <w:color w:val="000000"/>
                <w:sz w:val="20"/>
                <w:szCs w:val="20"/>
                <w:lang w:val="en-GB"/>
              </w:rPr>
              <w:t>ρ</w:t>
            </w:r>
          </w:p>
        </w:tc>
        <w:tc>
          <w:tcPr>
            <w:tcW w:w="4319" w:type="pct"/>
            <w:vAlign w:val="center"/>
          </w:tcPr>
          <w:p w14:paraId="6718800A" w14:textId="77777777" w:rsidR="008A7D89" w:rsidRDefault="008A7D89" w:rsidP="00FF0172">
            <w:pPr>
              <w:spacing w:after="0"/>
              <w:ind w:hanging="18"/>
              <w:rPr>
                <w:color w:val="000000"/>
                <w:sz w:val="20"/>
                <w:szCs w:val="20"/>
              </w:rPr>
            </w:pPr>
            <w:r>
              <w:rPr>
                <w:color w:val="000000"/>
                <w:sz w:val="20"/>
                <w:szCs w:val="20"/>
              </w:rPr>
              <w:t>Atmospheric Density (kg/m</w:t>
            </w:r>
            <w:r>
              <w:rPr>
                <w:color w:val="000000"/>
                <w:sz w:val="20"/>
                <w:szCs w:val="20"/>
                <w:vertAlign w:val="superscript"/>
              </w:rPr>
              <w:t>3</w:t>
            </w:r>
            <w:r>
              <w:rPr>
                <w:color w:val="000000"/>
                <w:sz w:val="20"/>
                <w:szCs w:val="20"/>
              </w:rPr>
              <w:t>)</w:t>
            </w:r>
          </w:p>
        </w:tc>
      </w:tr>
    </w:tbl>
    <w:p w14:paraId="1B391242" w14:textId="77777777" w:rsidR="00FE7C46" w:rsidRDefault="00FE7C46" w:rsidP="00EB519A">
      <w:pPr>
        <w:ind w:firstLine="0"/>
      </w:pPr>
    </w:p>
    <w:p w14:paraId="777E30F6" w14:textId="77777777" w:rsidR="0059367B" w:rsidRDefault="0059367B">
      <w:pPr>
        <w:ind w:firstLine="0"/>
      </w:pPr>
    </w:p>
    <w:sectPr w:rsidR="0059367B" w:rsidSect="009572CB">
      <w:footerReference w:type="even" r:id="rId13"/>
      <w:footerReference w:type="default" r:id="rId14"/>
      <w:footnotePr>
        <w:numFmt w:val="chicago"/>
        <w:numRestart w:val="eachPage"/>
      </w:footnotePr>
      <w:endnotePr>
        <w:numFmt w:val="decimal"/>
      </w:endnotePr>
      <w:pgSz w:w="12240" w:h="15840"/>
      <w:pgMar w:top="1080" w:right="1800" w:bottom="216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EB809B" w16cid:durableId="2090E815"/>
  <w16cid:commentId w16cid:paraId="75812B8F" w16cid:durableId="20914292"/>
  <w16cid:commentId w16cid:paraId="0F51783D" w16cid:durableId="2090EB7E"/>
  <w16cid:commentId w16cid:paraId="1D7F6B19" w16cid:durableId="209140A8"/>
  <w16cid:commentId w16cid:paraId="1424B901" w16cid:durableId="2090EEBF"/>
  <w16cid:commentId w16cid:paraId="3329585E" w16cid:durableId="20913F63"/>
  <w16cid:commentId w16cid:paraId="12708536" w16cid:durableId="2090E7CA"/>
  <w16cid:commentId w16cid:paraId="01B324F0" w16cid:durableId="2090E7CB"/>
  <w16cid:commentId w16cid:paraId="16DD0BE6" w16cid:durableId="2090F95D"/>
  <w16cid:commentId w16cid:paraId="5E761353" w16cid:durableId="2090FAB6"/>
  <w16cid:commentId w16cid:paraId="3E88CF39" w16cid:durableId="2090FB52"/>
  <w16cid:commentId w16cid:paraId="1BA0E022" w16cid:durableId="2090E7CC"/>
  <w16cid:commentId w16cid:paraId="48325D60" w16cid:durableId="20910355"/>
  <w16cid:commentId w16cid:paraId="28988F34" w16cid:durableId="2090E7CD"/>
  <w16cid:commentId w16cid:paraId="42F14F7D" w16cid:durableId="20910522"/>
  <w16cid:commentId w16cid:paraId="53FD28A1" w16cid:durableId="20910A29"/>
  <w16cid:commentId w16cid:paraId="2D82BAFD" w16cid:durableId="2090E7CE"/>
  <w16cid:commentId w16cid:paraId="62E626ED" w16cid:durableId="20913A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1AAD7" w14:textId="77777777" w:rsidR="00244245" w:rsidRPr="00862E9E" w:rsidRDefault="00244245" w:rsidP="00FE7C46">
      <w:pPr>
        <w:pStyle w:val="Section"/>
      </w:pPr>
      <w:r>
        <w:t>References</w:t>
      </w:r>
    </w:p>
  </w:endnote>
  <w:endnote w:type="continuationSeparator" w:id="0">
    <w:p w14:paraId="689ECB03" w14:textId="77777777" w:rsidR="00244245" w:rsidRPr="008048E9" w:rsidRDefault="00244245" w:rsidP="00FE7C46">
      <w:pPr>
        <w:pStyle w:val="Footer"/>
        <w:rPr>
          <w:sz w:val="2"/>
          <w:szCs w:val="2"/>
        </w:rPr>
      </w:pPr>
    </w:p>
  </w:endnote>
  <w:endnote w:type="continuationNotice" w:id="1">
    <w:p w14:paraId="4106F689" w14:textId="77777777" w:rsidR="00244245" w:rsidRDefault="00244245"/>
  </w:endnote>
  <w:endnote w:id="2">
    <w:p w14:paraId="394202A3" w14:textId="77777777" w:rsidR="00390928" w:rsidRPr="00A52C9F" w:rsidRDefault="00390928" w:rsidP="002A7DB5">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Kaplan, S. and Garrick, B.: “On the Quantitative Definition of Risk.” </w:t>
      </w:r>
      <w:r w:rsidRPr="00A52C9F">
        <w:rPr>
          <w:i/>
          <w:iCs/>
          <w:szCs w:val="18"/>
        </w:rPr>
        <w:t>Risk Analysis</w:t>
      </w:r>
      <w:r w:rsidRPr="00A52C9F">
        <w:rPr>
          <w:szCs w:val="18"/>
        </w:rPr>
        <w:t>, Vol. 1 No. 1 (1981), pp. 11-27.</w:t>
      </w:r>
    </w:p>
  </w:endnote>
  <w:endnote w:id="3">
    <w:p w14:paraId="346C021B" w14:textId="77777777" w:rsidR="00390928" w:rsidRPr="00A52C9F" w:rsidRDefault="00390928" w:rsidP="002A7DB5">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Kessler, D.J. and Cour-Palais, B.C.: “Collision Frequency of Artificial Satellites: The Creation of a Debris Belt.” </w:t>
      </w:r>
      <w:r w:rsidRPr="003B0B9D">
        <w:rPr>
          <w:i/>
          <w:szCs w:val="18"/>
        </w:rPr>
        <w:t>Journal of Geophysical Research 83 (1978)</w:t>
      </w:r>
      <w:r w:rsidRPr="00A52C9F">
        <w:rPr>
          <w:szCs w:val="18"/>
        </w:rPr>
        <w:t>, pp. 2637–2646.</w:t>
      </w:r>
    </w:p>
  </w:endnote>
  <w:endnote w:id="4">
    <w:p w14:paraId="2E9985F3" w14:textId="77777777" w:rsidR="00390928" w:rsidRDefault="00390928" w:rsidP="00A52C9F">
      <w:pPr>
        <w:pStyle w:val="EndnoteText"/>
        <w:ind w:left="360" w:hanging="360"/>
      </w:pPr>
      <w:r>
        <w:rPr>
          <w:rStyle w:val="EndnoteReference"/>
        </w:rPr>
        <w:endnoteRef/>
      </w:r>
      <w:r>
        <w:t xml:space="preserve"> </w:t>
      </w:r>
      <w:r>
        <w:tab/>
      </w:r>
      <w:r w:rsidRPr="00A52C9F">
        <w:rPr>
          <w:szCs w:val="18"/>
        </w:rPr>
        <w:t>Hejduk, M., Laporte, F., Moury, M., Kelso, T.S., Newman, L., Shepperd, R. “Consideration of Collision “Consequence” in Satellite Conjunction Assessment and Risk Analysis”, International Symposium on Space Flight Dynamics, Matsuyama, Japan, 2017</w:t>
      </w:r>
    </w:p>
  </w:endnote>
  <w:endnote w:id="5">
    <w:p w14:paraId="52B48156" w14:textId="77777777" w:rsidR="00390928" w:rsidRDefault="00390928" w:rsidP="00892E2E">
      <w:pPr>
        <w:pStyle w:val="EndnoteText"/>
        <w:ind w:left="360" w:hanging="360"/>
      </w:pPr>
      <w:r>
        <w:rPr>
          <w:rStyle w:val="EndnoteReference"/>
        </w:rPr>
        <w:endnoteRef/>
      </w:r>
      <w:r>
        <w:t xml:space="preserve"> </w:t>
      </w:r>
      <w:r>
        <w:tab/>
      </w:r>
      <w:r w:rsidRPr="00A52C9F">
        <w:rPr>
          <w:szCs w:val="18"/>
        </w:rPr>
        <w:t>Lechtenberg, T. F., and Hejduk, M. D., “Assessment and Validation of Collision “Consequence” Method of Assessing Orbital Regime Risk Posed by Potential Satellite Conjunctions,” Hypervelocity Impact Symposium, 2019, Destin FL, HVIS2019-061.</w:t>
      </w:r>
    </w:p>
  </w:endnote>
  <w:endnote w:id="6">
    <w:p w14:paraId="71D293B6" w14:textId="77777777" w:rsidR="00390928" w:rsidRPr="00A52C9F" w:rsidRDefault="00390928" w:rsidP="00E8607C">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Johnson, N.L., Krisko, P.H., Liou, J.-C., and Anz-Meador, P.D.: “NASA’s New Breakup Model of EVOLVE 4.0.” </w:t>
      </w:r>
      <w:r w:rsidRPr="00A52C9F">
        <w:rPr>
          <w:i/>
          <w:iCs/>
          <w:szCs w:val="18"/>
        </w:rPr>
        <w:t xml:space="preserve">Advances in Space Research, </w:t>
      </w:r>
      <w:r w:rsidRPr="00A52C9F">
        <w:rPr>
          <w:szCs w:val="18"/>
        </w:rPr>
        <w:t>Vol. 28 No. 9 (2001), pp. 1377-1384.</w:t>
      </w:r>
    </w:p>
  </w:endnote>
  <w:endnote w:id="7">
    <w:p w14:paraId="3679944B" w14:textId="77777777" w:rsidR="00390928" w:rsidRPr="00A52C9F" w:rsidRDefault="00390928" w:rsidP="00E8607C">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Walker, A., Mehta, P., Koller, J., “Drag Coefficient Model Using Cercignani-Lampis-Lord Gas-Surface Interaction Model”, </w:t>
      </w:r>
      <w:r w:rsidRPr="003B0B9D">
        <w:rPr>
          <w:i/>
          <w:szCs w:val="18"/>
        </w:rPr>
        <w:t>Journal of Spacecraft and Rockets</w:t>
      </w:r>
      <w:r w:rsidRPr="00A52C9F">
        <w:rPr>
          <w:szCs w:val="18"/>
        </w:rPr>
        <w:t>, Vol. 51, No. 5 (2014), pp. 1544-1563.</w:t>
      </w:r>
    </w:p>
  </w:endnote>
  <w:endnote w:id="8">
    <w:p w14:paraId="713ADFBA" w14:textId="77777777" w:rsidR="00390928" w:rsidRPr="00A52C9F" w:rsidRDefault="00390928" w:rsidP="00E8607C">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Pilinski, M., Argrow, B., Palo, S., "Semi-Empirical Satellite Accommodation Model for Spherical and Randomly Tumbling Objects", </w:t>
      </w:r>
      <w:r w:rsidRPr="003B0B9D">
        <w:rPr>
          <w:i/>
          <w:szCs w:val="18"/>
        </w:rPr>
        <w:t>Journal of Spacecraft and Rockets</w:t>
      </w:r>
      <w:r w:rsidRPr="00A52C9F">
        <w:rPr>
          <w:szCs w:val="18"/>
        </w:rPr>
        <w:t>, Vol. 50, No. 3 (2013), pp. 556-571.</w:t>
      </w:r>
    </w:p>
  </w:endnote>
  <w:endnote w:id="9">
    <w:p w14:paraId="6A746B4B" w14:textId="6E34BFF3" w:rsidR="008D6A30" w:rsidRDefault="008D6A30" w:rsidP="008D6A30">
      <w:pPr>
        <w:pStyle w:val="EndnoteText"/>
        <w:ind w:left="360" w:hanging="360"/>
      </w:pPr>
      <w:r>
        <w:rPr>
          <w:rStyle w:val="EndnoteReference"/>
        </w:rPr>
        <w:endnoteRef/>
      </w:r>
      <w:r>
        <w:t xml:space="preserve"> </w:t>
      </w:r>
      <w:r>
        <w:tab/>
      </w:r>
      <w:r w:rsidRPr="008D6A30">
        <w:t>C. L. Stokely et al., "Haystack and HAX Radar Measurements</w:t>
      </w:r>
      <w:r>
        <w:t xml:space="preserve"> </w:t>
      </w:r>
      <w:r w:rsidRPr="008D6A30">
        <w:t>of the Orbital Debris Environment; 2003", JSC-62815, Nov 2006.</w:t>
      </w:r>
    </w:p>
  </w:endnote>
  <w:endnote w:id="10">
    <w:p w14:paraId="7AA5E4A4" w14:textId="77777777" w:rsidR="00390928" w:rsidRPr="00A52C9F" w:rsidRDefault="00390928" w:rsidP="00E8607C">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Hejduk, M., DePalma, D., “Comprehensive Radar Cross-Section “Target Typing” Investigation for Spacecraft”, </w:t>
      </w:r>
      <w:r w:rsidRPr="00A52C9F">
        <w:rPr>
          <w:i/>
          <w:szCs w:val="18"/>
        </w:rPr>
        <w:t>Advances in the Astronautical Sciences</w:t>
      </w:r>
      <w:r w:rsidRPr="00A52C9F">
        <w:rPr>
          <w:szCs w:val="18"/>
        </w:rPr>
        <w:t>, Vol. 135, 2010, AAS 09-301.</w:t>
      </w:r>
    </w:p>
  </w:endnote>
  <w:endnote w:id="11">
    <w:p w14:paraId="4941745E" w14:textId="77777777" w:rsidR="00390928" w:rsidRPr="003B0B9D" w:rsidRDefault="00390928" w:rsidP="00B61AF2">
      <w:pPr>
        <w:pStyle w:val="EndnoteText"/>
        <w:ind w:left="360" w:hanging="360"/>
      </w:pPr>
      <w:r>
        <w:rPr>
          <w:rStyle w:val="EndnoteReference"/>
        </w:rPr>
        <w:endnoteRef/>
      </w:r>
      <w:r>
        <w:t xml:space="preserve"> </w:t>
      </w:r>
      <w:r>
        <w:tab/>
        <w:t xml:space="preserve">Krisko, P. H., “The New NASA Orbital Debris Engineering Model ORDEM 3.0,” </w:t>
      </w:r>
      <w:r w:rsidRPr="003B0B9D">
        <w:t>AIAA/AAS Astrodynamics Specialist Conference</w:t>
      </w:r>
      <w:r>
        <w:rPr>
          <w:i/>
        </w:rPr>
        <w:t xml:space="preserve">, </w:t>
      </w:r>
      <w:r>
        <w:t xml:space="preserve">San Diego, CA, August, 2014, AIAA 0214-4227, </w:t>
      </w:r>
      <w:r w:rsidRPr="003B0B9D">
        <w:t>https://ntrs.nasa.gov/archive/nasa/casi.ntrs.nasa.gov/20140009932.pdf</w:t>
      </w:r>
      <w:r>
        <w:t>.</w:t>
      </w:r>
    </w:p>
  </w:endnote>
  <w:endnote w:id="12">
    <w:p w14:paraId="6F1A1FAC" w14:textId="77777777" w:rsidR="00390928" w:rsidRPr="00A52C9F" w:rsidRDefault="00390928" w:rsidP="00E8607C">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Hanada, T., Liou, J. C., Krisko, P., Nakajima, T., “For Better Calculation of the Average Cross-Sectional Area of Breakup Fragments”, </w:t>
      </w:r>
      <w:r w:rsidRPr="00A52C9F">
        <w:rPr>
          <w:i/>
          <w:szCs w:val="18"/>
        </w:rPr>
        <w:t>Transactions of Space Technology Japan</w:t>
      </w:r>
      <w:r w:rsidRPr="00A52C9F">
        <w:rPr>
          <w:szCs w:val="18"/>
        </w:rPr>
        <w:t>, Vol. 7, Iss. 26, 2009, pp. 25-30.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E974" w14:textId="77777777" w:rsidR="00390928" w:rsidRDefault="00390928" w:rsidP="00957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60B226" w14:textId="77777777" w:rsidR="00390928" w:rsidRDefault="00390928" w:rsidP="00C34C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AFB49" w14:textId="0615037B" w:rsidR="00390928" w:rsidRDefault="00390928" w:rsidP="00957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5E97">
      <w:rPr>
        <w:rStyle w:val="PageNumber"/>
        <w:noProof/>
      </w:rPr>
      <w:t>7</w:t>
    </w:r>
    <w:r>
      <w:rPr>
        <w:rStyle w:val="PageNumber"/>
      </w:rPr>
      <w:fldChar w:fldCharType="end"/>
    </w:r>
  </w:p>
  <w:p w14:paraId="3866E9C6" w14:textId="77777777" w:rsidR="00390928" w:rsidRDefault="00390928" w:rsidP="00C34C94">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A9B82" w14:textId="77777777" w:rsidR="00244245" w:rsidRDefault="00244245" w:rsidP="002D5428">
      <w:pPr>
        <w:ind w:firstLine="0"/>
      </w:pPr>
      <w:r w:rsidRPr="002D5428">
        <w:separator/>
      </w:r>
    </w:p>
  </w:footnote>
  <w:footnote w:type="continuationSeparator" w:id="0">
    <w:p w14:paraId="4929E64C" w14:textId="77777777" w:rsidR="00244245" w:rsidRDefault="00244245" w:rsidP="00FE7C46">
      <w:r>
        <w:continuationSeparator/>
      </w:r>
    </w:p>
  </w:footnote>
  <w:footnote w:type="continuationNotice" w:id="1">
    <w:p w14:paraId="07742388" w14:textId="77777777" w:rsidR="00244245" w:rsidRPr="00DD36A5" w:rsidRDefault="00244245" w:rsidP="00FE7C46"/>
  </w:footnote>
  <w:footnote w:id="2">
    <w:p w14:paraId="0BD2D03A" w14:textId="7A167D6C" w:rsidR="00390928" w:rsidRDefault="00390928">
      <w:pPr>
        <w:pStyle w:val="FootnoteText"/>
      </w:pPr>
      <w:r>
        <w:rPr>
          <w:rStyle w:val="FootnoteReference"/>
        </w:rPr>
        <w:footnoteRef/>
      </w:r>
      <w:r>
        <w:t xml:space="preserve"> Conjunction Assessment </w:t>
      </w:r>
      <w:r w:rsidR="00E22562">
        <w:t>Research Scientist</w:t>
      </w:r>
      <w:r>
        <w:t>, Omitron Inc., 555 E. Pikes Peak Ave. #205 Colorado Springs, CO, USA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93A5A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787D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E9A505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1D0A9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B004E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5FE22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6C90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1B0B80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3AAA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00FC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BEA0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50E2B"/>
    <w:multiLevelType w:val="multilevel"/>
    <w:tmpl w:val="D7F219AC"/>
    <w:lvl w:ilvl="0">
      <w:start w:val="1"/>
      <w:numFmt w:val="decimal"/>
      <w:lvlText w:val="(%1)"/>
      <w:lvlJc w:val="right"/>
      <w:pPr>
        <w:tabs>
          <w:tab w:val="num" w:pos="0"/>
        </w:tabs>
        <w:ind w:left="1656" w:firstLine="69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C2A1E13"/>
    <w:multiLevelType w:val="hybridMultilevel"/>
    <w:tmpl w:val="36D4E7B2"/>
    <w:lvl w:ilvl="0" w:tplc="FEC47022">
      <w:start w:val="1"/>
      <w:numFmt w:val="decimal"/>
      <w:lvlText w:val="(%1)"/>
      <w:lvlJc w:val="right"/>
      <w:pPr>
        <w:tabs>
          <w:tab w:val="num" w:pos="0"/>
        </w:tabs>
        <w:ind w:left="216" w:firstLine="8424"/>
      </w:pPr>
      <w:rPr>
        <w:rFonts w:hint="default"/>
      </w:rPr>
    </w:lvl>
    <w:lvl w:ilvl="1" w:tplc="48D6B624" w:tentative="1">
      <w:start w:val="1"/>
      <w:numFmt w:val="lowerLetter"/>
      <w:lvlText w:val="%2."/>
      <w:lvlJc w:val="left"/>
      <w:pPr>
        <w:tabs>
          <w:tab w:val="num" w:pos="1440"/>
        </w:tabs>
        <w:ind w:left="1440" w:hanging="360"/>
      </w:pPr>
    </w:lvl>
    <w:lvl w:ilvl="2" w:tplc="1F36D892" w:tentative="1">
      <w:start w:val="1"/>
      <w:numFmt w:val="lowerRoman"/>
      <w:lvlText w:val="%3."/>
      <w:lvlJc w:val="right"/>
      <w:pPr>
        <w:tabs>
          <w:tab w:val="num" w:pos="2160"/>
        </w:tabs>
        <w:ind w:left="2160" w:hanging="180"/>
      </w:pPr>
    </w:lvl>
    <w:lvl w:ilvl="3" w:tplc="15361488" w:tentative="1">
      <w:start w:val="1"/>
      <w:numFmt w:val="decimal"/>
      <w:lvlText w:val="%4."/>
      <w:lvlJc w:val="left"/>
      <w:pPr>
        <w:tabs>
          <w:tab w:val="num" w:pos="2880"/>
        </w:tabs>
        <w:ind w:left="2880" w:hanging="360"/>
      </w:pPr>
    </w:lvl>
    <w:lvl w:ilvl="4" w:tplc="24EA8C86" w:tentative="1">
      <w:start w:val="1"/>
      <w:numFmt w:val="lowerLetter"/>
      <w:lvlText w:val="%5."/>
      <w:lvlJc w:val="left"/>
      <w:pPr>
        <w:tabs>
          <w:tab w:val="num" w:pos="3600"/>
        </w:tabs>
        <w:ind w:left="3600" w:hanging="360"/>
      </w:pPr>
    </w:lvl>
    <w:lvl w:ilvl="5" w:tplc="80DCF44C" w:tentative="1">
      <w:start w:val="1"/>
      <w:numFmt w:val="lowerRoman"/>
      <w:lvlText w:val="%6."/>
      <w:lvlJc w:val="right"/>
      <w:pPr>
        <w:tabs>
          <w:tab w:val="num" w:pos="4320"/>
        </w:tabs>
        <w:ind w:left="4320" w:hanging="180"/>
      </w:pPr>
    </w:lvl>
    <w:lvl w:ilvl="6" w:tplc="984E7E18" w:tentative="1">
      <w:start w:val="1"/>
      <w:numFmt w:val="decimal"/>
      <w:lvlText w:val="%7."/>
      <w:lvlJc w:val="left"/>
      <w:pPr>
        <w:tabs>
          <w:tab w:val="num" w:pos="5040"/>
        </w:tabs>
        <w:ind w:left="5040" w:hanging="360"/>
      </w:pPr>
    </w:lvl>
    <w:lvl w:ilvl="7" w:tplc="03AAEFB8" w:tentative="1">
      <w:start w:val="1"/>
      <w:numFmt w:val="lowerLetter"/>
      <w:lvlText w:val="%8."/>
      <w:lvlJc w:val="left"/>
      <w:pPr>
        <w:tabs>
          <w:tab w:val="num" w:pos="5760"/>
        </w:tabs>
        <w:ind w:left="5760" w:hanging="360"/>
      </w:pPr>
    </w:lvl>
    <w:lvl w:ilvl="8" w:tplc="0720B2CC" w:tentative="1">
      <w:start w:val="1"/>
      <w:numFmt w:val="lowerRoman"/>
      <w:lvlText w:val="%9."/>
      <w:lvlJc w:val="right"/>
      <w:pPr>
        <w:tabs>
          <w:tab w:val="num" w:pos="6480"/>
        </w:tabs>
        <w:ind w:left="6480" w:hanging="180"/>
      </w:pPr>
    </w:lvl>
  </w:abstractNum>
  <w:abstractNum w:abstractNumId="13" w15:restartNumberingAfterBreak="0">
    <w:nsid w:val="1CFA698E"/>
    <w:multiLevelType w:val="hybridMultilevel"/>
    <w:tmpl w:val="5A90D1D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A497F82"/>
    <w:multiLevelType w:val="multilevel"/>
    <w:tmpl w:val="36D4E7B2"/>
    <w:lvl w:ilvl="0">
      <w:start w:val="1"/>
      <w:numFmt w:val="decimal"/>
      <w:lvlText w:val="(%1)"/>
      <w:lvlJc w:val="right"/>
      <w:pPr>
        <w:tabs>
          <w:tab w:val="num" w:pos="0"/>
        </w:tabs>
        <w:ind w:left="216" w:firstLine="842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022386B"/>
    <w:multiLevelType w:val="hybridMultilevel"/>
    <w:tmpl w:val="1FD47FFA"/>
    <w:lvl w:ilvl="0" w:tplc="659C998E">
      <w:start w:val="1"/>
      <w:numFmt w:val="decimal"/>
      <w:lvlText w:val="(%1)"/>
      <w:lvlJc w:val="right"/>
      <w:pPr>
        <w:tabs>
          <w:tab w:val="num" w:pos="1008"/>
        </w:tabs>
        <w:ind w:left="1008" w:hanging="360"/>
      </w:pPr>
      <w:rPr>
        <w:rFonts w:hint="default"/>
      </w:rPr>
    </w:lvl>
    <w:lvl w:ilvl="1" w:tplc="5928C7AA" w:tentative="1">
      <w:start w:val="1"/>
      <w:numFmt w:val="lowerLetter"/>
      <w:lvlText w:val="%2."/>
      <w:lvlJc w:val="left"/>
      <w:pPr>
        <w:tabs>
          <w:tab w:val="num" w:pos="1440"/>
        </w:tabs>
        <w:ind w:left="1440" w:hanging="360"/>
      </w:pPr>
    </w:lvl>
    <w:lvl w:ilvl="2" w:tplc="3D30DACA" w:tentative="1">
      <w:start w:val="1"/>
      <w:numFmt w:val="lowerRoman"/>
      <w:lvlText w:val="%3."/>
      <w:lvlJc w:val="right"/>
      <w:pPr>
        <w:tabs>
          <w:tab w:val="num" w:pos="2160"/>
        </w:tabs>
        <w:ind w:left="2160" w:hanging="180"/>
      </w:pPr>
    </w:lvl>
    <w:lvl w:ilvl="3" w:tplc="03320A92" w:tentative="1">
      <w:start w:val="1"/>
      <w:numFmt w:val="decimal"/>
      <w:lvlText w:val="%4."/>
      <w:lvlJc w:val="left"/>
      <w:pPr>
        <w:tabs>
          <w:tab w:val="num" w:pos="2880"/>
        </w:tabs>
        <w:ind w:left="2880" w:hanging="360"/>
      </w:pPr>
    </w:lvl>
    <w:lvl w:ilvl="4" w:tplc="FFB0C208" w:tentative="1">
      <w:start w:val="1"/>
      <w:numFmt w:val="lowerLetter"/>
      <w:lvlText w:val="%5."/>
      <w:lvlJc w:val="left"/>
      <w:pPr>
        <w:tabs>
          <w:tab w:val="num" w:pos="3600"/>
        </w:tabs>
        <w:ind w:left="3600" w:hanging="360"/>
      </w:pPr>
    </w:lvl>
    <w:lvl w:ilvl="5" w:tplc="2CE8438A" w:tentative="1">
      <w:start w:val="1"/>
      <w:numFmt w:val="lowerRoman"/>
      <w:lvlText w:val="%6."/>
      <w:lvlJc w:val="right"/>
      <w:pPr>
        <w:tabs>
          <w:tab w:val="num" w:pos="4320"/>
        </w:tabs>
        <w:ind w:left="4320" w:hanging="180"/>
      </w:pPr>
    </w:lvl>
    <w:lvl w:ilvl="6" w:tplc="6FF80940" w:tentative="1">
      <w:start w:val="1"/>
      <w:numFmt w:val="decimal"/>
      <w:lvlText w:val="%7."/>
      <w:lvlJc w:val="left"/>
      <w:pPr>
        <w:tabs>
          <w:tab w:val="num" w:pos="5040"/>
        </w:tabs>
        <w:ind w:left="5040" w:hanging="360"/>
      </w:pPr>
    </w:lvl>
    <w:lvl w:ilvl="7" w:tplc="5BE495E8" w:tentative="1">
      <w:start w:val="1"/>
      <w:numFmt w:val="lowerLetter"/>
      <w:lvlText w:val="%8."/>
      <w:lvlJc w:val="left"/>
      <w:pPr>
        <w:tabs>
          <w:tab w:val="num" w:pos="5760"/>
        </w:tabs>
        <w:ind w:left="5760" w:hanging="360"/>
      </w:pPr>
    </w:lvl>
    <w:lvl w:ilvl="8" w:tplc="8BBC3968" w:tentative="1">
      <w:start w:val="1"/>
      <w:numFmt w:val="lowerRoman"/>
      <w:lvlText w:val="%9."/>
      <w:lvlJc w:val="right"/>
      <w:pPr>
        <w:tabs>
          <w:tab w:val="num" w:pos="6480"/>
        </w:tabs>
        <w:ind w:left="6480" w:hanging="180"/>
      </w:pPr>
    </w:lvl>
  </w:abstractNum>
  <w:abstractNum w:abstractNumId="16" w15:restartNumberingAfterBreak="0">
    <w:nsid w:val="4CCC6D21"/>
    <w:multiLevelType w:val="hybridMultilevel"/>
    <w:tmpl w:val="C00C388A"/>
    <w:lvl w:ilvl="0" w:tplc="621A1700">
      <w:start w:val="1"/>
      <w:numFmt w:val="decimal"/>
      <w:lvlText w:val="%1."/>
      <w:lvlJc w:val="left"/>
      <w:pPr>
        <w:tabs>
          <w:tab w:val="num" w:pos="808"/>
        </w:tabs>
        <w:ind w:left="808" w:hanging="520"/>
      </w:pPr>
      <w:rPr>
        <w:rFonts w:hint="default"/>
      </w:rPr>
    </w:lvl>
    <w:lvl w:ilvl="1" w:tplc="E01E6CD0" w:tentative="1">
      <w:start w:val="1"/>
      <w:numFmt w:val="lowerLetter"/>
      <w:lvlText w:val="%2."/>
      <w:lvlJc w:val="left"/>
      <w:pPr>
        <w:tabs>
          <w:tab w:val="num" w:pos="1368"/>
        </w:tabs>
        <w:ind w:left="1368" w:hanging="360"/>
      </w:pPr>
    </w:lvl>
    <w:lvl w:ilvl="2" w:tplc="0AAA5976" w:tentative="1">
      <w:start w:val="1"/>
      <w:numFmt w:val="lowerRoman"/>
      <w:lvlText w:val="%3."/>
      <w:lvlJc w:val="right"/>
      <w:pPr>
        <w:tabs>
          <w:tab w:val="num" w:pos="2088"/>
        </w:tabs>
        <w:ind w:left="2088" w:hanging="180"/>
      </w:pPr>
    </w:lvl>
    <w:lvl w:ilvl="3" w:tplc="55368D32" w:tentative="1">
      <w:start w:val="1"/>
      <w:numFmt w:val="decimal"/>
      <w:lvlText w:val="%4."/>
      <w:lvlJc w:val="left"/>
      <w:pPr>
        <w:tabs>
          <w:tab w:val="num" w:pos="2808"/>
        </w:tabs>
        <w:ind w:left="2808" w:hanging="360"/>
      </w:pPr>
    </w:lvl>
    <w:lvl w:ilvl="4" w:tplc="2258D992" w:tentative="1">
      <w:start w:val="1"/>
      <w:numFmt w:val="lowerLetter"/>
      <w:lvlText w:val="%5."/>
      <w:lvlJc w:val="left"/>
      <w:pPr>
        <w:tabs>
          <w:tab w:val="num" w:pos="3528"/>
        </w:tabs>
        <w:ind w:left="3528" w:hanging="360"/>
      </w:pPr>
    </w:lvl>
    <w:lvl w:ilvl="5" w:tplc="42984F1A" w:tentative="1">
      <w:start w:val="1"/>
      <w:numFmt w:val="lowerRoman"/>
      <w:lvlText w:val="%6."/>
      <w:lvlJc w:val="right"/>
      <w:pPr>
        <w:tabs>
          <w:tab w:val="num" w:pos="4248"/>
        </w:tabs>
        <w:ind w:left="4248" w:hanging="180"/>
      </w:pPr>
    </w:lvl>
    <w:lvl w:ilvl="6" w:tplc="1D20A2A4" w:tentative="1">
      <w:start w:val="1"/>
      <w:numFmt w:val="decimal"/>
      <w:lvlText w:val="%7."/>
      <w:lvlJc w:val="left"/>
      <w:pPr>
        <w:tabs>
          <w:tab w:val="num" w:pos="4968"/>
        </w:tabs>
        <w:ind w:left="4968" w:hanging="360"/>
      </w:pPr>
    </w:lvl>
    <w:lvl w:ilvl="7" w:tplc="0E3C6BF8" w:tentative="1">
      <w:start w:val="1"/>
      <w:numFmt w:val="lowerLetter"/>
      <w:lvlText w:val="%8."/>
      <w:lvlJc w:val="left"/>
      <w:pPr>
        <w:tabs>
          <w:tab w:val="num" w:pos="5688"/>
        </w:tabs>
        <w:ind w:left="5688" w:hanging="360"/>
      </w:pPr>
    </w:lvl>
    <w:lvl w:ilvl="8" w:tplc="9536B0DE" w:tentative="1">
      <w:start w:val="1"/>
      <w:numFmt w:val="lowerRoman"/>
      <w:lvlText w:val="%9."/>
      <w:lvlJc w:val="right"/>
      <w:pPr>
        <w:tabs>
          <w:tab w:val="num" w:pos="6408"/>
        </w:tabs>
        <w:ind w:left="6408" w:hanging="180"/>
      </w:pPr>
    </w:lvl>
  </w:abstractNum>
  <w:abstractNum w:abstractNumId="17" w15:restartNumberingAfterBreak="0">
    <w:nsid w:val="4E554AD7"/>
    <w:multiLevelType w:val="multilevel"/>
    <w:tmpl w:val="1FD47FFA"/>
    <w:lvl w:ilvl="0">
      <w:start w:val="1"/>
      <w:numFmt w:val="decimal"/>
      <w:lvlText w:val="(%1)"/>
      <w:lvlJc w:val="right"/>
      <w:pPr>
        <w:tabs>
          <w:tab w:val="num" w:pos="1008"/>
        </w:tabs>
        <w:ind w:left="100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156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9" w15:restartNumberingAfterBreak="0">
    <w:nsid w:val="5F1458BC"/>
    <w:multiLevelType w:val="hybridMultilevel"/>
    <w:tmpl w:val="E2FEE5FE"/>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0" w15:restartNumberingAfterBreak="0">
    <w:nsid w:val="60EE621C"/>
    <w:multiLevelType w:val="multilevel"/>
    <w:tmpl w:val="764CDFE0"/>
    <w:lvl w:ilvl="0">
      <w:start w:val="1"/>
      <w:numFmt w:val="decimal"/>
      <w:lvlText w:val="(%1)"/>
      <w:lvlJc w:val="right"/>
      <w:pPr>
        <w:tabs>
          <w:tab w:val="num" w:pos="-8640"/>
        </w:tabs>
        <w:ind w:left="1656" w:firstLine="69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0"/>
  </w:num>
  <w:num w:numId="3">
    <w:abstractNumId w:val="10"/>
  </w:num>
  <w:num w:numId="4">
    <w:abstractNumId w:val="8"/>
  </w:num>
  <w:num w:numId="5">
    <w:abstractNumId w:val="7"/>
  </w:num>
  <w:num w:numId="6">
    <w:abstractNumId w:val="6"/>
  </w:num>
  <w:num w:numId="7">
    <w:abstractNumId w:val="9"/>
  </w:num>
  <w:num w:numId="8">
    <w:abstractNumId w:val="4"/>
  </w:num>
  <w:num w:numId="9">
    <w:abstractNumId w:val="3"/>
  </w:num>
  <w:num w:numId="10">
    <w:abstractNumId w:val="2"/>
  </w:num>
  <w:num w:numId="11">
    <w:abstractNumId w:val="1"/>
  </w:num>
  <w:num w:numId="12">
    <w:abstractNumId w:val="15"/>
  </w:num>
  <w:num w:numId="13">
    <w:abstractNumId w:val="17"/>
  </w:num>
  <w:num w:numId="14">
    <w:abstractNumId w:val="12"/>
  </w:num>
  <w:num w:numId="15">
    <w:abstractNumId w:val="11"/>
  </w:num>
  <w:num w:numId="16">
    <w:abstractNumId w:val="20"/>
  </w:num>
  <w:num w:numId="17">
    <w:abstractNumId w:val="14"/>
  </w:num>
  <w:num w:numId="18">
    <w:abstractNumId w:val="16"/>
  </w:num>
  <w:num w:numId="19">
    <w:abstractNumId w:val="18"/>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noPunctuationKerning/>
  <w:characterSpacingControl w:val="doNotCompress"/>
  <w:footnotePr>
    <w:numFmt w:val="chicago"/>
    <w:numRestart w:val="eachPage"/>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70"/>
    <w:rsid w:val="000020ED"/>
    <w:rsid w:val="000125D7"/>
    <w:rsid w:val="0001416C"/>
    <w:rsid w:val="000141B0"/>
    <w:rsid w:val="00014E87"/>
    <w:rsid w:val="000163BF"/>
    <w:rsid w:val="000221D1"/>
    <w:rsid w:val="00024BFA"/>
    <w:rsid w:val="00030B20"/>
    <w:rsid w:val="00032AD4"/>
    <w:rsid w:val="000335F0"/>
    <w:rsid w:val="00033BCF"/>
    <w:rsid w:val="00035268"/>
    <w:rsid w:val="0004018A"/>
    <w:rsid w:val="000433B8"/>
    <w:rsid w:val="00043F60"/>
    <w:rsid w:val="0005283A"/>
    <w:rsid w:val="000529FD"/>
    <w:rsid w:val="00052FD9"/>
    <w:rsid w:val="000541D8"/>
    <w:rsid w:val="0005469A"/>
    <w:rsid w:val="00062FDA"/>
    <w:rsid w:val="00067BC9"/>
    <w:rsid w:val="00074CF6"/>
    <w:rsid w:val="00080222"/>
    <w:rsid w:val="000A40F5"/>
    <w:rsid w:val="000A4C71"/>
    <w:rsid w:val="000B194E"/>
    <w:rsid w:val="000B78DA"/>
    <w:rsid w:val="000C17F1"/>
    <w:rsid w:val="000C5283"/>
    <w:rsid w:val="000C6A7B"/>
    <w:rsid w:val="000D0FBE"/>
    <w:rsid w:val="000D22EC"/>
    <w:rsid w:val="000D288D"/>
    <w:rsid w:val="000D47F6"/>
    <w:rsid w:val="000E38D9"/>
    <w:rsid w:val="000E7148"/>
    <w:rsid w:val="000E7D41"/>
    <w:rsid w:val="000F70A6"/>
    <w:rsid w:val="000F7361"/>
    <w:rsid w:val="000F756C"/>
    <w:rsid w:val="00110212"/>
    <w:rsid w:val="00113528"/>
    <w:rsid w:val="00122BF5"/>
    <w:rsid w:val="0012548A"/>
    <w:rsid w:val="0012713E"/>
    <w:rsid w:val="00130FE5"/>
    <w:rsid w:val="00144664"/>
    <w:rsid w:val="001452B3"/>
    <w:rsid w:val="00147052"/>
    <w:rsid w:val="00152AD4"/>
    <w:rsid w:val="00153B61"/>
    <w:rsid w:val="00163B5A"/>
    <w:rsid w:val="001647ED"/>
    <w:rsid w:val="00165BD5"/>
    <w:rsid w:val="00167243"/>
    <w:rsid w:val="00167691"/>
    <w:rsid w:val="00176E33"/>
    <w:rsid w:val="00180A48"/>
    <w:rsid w:val="00183B85"/>
    <w:rsid w:val="00185973"/>
    <w:rsid w:val="00185BF2"/>
    <w:rsid w:val="00191705"/>
    <w:rsid w:val="00197A08"/>
    <w:rsid w:val="001A07FD"/>
    <w:rsid w:val="001A08F4"/>
    <w:rsid w:val="001A1402"/>
    <w:rsid w:val="001A2C35"/>
    <w:rsid w:val="001B06EF"/>
    <w:rsid w:val="001B3707"/>
    <w:rsid w:val="001B64A0"/>
    <w:rsid w:val="001B779D"/>
    <w:rsid w:val="001C126F"/>
    <w:rsid w:val="001C26ED"/>
    <w:rsid w:val="001D3E2C"/>
    <w:rsid w:val="001E022C"/>
    <w:rsid w:val="001E042E"/>
    <w:rsid w:val="001E2E8F"/>
    <w:rsid w:val="001E5BD9"/>
    <w:rsid w:val="001E7B84"/>
    <w:rsid w:val="001F1370"/>
    <w:rsid w:val="001F309B"/>
    <w:rsid w:val="001F33BC"/>
    <w:rsid w:val="001F4270"/>
    <w:rsid w:val="001F6A1F"/>
    <w:rsid w:val="00202ABF"/>
    <w:rsid w:val="002042BB"/>
    <w:rsid w:val="0020672B"/>
    <w:rsid w:val="00212BD6"/>
    <w:rsid w:val="00213FD3"/>
    <w:rsid w:val="00216FA2"/>
    <w:rsid w:val="00223357"/>
    <w:rsid w:val="00231B11"/>
    <w:rsid w:val="0023283F"/>
    <w:rsid w:val="00244245"/>
    <w:rsid w:val="002444DF"/>
    <w:rsid w:val="002450FD"/>
    <w:rsid w:val="00246E0D"/>
    <w:rsid w:val="00256F5A"/>
    <w:rsid w:val="00263CD5"/>
    <w:rsid w:val="00264303"/>
    <w:rsid w:val="00264F95"/>
    <w:rsid w:val="00265DC1"/>
    <w:rsid w:val="00266E18"/>
    <w:rsid w:val="00270C97"/>
    <w:rsid w:val="00271B5B"/>
    <w:rsid w:val="00271F98"/>
    <w:rsid w:val="00273528"/>
    <w:rsid w:val="00274BC7"/>
    <w:rsid w:val="00275FC7"/>
    <w:rsid w:val="002771FF"/>
    <w:rsid w:val="00277FDD"/>
    <w:rsid w:val="00281DEE"/>
    <w:rsid w:val="002862ED"/>
    <w:rsid w:val="00287486"/>
    <w:rsid w:val="002900DD"/>
    <w:rsid w:val="00290662"/>
    <w:rsid w:val="00290AFC"/>
    <w:rsid w:val="00291B61"/>
    <w:rsid w:val="00296BC3"/>
    <w:rsid w:val="002A3871"/>
    <w:rsid w:val="002A7DB5"/>
    <w:rsid w:val="002B0D17"/>
    <w:rsid w:val="002B3AD6"/>
    <w:rsid w:val="002B3D32"/>
    <w:rsid w:val="002B6983"/>
    <w:rsid w:val="002C072F"/>
    <w:rsid w:val="002C1AD6"/>
    <w:rsid w:val="002D1B9E"/>
    <w:rsid w:val="002D4BD0"/>
    <w:rsid w:val="002D5428"/>
    <w:rsid w:val="002D6F02"/>
    <w:rsid w:val="002E243E"/>
    <w:rsid w:val="002E2E2A"/>
    <w:rsid w:val="002E2F95"/>
    <w:rsid w:val="002E539F"/>
    <w:rsid w:val="002E5DCF"/>
    <w:rsid w:val="002E7592"/>
    <w:rsid w:val="002F2781"/>
    <w:rsid w:val="002F4242"/>
    <w:rsid w:val="002F561B"/>
    <w:rsid w:val="002F5632"/>
    <w:rsid w:val="002F6D7E"/>
    <w:rsid w:val="0030243C"/>
    <w:rsid w:val="00302F8F"/>
    <w:rsid w:val="00305E52"/>
    <w:rsid w:val="003063E8"/>
    <w:rsid w:val="00316244"/>
    <w:rsid w:val="003202BE"/>
    <w:rsid w:val="00322F68"/>
    <w:rsid w:val="0033146E"/>
    <w:rsid w:val="0033411B"/>
    <w:rsid w:val="00334D73"/>
    <w:rsid w:val="003455AA"/>
    <w:rsid w:val="00350006"/>
    <w:rsid w:val="0035285F"/>
    <w:rsid w:val="00352AAE"/>
    <w:rsid w:val="003549AC"/>
    <w:rsid w:val="00357247"/>
    <w:rsid w:val="00365054"/>
    <w:rsid w:val="00370809"/>
    <w:rsid w:val="00372273"/>
    <w:rsid w:val="00372C7E"/>
    <w:rsid w:val="00373C30"/>
    <w:rsid w:val="00382542"/>
    <w:rsid w:val="00383388"/>
    <w:rsid w:val="00384868"/>
    <w:rsid w:val="00387B9A"/>
    <w:rsid w:val="00390928"/>
    <w:rsid w:val="00393CAB"/>
    <w:rsid w:val="003A0591"/>
    <w:rsid w:val="003B0B9D"/>
    <w:rsid w:val="003B55A7"/>
    <w:rsid w:val="003B7C4D"/>
    <w:rsid w:val="003C01FD"/>
    <w:rsid w:val="003C2DFF"/>
    <w:rsid w:val="003C5196"/>
    <w:rsid w:val="003C5E97"/>
    <w:rsid w:val="003C62CA"/>
    <w:rsid w:val="003D042F"/>
    <w:rsid w:val="003D2D81"/>
    <w:rsid w:val="003D3DD8"/>
    <w:rsid w:val="003E051E"/>
    <w:rsid w:val="003E31C5"/>
    <w:rsid w:val="003E5804"/>
    <w:rsid w:val="003F1BA5"/>
    <w:rsid w:val="003F33BC"/>
    <w:rsid w:val="003F6519"/>
    <w:rsid w:val="003F6E4F"/>
    <w:rsid w:val="00405E1C"/>
    <w:rsid w:val="00410BF0"/>
    <w:rsid w:val="00413278"/>
    <w:rsid w:val="00414033"/>
    <w:rsid w:val="00414979"/>
    <w:rsid w:val="0041598D"/>
    <w:rsid w:val="004174B6"/>
    <w:rsid w:val="004228F8"/>
    <w:rsid w:val="00423C81"/>
    <w:rsid w:val="00424792"/>
    <w:rsid w:val="004250D6"/>
    <w:rsid w:val="0043298D"/>
    <w:rsid w:val="00436A2E"/>
    <w:rsid w:val="00465DCE"/>
    <w:rsid w:val="00472AF0"/>
    <w:rsid w:val="00482BB1"/>
    <w:rsid w:val="00483C1F"/>
    <w:rsid w:val="004947E0"/>
    <w:rsid w:val="004954A5"/>
    <w:rsid w:val="004A356E"/>
    <w:rsid w:val="004A3AA4"/>
    <w:rsid w:val="004A662B"/>
    <w:rsid w:val="004B1FA7"/>
    <w:rsid w:val="004C0274"/>
    <w:rsid w:val="004C0CF2"/>
    <w:rsid w:val="004C3179"/>
    <w:rsid w:val="004D2F74"/>
    <w:rsid w:val="004D301B"/>
    <w:rsid w:val="004E3565"/>
    <w:rsid w:val="004E35C4"/>
    <w:rsid w:val="004F29BD"/>
    <w:rsid w:val="004F5A85"/>
    <w:rsid w:val="005114B0"/>
    <w:rsid w:val="005137B3"/>
    <w:rsid w:val="00526A49"/>
    <w:rsid w:val="00527651"/>
    <w:rsid w:val="0053137E"/>
    <w:rsid w:val="00534934"/>
    <w:rsid w:val="00535902"/>
    <w:rsid w:val="00541057"/>
    <w:rsid w:val="00545DFA"/>
    <w:rsid w:val="0054607C"/>
    <w:rsid w:val="00550034"/>
    <w:rsid w:val="00552BDB"/>
    <w:rsid w:val="00561E66"/>
    <w:rsid w:val="00563E09"/>
    <w:rsid w:val="00564F60"/>
    <w:rsid w:val="00570D46"/>
    <w:rsid w:val="00574296"/>
    <w:rsid w:val="00575F96"/>
    <w:rsid w:val="0059367B"/>
    <w:rsid w:val="0059770F"/>
    <w:rsid w:val="00597C7D"/>
    <w:rsid w:val="005A09BA"/>
    <w:rsid w:val="005A0F11"/>
    <w:rsid w:val="005A2000"/>
    <w:rsid w:val="005A38EE"/>
    <w:rsid w:val="005A3C31"/>
    <w:rsid w:val="005A7966"/>
    <w:rsid w:val="005B17E1"/>
    <w:rsid w:val="005B28D4"/>
    <w:rsid w:val="005B558F"/>
    <w:rsid w:val="005B7098"/>
    <w:rsid w:val="005C09FD"/>
    <w:rsid w:val="005C12B5"/>
    <w:rsid w:val="005C3D27"/>
    <w:rsid w:val="005C5147"/>
    <w:rsid w:val="005C68D8"/>
    <w:rsid w:val="005C6EA5"/>
    <w:rsid w:val="005D0BE1"/>
    <w:rsid w:val="005D1A4C"/>
    <w:rsid w:val="005D39F4"/>
    <w:rsid w:val="005D609A"/>
    <w:rsid w:val="005D7070"/>
    <w:rsid w:val="005D7C51"/>
    <w:rsid w:val="005E15A7"/>
    <w:rsid w:val="005E185F"/>
    <w:rsid w:val="005E50A4"/>
    <w:rsid w:val="005E5150"/>
    <w:rsid w:val="005E70BB"/>
    <w:rsid w:val="005F05CA"/>
    <w:rsid w:val="005F16E3"/>
    <w:rsid w:val="0060016F"/>
    <w:rsid w:val="006014A7"/>
    <w:rsid w:val="006038F6"/>
    <w:rsid w:val="00610A9F"/>
    <w:rsid w:val="0061339B"/>
    <w:rsid w:val="00617544"/>
    <w:rsid w:val="00622472"/>
    <w:rsid w:val="00623627"/>
    <w:rsid w:val="006238A7"/>
    <w:rsid w:val="00627EC3"/>
    <w:rsid w:val="006313CF"/>
    <w:rsid w:val="00637D14"/>
    <w:rsid w:val="00641C3D"/>
    <w:rsid w:val="00645D55"/>
    <w:rsid w:val="00646026"/>
    <w:rsid w:val="006500AA"/>
    <w:rsid w:val="006507DC"/>
    <w:rsid w:val="00653D40"/>
    <w:rsid w:val="006546A3"/>
    <w:rsid w:val="00661870"/>
    <w:rsid w:val="00674C2A"/>
    <w:rsid w:val="00683BD9"/>
    <w:rsid w:val="00683DCA"/>
    <w:rsid w:val="006866D6"/>
    <w:rsid w:val="00686CB0"/>
    <w:rsid w:val="00686D29"/>
    <w:rsid w:val="00694400"/>
    <w:rsid w:val="0069455F"/>
    <w:rsid w:val="00696939"/>
    <w:rsid w:val="006A09DA"/>
    <w:rsid w:val="006A1B10"/>
    <w:rsid w:val="006A3422"/>
    <w:rsid w:val="006A3449"/>
    <w:rsid w:val="006A6541"/>
    <w:rsid w:val="006A7C33"/>
    <w:rsid w:val="006B3688"/>
    <w:rsid w:val="006C3C6F"/>
    <w:rsid w:val="006D29EC"/>
    <w:rsid w:val="006D540D"/>
    <w:rsid w:val="006D7933"/>
    <w:rsid w:val="006E0A77"/>
    <w:rsid w:val="006E0C4E"/>
    <w:rsid w:val="006E38E5"/>
    <w:rsid w:val="006E3C95"/>
    <w:rsid w:val="006F15A2"/>
    <w:rsid w:val="006F7091"/>
    <w:rsid w:val="00703010"/>
    <w:rsid w:val="007038AB"/>
    <w:rsid w:val="00704B24"/>
    <w:rsid w:val="00705AB4"/>
    <w:rsid w:val="00706B6D"/>
    <w:rsid w:val="0071779C"/>
    <w:rsid w:val="00721740"/>
    <w:rsid w:val="00721E01"/>
    <w:rsid w:val="00726962"/>
    <w:rsid w:val="007343DA"/>
    <w:rsid w:val="00746AEB"/>
    <w:rsid w:val="00751DC0"/>
    <w:rsid w:val="00752D32"/>
    <w:rsid w:val="00756F0E"/>
    <w:rsid w:val="00757791"/>
    <w:rsid w:val="00761099"/>
    <w:rsid w:val="00761818"/>
    <w:rsid w:val="0078071A"/>
    <w:rsid w:val="00783C9B"/>
    <w:rsid w:val="00785C02"/>
    <w:rsid w:val="007901D3"/>
    <w:rsid w:val="0079589B"/>
    <w:rsid w:val="00797B0E"/>
    <w:rsid w:val="00797FFA"/>
    <w:rsid w:val="007A2898"/>
    <w:rsid w:val="007A7923"/>
    <w:rsid w:val="007D23E7"/>
    <w:rsid w:val="007E27F4"/>
    <w:rsid w:val="007F1979"/>
    <w:rsid w:val="007F3F14"/>
    <w:rsid w:val="007F449C"/>
    <w:rsid w:val="007F5DAF"/>
    <w:rsid w:val="00806529"/>
    <w:rsid w:val="00821CF3"/>
    <w:rsid w:val="00826A7A"/>
    <w:rsid w:val="00826AB9"/>
    <w:rsid w:val="008328E7"/>
    <w:rsid w:val="00832A9B"/>
    <w:rsid w:val="00832D3E"/>
    <w:rsid w:val="0083330E"/>
    <w:rsid w:val="008462F1"/>
    <w:rsid w:val="00846A69"/>
    <w:rsid w:val="00852B2B"/>
    <w:rsid w:val="00853107"/>
    <w:rsid w:val="0086094D"/>
    <w:rsid w:val="00860C5B"/>
    <w:rsid w:val="00861A3C"/>
    <w:rsid w:val="00862294"/>
    <w:rsid w:val="00865115"/>
    <w:rsid w:val="00867810"/>
    <w:rsid w:val="008745A9"/>
    <w:rsid w:val="00874E05"/>
    <w:rsid w:val="0088127D"/>
    <w:rsid w:val="0088398B"/>
    <w:rsid w:val="00884D31"/>
    <w:rsid w:val="00890F2C"/>
    <w:rsid w:val="0089269E"/>
    <w:rsid w:val="00892E2E"/>
    <w:rsid w:val="00893712"/>
    <w:rsid w:val="00894A81"/>
    <w:rsid w:val="008A32C0"/>
    <w:rsid w:val="008A64AE"/>
    <w:rsid w:val="008A68E4"/>
    <w:rsid w:val="008A7D89"/>
    <w:rsid w:val="008B15B0"/>
    <w:rsid w:val="008B21B3"/>
    <w:rsid w:val="008B6227"/>
    <w:rsid w:val="008B6A2C"/>
    <w:rsid w:val="008C6E13"/>
    <w:rsid w:val="008C78C4"/>
    <w:rsid w:val="008D3EDA"/>
    <w:rsid w:val="008D6A30"/>
    <w:rsid w:val="008D72F0"/>
    <w:rsid w:val="008E75FB"/>
    <w:rsid w:val="008F0055"/>
    <w:rsid w:val="008F1057"/>
    <w:rsid w:val="008F6533"/>
    <w:rsid w:val="009032E1"/>
    <w:rsid w:val="00904EA6"/>
    <w:rsid w:val="00923677"/>
    <w:rsid w:val="009369E9"/>
    <w:rsid w:val="00943BE0"/>
    <w:rsid w:val="009460D3"/>
    <w:rsid w:val="009518D0"/>
    <w:rsid w:val="00951985"/>
    <w:rsid w:val="009572CB"/>
    <w:rsid w:val="0096004E"/>
    <w:rsid w:val="00961553"/>
    <w:rsid w:val="009646A2"/>
    <w:rsid w:val="00964A4F"/>
    <w:rsid w:val="00970FBA"/>
    <w:rsid w:val="00971D22"/>
    <w:rsid w:val="00973F16"/>
    <w:rsid w:val="009745C2"/>
    <w:rsid w:val="00975949"/>
    <w:rsid w:val="00982176"/>
    <w:rsid w:val="009825BF"/>
    <w:rsid w:val="0098300A"/>
    <w:rsid w:val="00984468"/>
    <w:rsid w:val="009870E3"/>
    <w:rsid w:val="00987A80"/>
    <w:rsid w:val="009907B5"/>
    <w:rsid w:val="00997178"/>
    <w:rsid w:val="009A0346"/>
    <w:rsid w:val="009A2BB1"/>
    <w:rsid w:val="009B18CC"/>
    <w:rsid w:val="009B2F32"/>
    <w:rsid w:val="009B5CCE"/>
    <w:rsid w:val="009B7955"/>
    <w:rsid w:val="009C02C3"/>
    <w:rsid w:val="009C4C95"/>
    <w:rsid w:val="009D2EDD"/>
    <w:rsid w:val="009D622D"/>
    <w:rsid w:val="009D623A"/>
    <w:rsid w:val="009D658F"/>
    <w:rsid w:val="00A019A4"/>
    <w:rsid w:val="00A05E61"/>
    <w:rsid w:val="00A10051"/>
    <w:rsid w:val="00A12B2A"/>
    <w:rsid w:val="00A1503E"/>
    <w:rsid w:val="00A21450"/>
    <w:rsid w:val="00A2734A"/>
    <w:rsid w:val="00A31419"/>
    <w:rsid w:val="00A32D0D"/>
    <w:rsid w:val="00A33453"/>
    <w:rsid w:val="00A3720D"/>
    <w:rsid w:val="00A4318E"/>
    <w:rsid w:val="00A464DD"/>
    <w:rsid w:val="00A50A22"/>
    <w:rsid w:val="00A52C9F"/>
    <w:rsid w:val="00A55300"/>
    <w:rsid w:val="00A605D3"/>
    <w:rsid w:val="00A70202"/>
    <w:rsid w:val="00A73AED"/>
    <w:rsid w:val="00A744C3"/>
    <w:rsid w:val="00A8293C"/>
    <w:rsid w:val="00A84C47"/>
    <w:rsid w:val="00A8533E"/>
    <w:rsid w:val="00A87D2B"/>
    <w:rsid w:val="00A90543"/>
    <w:rsid w:val="00A97A98"/>
    <w:rsid w:val="00AA0E9C"/>
    <w:rsid w:val="00AA4C6F"/>
    <w:rsid w:val="00AA6843"/>
    <w:rsid w:val="00AA6ADA"/>
    <w:rsid w:val="00AA7ED0"/>
    <w:rsid w:val="00AC1F05"/>
    <w:rsid w:val="00AC67EB"/>
    <w:rsid w:val="00AC7644"/>
    <w:rsid w:val="00AD7082"/>
    <w:rsid w:val="00AD72A7"/>
    <w:rsid w:val="00B05ED5"/>
    <w:rsid w:val="00B10529"/>
    <w:rsid w:val="00B12146"/>
    <w:rsid w:val="00B20C2A"/>
    <w:rsid w:val="00B27A00"/>
    <w:rsid w:val="00B302A2"/>
    <w:rsid w:val="00B3278A"/>
    <w:rsid w:val="00B3587E"/>
    <w:rsid w:val="00B36B5B"/>
    <w:rsid w:val="00B40504"/>
    <w:rsid w:val="00B546BF"/>
    <w:rsid w:val="00B55792"/>
    <w:rsid w:val="00B56D12"/>
    <w:rsid w:val="00B575B6"/>
    <w:rsid w:val="00B61AF2"/>
    <w:rsid w:val="00B71021"/>
    <w:rsid w:val="00B75DEE"/>
    <w:rsid w:val="00B808DE"/>
    <w:rsid w:val="00B81B2B"/>
    <w:rsid w:val="00B81E9A"/>
    <w:rsid w:val="00B85D2D"/>
    <w:rsid w:val="00B87F79"/>
    <w:rsid w:val="00B97876"/>
    <w:rsid w:val="00BA3227"/>
    <w:rsid w:val="00BA5480"/>
    <w:rsid w:val="00BB0654"/>
    <w:rsid w:val="00BB27A6"/>
    <w:rsid w:val="00BB3D98"/>
    <w:rsid w:val="00BB45B4"/>
    <w:rsid w:val="00BB4FA5"/>
    <w:rsid w:val="00BB7F81"/>
    <w:rsid w:val="00BC76C1"/>
    <w:rsid w:val="00BD0DBC"/>
    <w:rsid w:val="00BD34BC"/>
    <w:rsid w:val="00BD60E7"/>
    <w:rsid w:val="00BD6A5D"/>
    <w:rsid w:val="00BE0704"/>
    <w:rsid w:val="00BE3BFE"/>
    <w:rsid w:val="00BE4214"/>
    <w:rsid w:val="00BF04F8"/>
    <w:rsid w:val="00BF0919"/>
    <w:rsid w:val="00BF0A2B"/>
    <w:rsid w:val="00BF2D09"/>
    <w:rsid w:val="00C03A81"/>
    <w:rsid w:val="00C03E0F"/>
    <w:rsid w:val="00C05155"/>
    <w:rsid w:val="00C07C63"/>
    <w:rsid w:val="00C102F9"/>
    <w:rsid w:val="00C10C34"/>
    <w:rsid w:val="00C10D4D"/>
    <w:rsid w:val="00C14920"/>
    <w:rsid w:val="00C17006"/>
    <w:rsid w:val="00C20D01"/>
    <w:rsid w:val="00C20D93"/>
    <w:rsid w:val="00C234AC"/>
    <w:rsid w:val="00C279F5"/>
    <w:rsid w:val="00C30242"/>
    <w:rsid w:val="00C30695"/>
    <w:rsid w:val="00C34C94"/>
    <w:rsid w:val="00C35592"/>
    <w:rsid w:val="00C35A40"/>
    <w:rsid w:val="00C3738C"/>
    <w:rsid w:val="00C37D3E"/>
    <w:rsid w:val="00C40CE0"/>
    <w:rsid w:val="00C41B44"/>
    <w:rsid w:val="00C5027E"/>
    <w:rsid w:val="00C517D3"/>
    <w:rsid w:val="00C53C6C"/>
    <w:rsid w:val="00C56A3A"/>
    <w:rsid w:val="00C604E5"/>
    <w:rsid w:val="00C66BC7"/>
    <w:rsid w:val="00C810F7"/>
    <w:rsid w:val="00C83C4F"/>
    <w:rsid w:val="00C84BA2"/>
    <w:rsid w:val="00C91232"/>
    <w:rsid w:val="00C955C7"/>
    <w:rsid w:val="00CA1B34"/>
    <w:rsid w:val="00CA317C"/>
    <w:rsid w:val="00CA32B9"/>
    <w:rsid w:val="00CA5B0A"/>
    <w:rsid w:val="00CA7082"/>
    <w:rsid w:val="00CA7CD5"/>
    <w:rsid w:val="00CB7F09"/>
    <w:rsid w:val="00CC602B"/>
    <w:rsid w:val="00CD1847"/>
    <w:rsid w:val="00CD502F"/>
    <w:rsid w:val="00CE27BB"/>
    <w:rsid w:val="00CE4FEB"/>
    <w:rsid w:val="00CF1BD5"/>
    <w:rsid w:val="00CF2919"/>
    <w:rsid w:val="00CF5217"/>
    <w:rsid w:val="00CF5BAA"/>
    <w:rsid w:val="00D03DCD"/>
    <w:rsid w:val="00D07F3C"/>
    <w:rsid w:val="00D1070B"/>
    <w:rsid w:val="00D14B1D"/>
    <w:rsid w:val="00D27C3D"/>
    <w:rsid w:val="00D371EA"/>
    <w:rsid w:val="00D37582"/>
    <w:rsid w:val="00D42696"/>
    <w:rsid w:val="00D439C4"/>
    <w:rsid w:val="00D45C1F"/>
    <w:rsid w:val="00D57A1D"/>
    <w:rsid w:val="00D6009F"/>
    <w:rsid w:val="00D602B0"/>
    <w:rsid w:val="00D61970"/>
    <w:rsid w:val="00D62401"/>
    <w:rsid w:val="00D63B9D"/>
    <w:rsid w:val="00D63C9F"/>
    <w:rsid w:val="00D6460B"/>
    <w:rsid w:val="00D70F91"/>
    <w:rsid w:val="00D75D6F"/>
    <w:rsid w:val="00D82D51"/>
    <w:rsid w:val="00D93468"/>
    <w:rsid w:val="00D94A3D"/>
    <w:rsid w:val="00D95373"/>
    <w:rsid w:val="00D96000"/>
    <w:rsid w:val="00D96584"/>
    <w:rsid w:val="00DA443D"/>
    <w:rsid w:val="00DA7A1C"/>
    <w:rsid w:val="00DB3E77"/>
    <w:rsid w:val="00DB5016"/>
    <w:rsid w:val="00DB52C0"/>
    <w:rsid w:val="00DB635B"/>
    <w:rsid w:val="00DC1231"/>
    <w:rsid w:val="00DC28DE"/>
    <w:rsid w:val="00DC3CE8"/>
    <w:rsid w:val="00DC5322"/>
    <w:rsid w:val="00DD03DE"/>
    <w:rsid w:val="00E000FD"/>
    <w:rsid w:val="00E002B6"/>
    <w:rsid w:val="00E01D54"/>
    <w:rsid w:val="00E04E2A"/>
    <w:rsid w:val="00E0664B"/>
    <w:rsid w:val="00E10F44"/>
    <w:rsid w:val="00E12769"/>
    <w:rsid w:val="00E147C9"/>
    <w:rsid w:val="00E16AD0"/>
    <w:rsid w:val="00E17355"/>
    <w:rsid w:val="00E22562"/>
    <w:rsid w:val="00E253AD"/>
    <w:rsid w:val="00E25F16"/>
    <w:rsid w:val="00E279CB"/>
    <w:rsid w:val="00E33357"/>
    <w:rsid w:val="00E33DD8"/>
    <w:rsid w:val="00E34B9B"/>
    <w:rsid w:val="00E34BED"/>
    <w:rsid w:val="00E35A33"/>
    <w:rsid w:val="00E361AC"/>
    <w:rsid w:val="00E368EA"/>
    <w:rsid w:val="00E424A0"/>
    <w:rsid w:val="00E42EDA"/>
    <w:rsid w:val="00E52AEE"/>
    <w:rsid w:val="00E65E7E"/>
    <w:rsid w:val="00E67D9B"/>
    <w:rsid w:val="00E70A31"/>
    <w:rsid w:val="00E70C48"/>
    <w:rsid w:val="00E83084"/>
    <w:rsid w:val="00E83D55"/>
    <w:rsid w:val="00E8607C"/>
    <w:rsid w:val="00E87CA3"/>
    <w:rsid w:val="00E9126F"/>
    <w:rsid w:val="00E97310"/>
    <w:rsid w:val="00EA0D1D"/>
    <w:rsid w:val="00EA0EEC"/>
    <w:rsid w:val="00EA3950"/>
    <w:rsid w:val="00EA6C5C"/>
    <w:rsid w:val="00EB14AF"/>
    <w:rsid w:val="00EB519A"/>
    <w:rsid w:val="00EB731D"/>
    <w:rsid w:val="00EC2996"/>
    <w:rsid w:val="00EC7DCA"/>
    <w:rsid w:val="00ED0D9E"/>
    <w:rsid w:val="00ED32F5"/>
    <w:rsid w:val="00ED3BC1"/>
    <w:rsid w:val="00EE0422"/>
    <w:rsid w:val="00EE2438"/>
    <w:rsid w:val="00EE3031"/>
    <w:rsid w:val="00EE42FD"/>
    <w:rsid w:val="00EE4C4D"/>
    <w:rsid w:val="00EF2849"/>
    <w:rsid w:val="00F012B3"/>
    <w:rsid w:val="00F018B4"/>
    <w:rsid w:val="00F06BE4"/>
    <w:rsid w:val="00F06C2C"/>
    <w:rsid w:val="00F20E16"/>
    <w:rsid w:val="00F22D7E"/>
    <w:rsid w:val="00F2701C"/>
    <w:rsid w:val="00F27268"/>
    <w:rsid w:val="00F30D84"/>
    <w:rsid w:val="00F3353B"/>
    <w:rsid w:val="00F346EE"/>
    <w:rsid w:val="00F42EAC"/>
    <w:rsid w:val="00F43FD8"/>
    <w:rsid w:val="00F45F76"/>
    <w:rsid w:val="00F53713"/>
    <w:rsid w:val="00F53956"/>
    <w:rsid w:val="00F60352"/>
    <w:rsid w:val="00F63896"/>
    <w:rsid w:val="00F67C80"/>
    <w:rsid w:val="00F708C6"/>
    <w:rsid w:val="00F72C77"/>
    <w:rsid w:val="00F7314D"/>
    <w:rsid w:val="00F73476"/>
    <w:rsid w:val="00F747AF"/>
    <w:rsid w:val="00F80CE7"/>
    <w:rsid w:val="00F8114F"/>
    <w:rsid w:val="00F839A3"/>
    <w:rsid w:val="00F86DAC"/>
    <w:rsid w:val="00F87A8B"/>
    <w:rsid w:val="00FA680E"/>
    <w:rsid w:val="00FB17BC"/>
    <w:rsid w:val="00FB31C2"/>
    <w:rsid w:val="00FB4DE6"/>
    <w:rsid w:val="00FC51C9"/>
    <w:rsid w:val="00FD1CB1"/>
    <w:rsid w:val="00FD3085"/>
    <w:rsid w:val="00FD6B98"/>
    <w:rsid w:val="00FE128D"/>
    <w:rsid w:val="00FE4B94"/>
    <w:rsid w:val="00FE7745"/>
    <w:rsid w:val="00FE7C46"/>
    <w:rsid w:val="00FF0172"/>
    <w:rsid w:val="00FF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452C9"/>
  <w15:chartTrackingRefBased/>
  <w15:docId w15:val="{7F133CDF-E4EE-48B8-B20C-743CC654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E59"/>
    <w:pPr>
      <w:spacing w:after="120"/>
      <w:ind w:firstLine="288"/>
      <w:jc w:val="both"/>
    </w:pPr>
    <w:rPr>
      <w:sz w:val="22"/>
      <w:szCs w:val="24"/>
    </w:rPr>
  </w:style>
  <w:style w:type="paragraph" w:styleId="Heading1">
    <w:name w:val="heading 1"/>
    <w:basedOn w:val="Section"/>
    <w:next w:val="Normal"/>
    <w:qFormat/>
    <w:rsid w:val="00281DE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1440" w:after="60"/>
      <w:ind w:firstLine="0"/>
      <w:jc w:val="center"/>
      <w:outlineLvl w:val="0"/>
    </w:pPr>
    <w:rPr>
      <w:rFonts w:ascii="Arial" w:hAnsi="Arial"/>
      <w:b/>
      <w:caps/>
      <w:kern w:val="28"/>
      <w:sz w:val="28"/>
      <w:szCs w:val="32"/>
    </w:rPr>
  </w:style>
  <w:style w:type="paragraph" w:customStyle="1" w:styleId="Author">
    <w:name w:val="Author"/>
    <w:basedOn w:val="Normal"/>
    <w:next w:val="Abstract"/>
    <w:rsid w:val="000C1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after="60"/>
      <w:ind w:firstLine="0"/>
      <w:jc w:val="center"/>
    </w:pPr>
    <w:rPr>
      <w:rFonts w:ascii="Arial" w:hAnsi="Arial"/>
      <w:b/>
      <w:sz w:val="24"/>
    </w:rPr>
  </w:style>
  <w:style w:type="paragraph" w:customStyle="1" w:styleId="Abstract">
    <w:name w:val="Abstract"/>
    <w:basedOn w:val="Normal"/>
    <w:next w:val="Normal"/>
    <w:pPr>
      <w:spacing w:before="480" w:after="480"/>
      <w:ind w:firstLine="0"/>
    </w:pPr>
    <w:rPr>
      <w:sz w:val="20"/>
      <w:szCs w:val="16"/>
    </w:rPr>
  </w:style>
  <w:style w:type="paragraph" w:customStyle="1" w:styleId="Section">
    <w:name w:val="Section"/>
    <w:basedOn w:val="Normal"/>
    <w:next w:val="Normal"/>
    <w:pPr>
      <w:keepNext/>
      <w:suppressAutoHyphens/>
      <w:spacing w:before="240"/>
      <w:ind w:firstLine="0"/>
    </w:pPr>
    <w:rPr>
      <w:b/>
      <w:caps/>
    </w:rPr>
  </w:style>
  <w:style w:type="paragraph" w:styleId="FootnoteText">
    <w:name w:val="footnote text"/>
    <w:basedOn w:val="Normal"/>
    <w:semiHidden/>
    <w:rsid w:val="0060016F"/>
    <w:pPr>
      <w:spacing w:after="0"/>
      <w:ind w:firstLine="0"/>
    </w:pPr>
    <w:rPr>
      <w:sz w:val="18"/>
    </w:rPr>
  </w:style>
  <w:style w:type="character" w:styleId="FootnoteReference">
    <w:name w:val="footnote reference"/>
    <w:basedOn w:val="DefaultParagraphFont"/>
    <w:semiHidden/>
    <w:rPr>
      <w:vertAlign w:val="superscript"/>
    </w:rPr>
  </w:style>
  <w:style w:type="paragraph" w:customStyle="1" w:styleId="Sub-Section">
    <w:name w:val="Sub-Section"/>
    <w:basedOn w:val="Normal"/>
    <w:next w:val="Normal"/>
    <w:pPr>
      <w:keepNext/>
      <w:suppressAutoHyphens/>
      <w:spacing w:before="120"/>
      <w:ind w:firstLine="0"/>
    </w:pPr>
    <w:rPr>
      <w:b/>
    </w:rPr>
  </w:style>
  <w:style w:type="paragraph" w:styleId="DocumentMap">
    <w:name w:val="Document Map"/>
    <w:basedOn w:val="Normal"/>
    <w:semiHidden/>
    <w:rsid w:val="00EF2689"/>
    <w:pPr>
      <w:shd w:val="clear" w:color="auto" w:fill="000080"/>
    </w:pPr>
    <w:rPr>
      <w:rFonts w:ascii="Tahoma" w:hAnsi="Tahoma" w:cs="Tahoma"/>
      <w:sz w:val="20"/>
      <w:szCs w:val="20"/>
    </w:rPr>
  </w:style>
  <w:style w:type="paragraph" w:customStyle="1" w:styleId="PaperNumber">
    <w:name w:val="Paper Number"/>
    <w:basedOn w:val="Normal"/>
    <w:pPr>
      <w:jc w:val="right"/>
    </w:pPr>
    <w:rPr>
      <w:rFonts w:ascii="Arial" w:hAnsi="Arial"/>
      <w:b/>
      <w:sz w:val="28"/>
    </w:rPr>
  </w:style>
  <w:style w:type="paragraph" w:customStyle="1" w:styleId="equation">
    <w:name w:val="equation"/>
    <w:basedOn w:val="Normal"/>
    <w:pPr>
      <w:spacing w:after="240"/>
      <w:jc w:val="center"/>
    </w:pPr>
  </w:style>
  <w:style w:type="paragraph" w:styleId="Caption">
    <w:name w:val="caption"/>
    <w:basedOn w:val="Normal"/>
    <w:next w:val="Normal"/>
    <w:qFormat/>
    <w:rsid w:val="002E243E"/>
    <w:pPr>
      <w:spacing w:before="120"/>
      <w:jc w:val="center"/>
    </w:pPr>
    <w:rPr>
      <w:b/>
      <w:sz w:val="20"/>
    </w:rPr>
  </w:style>
  <w:style w:type="paragraph" w:customStyle="1" w:styleId="Figures">
    <w:name w:val="Figures"/>
    <w:basedOn w:val="Caption"/>
    <w:rsid w:val="00FB4DE6"/>
    <w:pPr>
      <w:keepLines/>
      <w:spacing w:after="240"/>
      <w:ind w:firstLine="0"/>
    </w:pPr>
  </w:style>
  <w:style w:type="paragraph" w:customStyle="1" w:styleId="Els-1storder-head">
    <w:name w:val="Els-1storder-head"/>
    <w:next w:val="Els-body-text"/>
    <w:rsid w:val="00281DEE"/>
    <w:pPr>
      <w:keepNext/>
      <w:numPr>
        <w:numId w:val="19"/>
      </w:numPr>
      <w:suppressAutoHyphens/>
      <w:spacing w:before="240" w:after="240" w:line="240" w:lineRule="exact"/>
    </w:pPr>
    <w:rPr>
      <w:rFonts w:eastAsia="SimSun"/>
      <w:b/>
    </w:rPr>
  </w:style>
  <w:style w:type="paragraph" w:styleId="EndnoteText">
    <w:name w:val="endnote text"/>
    <w:basedOn w:val="Normal"/>
    <w:semiHidden/>
    <w:rsid w:val="0042769E"/>
    <w:pPr>
      <w:ind w:firstLine="0"/>
    </w:pPr>
    <w:rPr>
      <w:sz w:val="18"/>
    </w:rPr>
  </w:style>
  <w:style w:type="character" w:styleId="EndnoteReference">
    <w:name w:val="endnote reference"/>
    <w:basedOn w:val="DefaultParagraphFont"/>
    <w:semiHidden/>
    <w:rPr>
      <w:vertAlign w:val="superscript"/>
    </w:rPr>
  </w:style>
  <w:style w:type="paragraph" w:styleId="Header">
    <w:name w:val="header"/>
    <w:basedOn w:val="Normal"/>
    <w:rsid w:val="00EF2689"/>
    <w:pPr>
      <w:tabs>
        <w:tab w:val="center" w:pos="4320"/>
        <w:tab w:val="right" w:pos="8640"/>
      </w:tabs>
    </w:pPr>
  </w:style>
  <w:style w:type="paragraph" w:styleId="Footer">
    <w:name w:val="footer"/>
    <w:basedOn w:val="Normal"/>
    <w:rsid w:val="00EF2689"/>
    <w:pPr>
      <w:tabs>
        <w:tab w:val="center" w:pos="4320"/>
        <w:tab w:val="right" w:pos="8640"/>
      </w:tabs>
    </w:pPr>
  </w:style>
  <w:style w:type="paragraph" w:customStyle="1" w:styleId="StyleAbstractLeft075Right075">
    <w:name w:val="Style Abstract + Left:  0.75&quot; Right:  0.75&quot;"/>
    <w:basedOn w:val="Abstract"/>
    <w:rsid w:val="00702307"/>
    <w:pPr>
      <w:spacing w:before="360" w:after="240"/>
      <w:ind w:left="1080" w:right="1080"/>
    </w:pPr>
    <w:rPr>
      <w:szCs w:val="20"/>
    </w:rPr>
  </w:style>
  <w:style w:type="table" w:styleId="TableGrid">
    <w:name w:val="Table Grid"/>
    <w:basedOn w:val="TableNormal"/>
    <w:rsid w:val="00B13957"/>
    <w:pPr>
      <w:spacing w:after="120"/>
      <w:ind w:firstLine="28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33FE4"/>
    <w:rPr>
      <w:rFonts w:ascii="Tahoma" w:hAnsi="Tahoma" w:cs="Tahoma"/>
      <w:sz w:val="16"/>
      <w:szCs w:val="16"/>
    </w:rPr>
  </w:style>
  <w:style w:type="character" w:styleId="CommentReference">
    <w:name w:val="annotation reference"/>
    <w:basedOn w:val="DefaultParagraphFont"/>
    <w:semiHidden/>
    <w:rsid w:val="00325ABE"/>
    <w:rPr>
      <w:sz w:val="18"/>
    </w:rPr>
  </w:style>
  <w:style w:type="paragraph" w:styleId="CommentText">
    <w:name w:val="annotation text"/>
    <w:basedOn w:val="Normal"/>
    <w:semiHidden/>
    <w:rsid w:val="00325ABE"/>
    <w:rPr>
      <w:sz w:val="24"/>
    </w:rPr>
  </w:style>
  <w:style w:type="paragraph" w:styleId="CommentSubject">
    <w:name w:val="annotation subject"/>
    <w:basedOn w:val="CommentText"/>
    <w:next w:val="CommentText"/>
    <w:semiHidden/>
    <w:rsid w:val="00325ABE"/>
    <w:rPr>
      <w:sz w:val="22"/>
    </w:rPr>
  </w:style>
  <w:style w:type="character" w:styleId="PageNumber">
    <w:name w:val="page number"/>
    <w:basedOn w:val="DefaultParagraphFont"/>
    <w:rsid w:val="00C34C94"/>
  </w:style>
  <w:style w:type="paragraph" w:customStyle="1" w:styleId="TableText">
    <w:name w:val="Table Text"/>
    <w:basedOn w:val="Normal"/>
    <w:rsid w:val="00110212"/>
    <w:pPr>
      <w:ind w:firstLine="0"/>
      <w:jc w:val="center"/>
    </w:pPr>
    <w:rPr>
      <w:sz w:val="20"/>
      <w:szCs w:val="22"/>
    </w:rPr>
  </w:style>
  <w:style w:type="paragraph" w:customStyle="1" w:styleId="Els-2ndorder-head">
    <w:name w:val="Els-2ndorder-head"/>
    <w:next w:val="Els-body-text"/>
    <w:rsid w:val="00281DEE"/>
    <w:pPr>
      <w:keepNext/>
      <w:numPr>
        <w:ilvl w:val="1"/>
        <w:numId w:val="19"/>
      </w:numPr>
      <w:suppressAutoHyphens/>
      <w:spacing w:before="240" w:after="240" w:line="240" w:lineRule="exact"/>
    </w:pPr>
    <w:rPr>
      <w:rFonts w:eastAsia="SimSun"/>
      <w:i/>
    </w:rPr>
  </w:style>
  <w:style w:type="paragraph" w:customStyle="1" w:styleId="Els-3rdorder-head">
    <w:name w:val="Els-3rdorder-head"/>
    <w:next w:val="Els-body-text"/>
    <w:rsid w:val="00281DEE"/>
    <w:pPr>
      <w:keepNext/>
      <w:numPr>
        <w:ilvl w:val="2"/>
        <w:numId w:val="19"/>
      </w:numPr>
      <w:suppressAutoHyphens/>
      <w:spacing w:before="240" w:line="240" w:lineRule="exact"/>
    </w:pPr>
    <w:rPr>
      <w:rFonts w:eastAsia="SimSun"/>
      <w:i/>
    </w:rPr>
  </w:style>
  <w:style w:type="paragraph" w:customStyle="1" w:styleId="Els-4thorder-head">
    <w:name w:val="Els-4thorder-head"/>
    <w:next w:val="Els-body-text"/>
    <w:rsid w:val="00281DEE"/>
    <w:pPr>
      <w:keepNext/>
      <w:numPr>
        <w:ilvl w:val="3"/>
        <w:numId w:val="19"/>
      </w:numPr>
      <w:suppressAutoHyphens/>
      <w:spacing w:before="240" w:line="240" w:lineRule="exact"/>
    </w:pPr>
    <w:rPr>
      <w:rFonts w:eastAsia="SimSun"/>
      <w:i/>
    </w:rPr>
  </w:style>
  <w:style w:type="paragraph" w:customStyle="1" w:styleId="Els-body-text">
    <w:name w:val="Els-body-text"/>
    <w:rsid w:val="00281DEE"/>
    <w:pPr>
      <w:spacing w:line="240" w:lineRule="exact"/>
      <w:ind w:firstLine="238"/>
      <w:jc w:val="both"/>
    </w:pPr>
    <w:rPr>
      <w:rFonts w:eastAsia="SimSun"/>
    </w:rPr>
  </w:style>
  <w:style w:type="paragraph" w:customStyle="1" w:styleId="ColorfulList-Accent11">
    <w:name w:val="Colorful List - Accent 11"/>
    <w:basedOn w:val="Normal"/>
    <w:qFormat/>
    <w:rsid w:val="00DC28DE"/>
    <w:pPr>
      <w:spacing w:after="0"/>
      <w:ind w:left="720" w:firstLine="0"/>
      <w:jc w:val="left"/>
    </w:pPr>
    <w:rPr>
      <w:rFonts w:ascii="Arial" w:eastAsia="Batang" w:hAnsi="Arial"/>
      <w:lang w:eastAsia="ko-KR"/>
    </w:rPr>
  </w:style>
  <w:style w:type="table" w:styleId="TableClassic1">
    <w:name w:val="Table Classic 1"/>
    <w:basedOn w:val="TableNormal"/>
    <w:rsid w:val="0059367B"/>
    <w:pPr>
      <w:spacing w:after="120"/>
      <w:ind w:firstLine="288"/>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202ABF"/>
    <w:pPr>
      <w:ind w:left="720"/>
      <w:contextualSpacing/>
    </w:pPr>
  </w:style>
  <w:style w:type="character" w:styleId="PlaceholderText">
    <w:name w:val="Placeholder Text"/>
    <w:basedOn w:val="DefaultParagraphFont"/>
    <w:uiPriority w:val="99"/>
    <w:semiHidden/>
    <w:rsid w:val="00511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25450">
      <w:bodyDiv w:val="1"/>
      <w:marLeft w:val="0"/>
      <w:marRight w:val="0"/>
      <w:marTop w:val="0"/>
      <w:marBottom w:val="0"/>
      <w:divBdr>
        <w:top w:val="none" w:sz="0" w:space="0" w:color="auto"/>
        <w:left w:val="none" w:sz="0" w:space="0" w:color="auto"/>
        <w:bottom w:val="none" w:sz="0" w:space="0" w:color="auto"/>
        <w:right w:val="none" w:sz="0" w:space="0" w:color="auto"/>
      </w:divBdr>
    </w:div>
    <w:div w:id="113097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B1A2F-A316-4F71-8E9D-BA42384F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AAS SFMC Manuscript Format Template</vt:lpstr>
    </vt:vector>
  </TitlesOfParts>
  <Manager/>
  <Company/>
  <LinksUpToDate>false</LinksUpToDate>
  <CharactersWithSpaces>27321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 SFMC Manuscript Format Template</dc:title>
  <dc:subject/>
  <dc:creator>Travis Lechtenberg</dc:creator>
  <cp:keywords/>
  <dc:description>version 2.0.6</dc:description>
  <cp:lastModifiedBy>Travis Lechtenberg</cp:lastModifiedBy>
  <cp:revision>2</cp:revision>
  <cp:lastPrinted>2011-03-24T20:47:00Z</cp:lastPrinted>
  <dcterms:created xsi:type="dcterms:W3CDTF">2019-07-29T14:35:00Z</dcterms:created>
  <dcterms:modified xsi:type="dcterms:W3CDTF">2019-07-29T14:35:00Z</dcterms:modified>
</cp:coreProperties>
</file>