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proofErr w:type="gramStart"/>
      <w:r w:rsidR="00064A50">
        <w:t>first</w:t>
      </w:r>
      <w:proofErr w:type="gramEnd"/>
      <w:r w:rsidR="00064A50">
        <w:t xml:space="preserve"> draft</w:t>
      </w:r>
      <w:r>
        <w: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E11F3">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w:t>
      </w:r>
      <w:r w:rsidR="0084300F">
        <w:t>each</w:t>
      </w:r>
      <w:r w:rsidR="00417EA5">
        <w:t xml:space="preserve"> </w:t>
      </w:r>
      <w:r w:rsidR="000E11F3">
        <w:t>electro</w:t>
      </w:r>
      <w:r w:rsidR="00417EA5">
        <w:t>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E11F3">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E11F3">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E11F3">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0E11F3">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0E11F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0E11F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0E11F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0E11F3">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defined </w:t>
      </w:r>
      <w:r w:rsidR="00023B8F">
        <w:t xml:space="preserve">through all solution’s substances </w:t>
      </w:r>
      <w:r w:rsidR="00302136">
        <w:t>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w:t>
      </w:r>
      <w:r w:rsidR="00141C31">
        <w:lastRenderedPageBreak/>
        <w:t xml:space="preserve">mechanical connector from MSL as </w:t>
      </w:r>
      <w:proofErr w:type="spellStart"/>
      <w:r w:rsidR="00141C31" w:rsidRPr="00141C31">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0E11F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8" w:name="_Ref418551057"/>
            <w:r>
              <w:t>Electric current of the solution</w:t>
            </w:r>
            <w:bookmarkEnd w:id="8"/>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w:t>
      </w:r>
      <w:r w:rsidR="00652303">
        <w:t>Kirchhoff’s node relation for flow variables</w:t>
      </w:r>
      <w:r w:rsidR="007E7EE2">
        <w:t>.</w:t>
      </w:r>
      <w:r w:rsidR="00652303">
        <w:t xml:space="preserve"> In reality there are not physical flows. However the automatically generated sum to zero is an ideal candidate to calculate all these extensive properties of the solution.</w:t>
      </w:r>
      <w:r w:rsidR="007E7EE2">
        <w:t xml:space="preserve"> This mathematical trick is used only to simplify the usage to user, which can connect all substances into one </w:t>
      </w:r>
      <w:r w:rsidR="00E909CF">
        <w:t>port of the chemical solution. And in the side of the chemical solu</w:t>
      </w:r>
      <w:r w:rsidR="00BF6363">
        <w:t xml:space="preserve">tion is the total extensive </w:t>
      </w:r>
      <w:r w:rsidR="00E909CF">
        <w:t xml:space="preserve">property presented in connector as non-flow variable </w:t>
      </w:r>
      <w:r w:rsidR="009C1B40">
        <w:t>having</w:t>
      </w:r>
      <w:r w:rsidR="00E909CF">
        <w:t xml:space="preserve"> the same value for each substance.</w:t>
      </w:r>
      <w:r w:rsidR="00B206FB">
        <w:t xml:space="preserve"> </w:t>
      </w:r>
      <w:r w:rsidR="00BF6363">
        <w:t xml:space="preserve"> The exception from this extension variable pattern make quantities of three additional solution ports – thermal, mechanical and electrical noted as first three rows in the next table.</w:t>
      </w:r>
    </w:p>
    <w:tbl>
      <w:tblPr>
        <w:tblStyle w:val="Mkatabulky"/>
        <w:tblW w:w="8926" w:type="dxa"/>
        <w:tblLook w:val="04A0" w:firstRow="1" w:lastRow="0" w:firstColumn="1" w:lastColumn="0" w:noHBand="0" w:noVBand="1"/>
      </w:tblPr>
      <w:tblGrid>
        <w:gridCol w:w="4640"/>
        <w:gridCol w:w="2018"/>
        <w:gridCol w:w="2268"/>
      </w:tblGrid>
      <w:tr w:rsidR="003A29FF" w:rsidTr="00BF6363">
        <w:tc>
          <w:tcPr>
            <w:tcW w:w="4640" w:type="dxa"/>
            <w:tcBorders>
              <w:bottom w:val="double" w:sz="4" w:space="0" w:color="auto"/>
            </w:tcBorders>
          </w:tcPr>
          <w:p w:rsidR="003A29FF" w:rsidRPr="003A29FF" w:rsidRDefault="003A29FF" w:rsidP="003A29FF">
            <w:pPr>
              <w:jc w:val="center"/>
              <w:rPr>
                <w:rStyle w:val="Siln"/>
              </w:rPr>
            </w:pPr>
            <w:r w:rsidRPr="003A29FF">
              <w:rPr>
                <w:rStyle w:val="Siln"/>
              </w:rPr>
              <w:t xml:space="preserve">flow variables on side of </w:t>
            </w:r>
            <w:r w:rsidR="001F208E">
              <w:rPr>
                <w:rStyle w:val="Siln"/>
              </w:rPr>
              <w:t xml:space="preserve">the </w:t>
            </w:r>
            <w:r w:rsidRPr="003A29FF">
              <w:rPr>
                <w:rStyle w:val="Siln"/>
              </w:rPr>
              <w:t>j-</w:t>
            </w:r>
            <w:proofErr w:type="spellStart"/>
            <w:r w:rsidRPr="003A29FF">
              <w:rPr>
                <w:rStyle w:val="Siln"/>
              </w:rPr>
              <w:t>th</w:t>
            </w:r>
            <w:proofErr w:type="spellEnd"/>
            <w:r w:rsidRPr="003A29FF">
              <w:rPr>
                <w:rStyle w:val="Siln"/>
              </w:rPr>
              <w:t xml:space="preserve"> substance</w:t>
            </w:r>
          </w:p>
        </w:tc>
        <w:tc>
          <w:tcPr>
            <w:tcW w:w="2018" w:type="dxa"/>
            <w:tcBorders>
              <w:bottom w:val="double" w:sz="4" w:space="0" w:color="auto"/>
            </w:tcBorders>
          </w:tcPr>
          <w:p w:rsidR="003A29FF" w:rsidRPr="003A29FF" w:rsidRDefault="003A29FF" w:rsidP="003A29FF">
            <w:pPr>
              <w:jc w:val="center"/>
              <w:rPr>
                <w:rStyle w:val="Siln"/>
              </w:rPr>
            </w:pPr>
            <w:r w:rsidRPr="003A29FF">
              <w:rPr>
                <w:rStyle w:val="Siln"/>
              </w:rPr>
              <w:t>Kirchhoff's junction rule – on solution</w:t>
            </w:r>
          </w:p>
        </w:tc>
        <w:tc>
          <w:tcPr>
            <w:tcW w:w="2268" w:type="dxa"/>
            <w:tcBorders>
              <w:bottom w:val="double" w:sz="4" w:space="0" w:color="auto"/>
            </w:tcBorders>
          </w:tcPr>
          <w:p w:rsidR="003A29FF" w:rsidRPr="003A29FF" w:rsidRDefault="003A29FF" w:rsidP="001F208E">
            <w:pPr>
              <w:jc w:val="center"/>
              <w:rPr>
                <w:rStyle w:val="Siln"/>
              </w:rPr>
            </w:pPr>
            <w:r w:rsidRPr="003A29FF">
              <w:rPr>
                <w:rStyle w:val="Siln"/>
              </w:rPr>
              <w:t>no</w:t>
            </w:r>
            <w:r w:rsidR="001F208E">
              <w:rPr>
                <w:rStyle w:val="Siln"/>
              </w:rPr>
              <w:t>n-flow variable of the solution</w:t>
            </w:r>
          </w:p>
        </w:tc>
      </w:tr>
      <w:tr w:rsidR="003A29FF" w:rsidTr="00BF6363">
        <w:tc>
          <w:tcPr>
            <w:tcW w:w="4640" w:type="dxa"/>
            <w:tcBorders>
              <w:top w:val="double" w:sz="4" w:space="0" w:color="auto"/>
            </w:tcBorders>
          </w:tcPr>
          <w:p w:rsidR="003A29FF" w:rsidRDefault="005202CA" w:rsidP="003A29FF">
            <m:oMath>
              <m:sSub>
                <m:sSubPr>
                  <m:ctrlPr>
                    <w:rPr>
                      <w:rFonts w:ascii="Cambria Math" w:hAnsi="Cambria Math"/>
                      <w:i/>
                    </w:rPr>
                  </m:ctrlPr>
                </m:sSubPr>
                <m:e>
                  <m:r>
                    <w:rPr>
                      <w:rFonts w:ascii="Cambria Math" w:hAnsi="Cambria Math"/>
                    </w:rPr>
                    <m:t>dH</m:t>
                  </m:r>
                </m:e>
                <m:sub>
                  <m:r>
                    <w:rPr>
                      <w:rFonts w:ascii="Cambria Math" w:hAnsi="Cambria Math"/>
                    </w:rPr>
                    <m:t>j</m:t>
                  </m:r>
                </m:sub>
              </m:sSub>
            </m:oMath>
            <w:r w:rsidR="003A29FF">
              <w:rPr>
                <w:rFonts w:ascii="Calibri" w:eastAsia="Calibri" w:hAnsi="Calibri" w:cs="Times New Roman"/>
              </w:rPr>
              <w:t xml:space="preserve"> – enthalpy ; heat energy flow ; heat change</w:t>
            </w:r>
          </w:p>
        </w:tc>
        <w:tc>
          <w:tcPr>
            <w:tcW w:w="2018" w:type="dxa"/>
            <w:tcBorders>
              <w:top w:val="double" w:sz="4" w:space="0" w:color="auto"/>
            </w:tcBorders>
          </w:tcPr>
          <w:p w:rsidR="003A29FF" w:rsidRPr="00E909CF" w:rsidRDefault="003A29FF" w:rsidP="00923CF6">
            <m:oMathPara>
              <m:oMath>
                <m:r>
                  <w:rPr>
                    <w:rFonts w:ascii="Cambria Math" w:hAnsi="Cambria Math"/>
                  </w:rPr>
                  <m:t>dH+</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tcPr>
          <w:p w:rsidR="003A29FF" w:rsidRDefault="003A29FF" w:rsidP="003A29FF">
            <m:oMath>
              <m:r>
                <w:rPr>
                  <w:rFonts w:ascii="Cambria Math" w:eastAsiaTheme="minorEastAsia" w:hAnsi="Cambria Math"/>
                </w:rPr>
                <m:t>T</m:t>
              </m:r>
            </m:oMath>
            <w:r>
              <w:rPr>
                <w:rFonts w:eastAsiaTheme="minorEastAsia"/>
              </w:rPr>
              <w:t xml:space="preserve"> – temperature</w:t>
            </w:r>
          </w:p>
        </w:tc>
      </w:tr>
      <w:tr w:rsidR="003A29FF" w:rsidTr="003A29FF">
        <w:tc>
          <w:tcPr>
            <w:tcW w:w="4640" w:type="dxa"/>
          </w:tcPr>
          <w:p w:rsidR="003A29FF" w:rsidRDefault="005202CA" w:rsidP="003A29FF">
            <m:oMath>
              <m:sSub>
                <m:sSubPr>
                  <m:ctrlPr>
                    <w:rPr>
                      <w:rFonts w:ascii="Cambria Math" w:eastAsia="Calibri" w:hAnsi="Cambria Math" w:cs="Times New Roman"/>
                      <w:i/>
                    </w:rPr>
                  </m:ctrlPr>
                </m:sSubPr>
                <m:e>
                  <m:r>
                    <w:rPr>
                      <w:rFonts w:ascii="Cambria Math" w:eastAsia="Calibri" w:hAnsi="Cambria Math" w:cs="Times New Roman"/>
                    </w:rPr>
                    <m:t>dV</m:t>
                  </m:r>
                </m:e>
                <m:sub>
                  <m:r>
                    <w:rPr>
                      <w:rFonts w:ascii="Cambria Math" w:eastAsia="Calibri" w:hAnsi="Cambria Math" w:cs="Times New Roman"/>
                    </w:rPr>
                    <m:t>j</m:t>
                  </m:r>
                </m:sub>
              </m:sSub>
            </m:oMath>
            <w:r w:rsidR="003A29FF">
              <w:rPr>
                <w:rFonts w:ascii="Calibri" w:eastAsia="Calibri" w:hAnsi="Calibri" w:cs="Times New Roman"/>
              </w:rPr>
              <w:t xml:space="preserve"> – volumetric flow ; change of volume</w:t>
            </w:r>
          </w:p>
        </w:tc>
        <w:tc>
          <w:tcPr>
            <w:tcW w:w="2018" w:type="dxa"/>
          </w:tcPr>
          <w:p w:rsidR="003A29FF" w:rsidRPr="00E909CF" w:rsidRDefault="003A29FF" w:rsidP="003A29FF">
            <m:oMathPara>
              <m:oMath>
                <m:r>
                  <w:rPr>
                    <w:rFonts w:ascii="Cambria Math" w:eastAsiaTheme="minorEastAsia" w:hAnsi="Cambria Math"/>
                  </w:rPr>
                  <m:t>dV</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268" w:type="dxa"/>
          </w:tcPr>
          <w:p w:rsidR="003A29FF" w:rsidRDefault="003A29FF" w:rsidP="003A29FF">
            <m:oMath>
              <m:r>
                <w:rPr>
                  <w:rFonts w:ascii="Cambria Math" w:eastAsiaTheme="minorEastAsia" w:hAnsi="Cambria Math"/>
                </w:rPr>
                <m:t>p</m:t>
              </m:r>
            </m:oMath>
            <w:r>
              <w:rPr>
                <w:rFonts w:eastAsiaTheme="minorEastAsia"/>
              </w:rPr>
              <w:t xml:space="preserve"> – pressure</w:t>
            </w:r>
          </w:p>
        </w:tc>
      </w:tr>
      <w:tr w:rsidR="003A29FF" w:rsidTr="00BF6363">
        <w:tc>
          <w:tcPr>
            <w:tcW w:w="4640" w:type="dxa"/>
            <w:tcBorders>
              <w:bottom w:val="double" w:sz="4" w:space="0" w:color="auto"/>
            </w:tcBorders>
          </w:tcPr>
          <w:p w:rsidR="003A29FF" w:rsidRDefault="005202CA" w:rsidP="003A29FF">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j</m:t>
                  </m:r>
                </m:sub>
              </m:sSub>
            </m:oMath>
            <w:r w:rsidR="003A29FF">
              <w:rPr>
                <w:rFonts w:ascii="Calibri" w:eastAsia="Calibri" w:hAnsi="Calibri" w:cs="Times New Roman"/>
              </w:rPr>
              <w:t xml:space="preserve"> – electric current ; change of charge</w:t>
            </w:r>
          </w:p>
        </w:tc>
        <w:tc>
          <w:tcPr>
            <w:tcW w:w="2018" w:type="dxa"/>
            <w:tcBorders>
              <w:bottom w:val="double" w:sz="4" w:space="0" w:color="auto"/>
            </w:tcBorders>
          </w:tcPr>
          <w:p w:rsidR="003A29FF" w:rsidRPr="00E909CF" w:rsidRDefault="003A29FF" w:rsidP="003A29FF">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tcPr>
          <w:p w:rsidR="003A29FF" w:rsidRDefault="003A29FF" w:rsidP="003A29FF">
            <m:oMath>
              <m:r>
                <w:rPr>
                  <w:rFonts w:ascii="Cambria Math" w:hAnsi="Cambria Math"/>
                </w:rPr>
                <m:t>φ</m:t>
              </m:r>
            </m:oMath>
            <w:r>
              <w:rPr>
                <w:rFonts w:eastAsiaTheme="minorEastAsia"/>
              </w:rPr>
              <w:t xml:space="preserve"> - electric potential</w:t>
            </w:r>
          </w:p>
        </w:tc>
      </w:tr>
      <w:tr w:rsidR="003A29FF" w:rsidTr="00BF6363">
        <w:tc>
          <w:tcPr>
            <w:tcW w:w="4640" w:type="dxa"/>
            <w:tcBorders>
              <w:top w:val="double" w:sz="4" w:space="0" w:color="auto"/>
            </w:tcBorders>
            <w:vAlign w:val="center"/>
          </w:tcPr>
          <w:p w:rsidR="003A29FF" w:rsidRDefault="005202CA" w:rsidP="007636B3">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3A29FF">
              <w:rPr>
                <w:rFonts w:eastAsiaTheme="minorEastAsia"/>
              </w:rPr>
              <w:t xml:space="preserve"> – amount of substance</w:t>
            </w:r>
          </w:p>
        </w:tc>
        <w:tc>
          <w:tcPr>
            <w:tcW w:w="2018" w:type="dxa"/>
            <w:tcBorders>
              <w:top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=0</m:t>
                </m:r>
              </m:oMath>
            </m:oMathPara>
          </w:p>
        </w:tc>
        <w:tc>
          <w:tcPr>
            <w:tcW w:w="2268" w:type="dxa"/>
            <w:tcBorders>
              <w:top w:val="double" w:sz="4" w:space="0" w:color="auto"/>
            </w:tcBorders>
            <w:vAlign w:val="center"/>
          </w:tcPr>
          <w:p w:rsidR="003A29FF" w:rsidRDefault="003A29FF" w:rsidP="003A29FF">
            <m:oMath>
              <m:r>
                <w:rPr>
                  <w:rFonts w:ascii="Cambria Math" w:eastAsiaTheme="minorEastAsia" w:hAnsi="Cambria Math"/>
                </w:rPr>
                <m:t>n</m:t>
              </m:r>
            </m:oMath>
            <w:r>
              <w:rPr>
                <w:rFonts w:eastAsiaTheme="minorEastAsia"/>
              </w:rPr>
              <w:t xml:space="preserve"> – amount of solution</w:t>
            </w:r>
          </w:p>
        </w:tc>
      </w:tr>
      <w:tr w:rsidR="003A29FF" w:rsidTr="003A29FF">
        <w:tc>
          <w:tcPr>
            <w:tcW w:w="4640" w:type="dxa"/>
            <w:vAlign w:val="center"/>
          </w:tcPr>
          <w:p w:rsidR="003A29FF" w:rsidRDefault="005202CA" w:rsidP="007636B3">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A29FF">
              <w:rPr>
                <w:rFonts w:eastAsiaTheme="minorEastAsia"/>
              </w:rPr>
              <w:t xml:space="preserve"> – mass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m+</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hAnsi="Cambria Math"/>
                </w:rPr>
                <m:t>m</m:t>
              </m:r>
            </m:oMath>
            <w:r>
              <w:rPr>
                <w:rFonts w:eastAsiaTheme="minorEastAsia"/>
              </w:rPr>
              <w:t xml:space="preserve"> – mass</w:t>
            </w:r>
          </w:p>
        </w:tc>
      </w:tr>
      <w:tr w:rsidR="003A29FF" w:rsidTr="003A29FF">
        <w:tc>
          <w:tcPr>
            <w:tcW w:w="4640" w:type="dxa"/>
            <w:vAlign w:val="center"/>
          </w:tcPr>
          <w:p w:rsidR="003A29FF" w:rsidRDefault="005202CA" w:rsidP="007636B3">
            <w:pPr>
              <w:rPr>
                <w:rFonts w:ascii="Calibri" w:eastAsia="Calibri" w:hAnsi="Calibri" w:cs="Times New Roman"/>
              </w:r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3A29FF">
              <w:rPr>
                <w:rFonts w:eastAsiaTheme="minorEastAsia"/>
              </w:rPr>
              <w:t xml:space="preserve"> – volume of substance</w:t>
            </w:r>
          </w:p>
        </w:tc>
        <w:tc>
          <w:tcPr>
            <w:tcW w:w="2018" w:type="dxa"/>
            <w:vAlign w:val="center"/>
          </w:tcPr>
          <w:p w:rsidR="003A29FF" w:rsidRDefault="003A29FF" w:rsidP="003A29FF">
            <w:pPr>
              <w:rPr>
                <w:rFonts w:ascii="Calibri" w:eastAsia="Calibri" w:hAnsi="Calibri" w:cs="Times New Roman"/>
              </w:rPr>
            </w:pPr>
            <m:oMathPara>
              <m:oMath>
                <m:r>
                  <w:rPr>
                    <w:rFonts w:ascii="Cambria Math" w:hAnsi="Cambria Math"/>
                  </w:rPr>
                  <m:t>V+</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w:pPr>
              <w:rPr>
                <w:rFonts w:ascii="Calibri" w:eastAsia="Calibri" w:hAnsi="Calibri" w:cs="Times New Roman"/>
              </w:rPr>
            </w:pPr>
            <m:oMath>
              <m:r>
                <w:rPr>
                  <w:rFonts w:ascii="Cambria Math" w:eastAsiaTheme="minorEastAsia" w:hAnsi="Cambria Math"/>
                </w:rPr>
                <m:t>V</m:t>
              </m:r>
            </m:oMath>
            <w:r>
              <w:rPr>
                <w:rFonts w:eastAsiaTheme="minorEastAsia"/>
              </w:rPr>
              <w:t xml:space="preserve"> – volume</w:t>
            </w:r>
          </w:p>
        </w:tc>
      </w:tr>
      <w:tr w:rsidR="003A29FF" w:rsidTr="003A29FF">
        <w:tc>
          <w:tcPr>
            <w:tcW w:w="4640" w:type="dxa"/>
            <w:vAlign w:val="center"/>
          </w:tcPr>
          <w:p w:rsidR="003A29FF" w:rsidRDefault="005202CA" w:rsidP="007636B3">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3A29FF">
              <w:rPr>
                <w:rFonts w:eastAsiaTheme="minorEastAsia"/>
              </w:rPr>
              <w:t xml:space="preserve"> – free Gibbs energy of substance</w:t>
            </w:r>
          </w:p>
        </w:tc>
        <w:tc>
          <w:tcPr>
            <w:tcW w:w="2018" w:type="dxa"/>
            <w:vAlign w:val="center"/>
          </w:tcPr>
          <w:p w:rsidR="003A29FF" w:rsidRDefault="003A29FF" w:rsidP="003A29FF">
            <m:oMathPara>
              <m:oMath>
                <m:r>
                  <w:rPr>
                    <w:rFonts w:ascii="Cambria Math" w:hAnsi="Cambria Math"/>
                  </w:rPr>
                  <m:t>G+</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r>
                  <w:rPr>
                    <w:rFonts w:ascii="Cambria Math" w:hAnsi="Cambria Math"/>
                  </w:rPr>
                  <m:t>=0</m:t>
                </m:r>
              </m:oMath>
            </m:oMathPara>
          </w:p>
        </w:tc>
        <w:tc>
          <w:tcPr>
            <w:tcW w:w="2268" w:type="dxa"/>
            <w:vAlign w:val="center"/>
          </w:tcPr>
          <w:p w:rsidR="003A29FF" w:rsidRDefault="003A29FF" w:rsidP="003A29FF">
            <m:oMath>
              <m:r>
                <w:rPr>
                  <w:rFonts w:ascii="Cambria Math" w:eastAsiaTheme="minorEastAsia" w:hAnsi="Cambria Math"/>
                </w:rPr>
                <m:t>G</m:t>
              </m:r>
            </m:oMath>
            <w:r>
              <w:rPr>
                <w:rFonts w:eastAsiaTheme="minorEastAsia"/>
              </w:rPr>
              <w:t xml:space="preserve"> – free Gibbs energy</w:t>
            </w:r>
          </w:p>
        </w:tc>
      </w:tr>
      <w:tr w:rsidR="003A29FF" w:rsidTr="00BF6363">
        <w:tc>
          <w:tcPr>
            <w:tcW w:w="4640" w:type="dxa"/>
            <w:tcBorders>
              <w:bottom w:val="single" w:sz="4" w:space="0" w:color="auto"/>
            </w:tcBorders>
            <w:vAlign w:val="center"/>
          </w:tcPr>
          <w:p w:rsidR="003A29FF" w:rsidRDefault="005202CA" w:rsidP="007636B3">
            <w:pPr>
              <w:rPr>
                <w:rFonts w:ascii="Calibri" w:eastAsia="Calibri" w:hAnsi="Calibri" w:cs="Times New Roman"/>
              </w:rPr>
            </w:pP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3A29FF">
              <w:rPr>
                <w:rFonts w:eastAsiaTheme="minorEastAsia"/>
              </w:rPr>
              <w:t xml:space="preserve"> – electric charge of substance</w:t>
            </w:r>
          </w:p>
        </w:tc>
        <w:tc>
          <w:tcPr>
            <w:tcW w:w="2018" w:type="dxa"/>
            <w:tcBorders>
              <w:bottom w:val="sing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Q+</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r>
                  <w:rPr>
                    <w:rFonts w:ascii="Cambria Math" w:hAnsi="Cambria Math"/>
                  </w:rPr>
                  <m:t>=0</m:t>
                </m:r>
              </m:oMath>
            </m:oMathPara>
          </w:p>
        </w:tc>
        <w:tc>
          <w:tcPr>
            <w:tcW w:w="2268" w:type="dxa"/>
            <w:tcBorders>
              <w:bottom w:val="sing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Q</m:t>
              </m:r>
            </m:oMath>
            <w:r>
              <w:rPr>
                <w:rFonts w:ascii="Calibri" w:eastAsia="Calibri" w:hAnsi="Calibri" w:cs="Times New Roman"/>
              </w:rPr>
              <w:t xml:space="preserve"> – electric charge</w:t>
            </w:r>
          </w:p>
        </w:tc>
      </w:tr>
      <w:tr w:rsidR="003A29FF" w:rsidTr="00BF6363">
        <w:tc>
          <w:tcPr>
            <w:tcW w:w="4640" w:type="dxa"/>
            <w:tcBorders>
              <w:bottom w:val="double" w:sz="4" w:space="0" w:color="auto"/>
            </w:tcBorders>
            <w:vAlign w:val="center"/>
          </w:tcPr>
          <w:p w:rsidR="003A29FF" w:rsidRDefault="005202CA" w:rsidP="007636B3">
            <w:pPr>
              <w:rPr>
                <w:rFonts w:ascii="Calibri" w:eastAsia="Calibri" w:hAnsi="Calibri" w:cs="Times New Roman"/>
              </w:rPr>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A29FF">
              <w:rPr>
                <w:rFonts w:eastAsiaTheme="minorEastAsia"/>
              </w:rPr>
              <w:t xml:space="preserve"> – mole-fraction based ionic strength of substance</w:t>
            </w:r>
          </w:p>
        </w:tc>
        <w:tc>
          <w:tcPr>
            <w:tcW w:w="2018" w:type="dxa"/>
            <w:tcBorders>
              <w:bottom w:val="double" w:sz="4" w:space="0" w:color="auto"/>
            </w:tcBorders>
            <w:vAlign w:val="center"/>
          </w:tcPr>
          <w:p w:rsidR="003A29FF" w:rsidRDefault="003A29FF" w:rsidP="003A29FF">
            <w:pPr>
              <w:rPr>
                <w:rFonts w:ascii="Calibri" w:eastAsia="Calibri" w:hAnsi="Calibri" w:cs="Times New Roman"/>
              </w:rPr>
            </w:pPr>
            <m:oMathPara>
              <m:oMath>
                <m:r>
                  <w:rPr>
                    <w:rFonts w:ascii="Cambria Math" w:hAnsi="Cambria Math"/>
                  </w:rPr>
                  <m:t>I+</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268" w:type="dxa"/>
            <w:tcBorders>
              <w:bottom w:val="double" w:sz="4" w:space="0" w:color="auto"/>
            </w:tcBorders>
            <w:vAlign w:val="center"/>
          </w:tcPr>
          <w:p w:rsidR="003A29FF" w:rsidRDefault="003A29FF" w:rsidP="003A29FF">
            <w:pPr>
              <w:rPr>
                <w:rFonts w:ascii="Calibri" w:eastAsia="Calibri" w:hAnsi="Calibri" w:cs="Times New Roman"/>
              </w:rPr>
            </w:pPr>
            <m:oMath>
              <m:r>
                <w:rPr>
                  <w:rFonts w:ascii="Cambria Math" w:eastAsia="Calibri" w:hAnsi="Cambria Math" w:cs="Times New Roman"/>
                </w:rPr>
                <m:t>I</m:t>
              </m:r>
            </m:oMath>
            <w:r>
              <w:rPr>
                <w:rFonts w:ascii="Calibri" w:eastAsia="Calibri" w:hAnsi="Calibri" w:cs="Times New Roman"/>
              </w:rPr>
              <w:t xml:space="preserve"> – mole fraction based ionic strength</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lastRenderedPageBreak/>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0E11F3">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0E11F3">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0E11F3">
        <w:t>(15)</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5202CA"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9" w:name="_Ref418556084"/>
            <w:r>
              <w:t>Amount of the substance</w:t>
            </w:r>
            <w:bookmarkEnd w:id="9"/>
          </w:p>
        </w:tc>
      </w:tr>
      <w:tr w:rsidR="00E33617" w:rsidTr="00952174">
        <w:tc>
          <w:tcPr>
            <w:tcW w:w="5240" w:type="dxa"/>
          </w:tcPr>
          <w:p w:rsidR="00E33617" w:rsidRDefault="005202CA"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113"/>
            <w:r>
              <w:t>Mole fraction of the substance</w:t>
            </w:r>
            <w:bookmarkEnd w:id="10"/>
          </w:p>
        </w:tc>
      </w:tr>
      <w:tr w:rsidR="00BF6363" w:rsidTr="00952174">
        <w:tc>
          <w:tcPr>
            <w:tcW w:w="5240" w:type="dxa"/>
          </w:tcPr>
          <w:p w:rsidR="00BF6363" w:rsidRDefault="005202CA" w:rsidP="00BF6363">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/V</m:t>
                </m:r>
              </m:oMath>
            </m:oMathPara>
          </w:p>
        </w:tc>
        <w:tc>
          <w:tcPr>
            <w:tcW w:w="3822" w:type="dxa"/>
            <w:vAlign w:val="center"/>
          </w:tcPr>
          <w:p w:rsidR="00BF6363" w:rsidRDefault="00BF6363" w:rsidP="00BF6363">
            <w:pPr>
              <w:pStyle w:val="Odstavecseseznamem"/>
              <w:numPr>
                <w:ilvl w:val="0"/>
                <w:numId w:val="2"/>
              </w:numPr>
              <w:spacing w:line="360" w:lineRule="auto"/>
            </w:pPr>
            <w:r>
              <w:t>Concentration of the substance</w:t>
            </w:r>
          </w:p>
        </w:tc>
      </w:tr>
      <w:tr w:rsidR="00BF6363" w:rsidTr="00952174">
        <w:tc>
          <w:tcPr>
            <w:tcW w:w="5240" w:type="dxa"/>
          </w:tcPr>
          <w:p w:rsidR="00BF6363" w:rsidRDefault="005202CA" w:rsidP="00BF6363">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BF6363" w:rsidRDefault="00BF6363" w:rsidP="00BF6363">
            <w:pPr>
              <w:pStyle w:val="Odstavecseseznamem"/>
              <w:numPr>
                <w:ilvl w:val="0"/>
                <w:numId w:val="2"/>
              </w:numPr>
              <w:spacing w:line="360" w:lineRule="auto"/>
            </w:pPr>
            <w:bookmarkStart w:id="11" w:name="_Ref418556136"/>
            <w:r>
              <w:t>Activity of the substance</w:t>
            </w:r>
            <w:bookmarkEnd w:id="11"/>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0E11F3">
        <w:t>(16)</w:t>
      </w:r>
      <w:r w:rsidR="00100EC6">
        <w:fldChar w:fldCharType="end"/>
      </w:r>
      <w:r w:rsidR="00F5226C">
        <w:t>, where “</w:t>
      </w:r>
      <w:proofErr w:type="spellStart"/>
      <w:r w:rsidR="00F5226C">
        <w:t>μ</w:t>
      </w:r>
      <w:r w:rsidR="00F5226C">
        <w:rPr>
          <w:vertAlign w:val="superscript"/>
        </w:rPr>
        <w:t>o</w:t>
      </w:r>
      <w:proofErr w:type="spellEnd"/>
      <w:r w:rsidR="00F5226C">
        <w:t>” is the chemical potential of the pure substance (</w:t>
      </w:r>
      <w:proofErr w:type="spellStart"/>
      <w:r w:rsidR="00F5226C">
        <w:t>a</w:t>
      </w:r>
      <w:r w:rsidR="00F5226C">
        <w:rPr>
          <w:vertAlign w:val="subscript"/>
        </w:rPr>
        <w:t>j</w:t>
      </w:r>
      <w:proofErr w:type="spellEnd"/>
      <w:r w:rsidR="00F5226C">
        <w:t>=1)</w:t>
      </w:r>
      <w:r w:rsidR="0067603E">
        <w:t>, and R is gas constant</w:t>
      </w:r>
      <w:r w:rsidR="00F5226C">
        <w:t>.</w:t>
      </w:r>
      <w:r w:rsidR="000E11F3">
        <w:t xml:space="preserve"> The chemical potential is independent on electric potential and it is equal to the electrochemical potential at zero electric potential (ϕ=0).</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5202CA"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0E11F3">
            <w:pPr>
              <w:pStyle w:val="Odstavecseseznamem"/>
              <w:numPr>
                <w:ilvl w:val="0"/>
                <w:numId w:val="2"/>
              </w:numPr>
            </w:pPr>
            <w:bookmarkStart w:id="12" w:name="_Ref418556687"/>
            <w:r w:rsidRPr="005C1344">
              <w:rPr>
                <w:b/>
              </w:rPr>
              <w:t>Electrochemical potential</w:t>
            </w:r>
            <w:r>
              <w:t xml:space="preserve"> of the substance</w:t>
            </w:r>
            <w:bookmarkEnd w:id="12"/>
            <w:r w:rsidR="000E11F3">
              <w:t xml:space="preserve"> in the solution</w:t>
            </w:r>
          </w:p>
        </w:tc>
      </w:tr>
      <w:tr w:rsidR="000E11F3" w:rsidRPr="000E11F3" w:rsidTr="00952174">
        <w:tc>
          <w:tcPr>
            <w:tcW w:w="5240" w:type="dxa"/>
          </w:tcPr>
          <w:p w:rsidR="000E11F3" w:rsidRPr="000E11F3" w:rsidRDefault="005202CA"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oMath>
            </m:oMathPara>
          </w:p>
        </w:tc>
        <w:tc>
          <w:tcPr>
            <w:tcW w:w="3822" w:type="dxa"/>
            <w:vAlign w:val="center"/>
          </w:tcPr>
          <w:p w:rsidR="000E11F3" w:rsidRPr="000E11F3" w:rsidRDefault="000E11F3" w:rsidP="000E11F3">
            <w:pPr>
              <w:pStyle w:val="Odstavecseseznamem"/>
              <w:numPr>
                <w:ilvl w:val="0"/>
                <w:numId w:val="2"/>
              </w:numPr>
            </w:pPr>
            <w:r>
              <w:t>Chemical potential of the substance in the solution</w:t>
            </w:r>
          </w:p>
        </w:tc>
      </w:tr>
      <w:tr w:rsidR="000E11F3" w:rsidRPr="000E11F3" w:rsidTr="00952174">
        <w:tc>
          <w:tcPr>
            <w:tcW w:w="5240" w:type="dxa"/>
          </w:tcPr>
          <w:p w:rsidR="000E11F3" w:rsidRPr="000E11F3" w:rsidRDefault="005202CA" w:rsidP="000E11F3">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vAlign w:val="center"/>
          </w:tcPr>
          <w:p w:rsidR="000E11F3" w:rsidRDefault="000E11F3" w:rsidP="000E11F3">
            <w:pPr>
              <w:pStyle w:val="Odstavecseseznamem"/>
              <w:numPr>
                <w:ilvl w:val="0"/>
                <w:numId w:val="2"/>
              </w:numPr>
            </w:pPr>
            <w:r>
              <w:t>Chemical potential of the pure substance</w:t>
            </w:r>
          </w:p>
        </w:tc>
      </w:tr>
    </w:tbl>
    <w:p w:rsidR="00E3081F" w:rsidRDefault="00E3081F">
      <w:r>
        <w:t xml:space="preserve">The chemical potential of the pure substance </w:t>
      </w:r>
      <w:r w:rsidR="000E11F3">
        <w:t>“</w:t>
      </w:r>
      <w:proofErr w:type="spellStart"/>
      <w:r>
        <w:t>μ</w:t>
      </w:r>
      <w:r>
        <w:rPr>
          <w:vertAlign w:val="superscript"/>
        </w:rPr>
        <w:t>o</w:t>
      </w:r>
      <w:proofErr w:type="spellEnd"/>
      <w:proofErr w:type="gramStart"/>
      <w:r w:rsidR="000E11F3">
        <w:t xml:space="preserve">“ </w:t>
      </w:r>
      <w:r>
        <w:t>is</w:t>
      </w:r>
      <w:proofErr w:type="gramEnd"/>
      <w:r>
        <w:t xml:space="preserve">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E11F3">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process stops and it does not generate any molar</w:t>
      </w:r>
      <w:r w:rsidR="00BF6363">
        <w:t xml:space="preserve"> </w:t>
      </w:r>
      <w:r w:rsidR="00F5226C">
        <w:t xml:space="preserve">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w:t>
      </w:r>
      <w:r w:rsidR="000E11F3">
        <w:t>electro</w:t>
      </w:r>
      <w:r w:rsidR="00890F9F">
        <w:t xml:space="preserve">chemical potentials is described by the equation of chemical kinetics </w:t>
      </w:r>
      <w:r w:rsidR="00890F9F">
        <w:fldChar w:fldCharType="begin"/>
      </w:r>
      <w:r w:rsidR="00890F9F">
        <w:instrText xml:space="preserve"> REF _Ref418593979 \r \h </w:instrText>
      </w:r>
      <w:r w:rsidR="00890F9F">
        <w:fldChar w:fldCharType="separate"/>
      </w:r>
      <w:r w:rsidR="000E11F3">
        <w:t>(19)</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transport of the substance A</w:t>
      </w:r>
      <w:r w:rsidR="000F0E40">
        <w:rPr>
          <w:vertAlign w:val="subscript"/>
        </w:rPr>
        <w:t xml:space="preserve">in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5202CA"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3" w:name="_Ref418593979"/>
            <w:r>
              <w:t>Chemical kinetics</w:t>
            </w:r>
            <w:bookmarkEnd w:id="13"/>
          </w:p>
        </w:tc>
      </w:tr>
      <w:tr w:rsidR="003E0645" w:rsidTr="00952174">
        <w:tc>
          <w:tcPr>
            <w:tcW w:w="5240" w:type="dxa"/>
            <w:tcBorders>
              <w:top w:val="nil"/>
              <w:left w:val="nil"/>
              <w:bottom w:val="nil"/>
              <w:right w:val="nil"/>
            </w:tcBorders>
            <w:vAlign w:val="center"/>
          </w:tcPr>
          <w:p w:rsidR="003E0645" w:rsidRPr="00023BC7" w:rsidRDefault="005202CA"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lastRenderedPageBreak/>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0E11F3">
        <w:t>(21)</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0E11F3">
        <w:t>(19)</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0E11F3">
        <w:t>(21)</w:t>
      </w:r>
      <w:r w:rsidR="008E36B8">
        <w:fldChar w:fldCharType="end"/>
      </w:r>
      <w:r w:rsidR="008E36B8">
        <w:t xml:space="preserve"> </w:t>
      </w:r>
      <w:r w:rsidR="000E11F3">
        <w:t>using the definition of electro</w:t>
      </w:r>
      <w:r w:rsidR="008E36B8">
        <w:t xml:space="preserve">chemical potential </w:t>
      </w:r>
      <w:r w:rsidR="008E36B8">
        <w:fldChar w:fldCharType="begin"/>
      </w:r>
      <w:r w:rsidR="008E36B8">
        <w:instrText xml:space="preserve"> REF _Ref418556687 \r \h </w:instrText>
      </w:r>
      <w:r w:rsidR="008E36B8">
        <w:fldChar w:fldCharType="separate"/>
      </w:r>
      <w:r w:rsidR="000E11F3">
        <w:t>(16)</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4" w:name="_Ref418608009"/>
            <w:r>
              <w:t xml:space="preserve">Equilibrium </w:t>
            </w:r>
            <w:r w:rsidR="008E36B8">
              <w:t xml:space="preserve">(dissociation) </w:t>
            </w:r>
            <w:r>
              <w:t xml:space="preserve">coefficient </w:t>
            </w:r>
            <w:r w:rsidR="008E36B8">
              <w:t xml:space="preserve"> </w:t>
            </w:r>
            <w:r>
              <w:t>of the chemical reaction</w:t>
            </w:r>
            <w:bookmarkEnd w:id="14"/>
          </w:p>
        </w:tc>
      </w:tr>
    </w:tbl>
    <w:p w:rsidR="005D2900" w:rsidRDefault="005D2900"/>
    <w:p w:rsidR="005407E6" w:rsidRDefault="009516B4">
      <w:r>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0E11F3">
        <w:t>(22)</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5" w:name="_Ref418602681"/>
            <w:r>
              <w:t>Osmotic pressure</w:t>
            </w:r>
            <w:bookmarkEnd w:id="15"/>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0E11F3">
        <w:t>. However the electroc</w:t>
      </w:r>
      <w:r w:rsidR="00797C09">
        <w:t xml:space="preserve">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0E11F3">
        <w:t>(19)</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0E11F3">
        <w:t>(23)</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0E11F3">
        <w:t>(19)</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6" w:name="_Ref418603969"/>
            <w:r>
              <w:t>Membrane potential</w:t>
            </w:r>
            <w:bookmarkEnd w:id="16"/>
          </w:p>
        </w:tc>
      </w:tr>
    </w:tbl>
    <w:p w:rsidR="00265B9B" w:rsidRDefault="00265B9B"/>
    <w:p w:rsidR="0063130B" w:rsidRPr="006278DD" w:rsidRDefault="0063130B">
      <w:r>
        <w:t>Gas dissolution in l</w:t>
      </w:r>
      <w:r w:rsidR="000E11F3">
        <w:t>iquids equilibrates the electro</w:t>
      </w:r>
      <w:r>
        <w:t>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0E11F3">
        <w:t>(19)</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0E11F3">
        <w:t>(24)</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chemical potential of the </w:t>
      </w:r>
      <w:r w:rsidR="00415D49">
        <w:lastRenderedPageBreak/>
        <w:t>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0E11F3">
        <w:t>(25)</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gramStart"/>
      <w:r w:rsidR="006278DD">
        <w:t>a</w:t>
      </w:r>
      <w:r w:rsidR="00B02ED5" w:rsidRPr="00B02ED5">
        <w:rPr>
          <w:vertAlign w:val="subscript"/>
        </w:rPr>
        <w:t>g</w:t>
      </w:r>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0E11F3">
        <w:t>(26)</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5202CA"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7" w:name="_Ref418606706"/>
            <w:r>
              <w:t>Henry’s coefficient</w:t>
            </w:r>
            <w:bookmarkEnd w:id="17"/>
          </w:p>
        </w:tc>
      </w:tr>
      <w:tr w:rsidR="0067603E" w:rsidTr="00DE7460">
        <w:tc>
          <w:tcPr>
            <w:tcW w:w="5240" w:type="dxa"/>
            <w:vAlign w:val="center"/>
          </w:tcPr>
          <w:p w:rsidR="0067603E" w:rsidRPr="00C41992" w:rsidRDefault="005202CA"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8" w:name="_Ref418606743"/>
            <w:bookmarkStart w:id="19" w:name="_Ref418619107"/>
            <w:proofErr w:type="spellStart"/>
            <w:r>
              <w:t>Raoult’s</w:t>
            </w:r>
            <w:proofErr w:type="spellEnd"/>
            <w:r w:rsidR="006278DD">
              <w:t xml:space="preserve"> </w:t>
            </w:r>
            <w:bookmarkEnd w:id="18"/>
            <w:r w:rsidR="00B02ED5">
              <w:t>vapor pressure</w:t>
            </w:r>
            <w:bookmarkEnd w:id="19"/>
          </w:p>
        </w:tc>
      </w:tr>
      <w:tr w:rsidR="0067603E" w:rsidTr="00DE7460">
        <w:tc>
          <w:tcPr>
            <w:tcW w:w="5240" w:type="dxa"/>
            <w:vAlign w:val="center"/>
          </w:tcPr>
          <w:p w:rsidR="0067603E" w:rsidRPr="00C41992" w:rsidRDefault="005202CA"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0" w:name="_Ref418606909"/>
            <w:r>
              <w:t>Sieverts’ coefficient</w:t>
            </w:r>
            <w:bookmarkEnd w:id="20"/>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0E11F3">
        <w:t>(25)</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0E11F3">
        <w:t>(21)</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0E11F3">
        <w:t>(22)</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0E11F3">
        <w:t>(23)</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0E11F3">
        <w:t>(24)</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0E11F3">
        <w:t>(25)</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0E11F3">
        <w:t>(26)</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0E11F3">
        <w:t>(27)</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0E11F3">
        <w:t>(27)</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3A29FF">
        <w:tc>
          <w:tcPr>
            <w:tcW w:w="426" w:type="dxa"/>
            <w:vAlign w:val="center"/>
          </w:tcPr>
          <w:p w:rsidR="00447403" w:rsidRPr="00C41992" w:rsidRDefault="00447403" w:rsidP="003A29FF">
            <w:pPr>
              <w:spacing w:line="360" w:lineRule="auto"/>
              <w:rPr>
                <w:rFonts w:ascii="Calibri" w:eastAsia="Calibri" w:hAnsi="Calibri" w:cs="Times New Roman"/>
              </w:rPr>
            </w:pPr>
          </w:p>
        </w:tc>
        <w:tc>
          <w:tcPr>
            <w:tcW w:w="4819" w:type="dxa"/>
            <w:vAlign w:val="center"/>
          </w:tcPr>
          <w:p w:rsidR="00447403" w:rsidRPr="00C41992" w:rsidRDefault="005202CA" w:rsidP="003A29FF">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1" w:name="_Ref418632027"/>
            <w:r>
              <w:t>Free molar entropy of formation at T</w:t>
            </w:r>
            <w:r>
              <w:rPr>
                <w:vertAlign w:val="subscript"/>
              </w:rPr>
              <w:t>0</w:t>
            </w:r>
            <w:r>
              <w:t>=298.15K and p</w:t>
            </w:r>
            <w:r>
              <w:rPr>
                <w:vertAlign w:val="subscript"/>
              </w:rPr>
              <w:t>0</w:t>
            </w:r>
            <w:r>
              <w:t>=100kPa</w:t>
            </w:r>
            <w:bookmarkEnd w:id="21"/>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5202CA" w:rsidP="009E1BED">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2" w:name="_Ref418631263"/>
            <w:r>
              <w:t>Molar enthalpy of the ideal gas</w:t>
            </w:r>
            <w:r w:rsidR="004C15B4">
              <w:t>eous</w:t>
            </w:r>
            <w:r>
              <w:t xml:space="preserve"> substance</w:t>
            </w:r>
            <w:bookmarkEnd w:id="22"/>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5202CA"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3" w:name="_Ref418631265"/>
            <w:r>
              <w:t>Molar enthalpy of the incompressible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5202CA" w:rsidP="009E1BED">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7"/>
            <w:r>
              <w:t>Molar entropy of the ideal gas substance</w:t>
            </w:r>
            <w:bookmarkEnd w:id="24"/>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5202CA"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8"/>
            <w:r>
              <w:t>Molar entropy of the incompressible substance</w:t>
            </w:r>
            <w:bookmarkEnd w:id="25"/>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5202CA"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0E11F3" w:rsidP="00B42563">
            <w:pPr>
              <w:pStyle w:val="Odstavecseseznamem"/>
              <w:numPr>
                <w:ilvl w:val="0"/>
                <w:numId w:val="2"/>
              </w:numPr>
            </w:pPr>
            <w:bookmarkStart w:id="26" w:name="_Ref418637957"/>
            <w:r>
              <w:t>C</w:t>
            </w:r>
            <w:r w:rsidR="009604C8">
              <w:t xml:space="preserve">hemical potential of the pure </w:t>
            </w:r>
            <w:r w:rsidR="00447403">
              <w:t xml:space="preserve">ideal gas </w:t>
            </w:r>
            <w:r w:rsidR="009604C8">
              <w:t>substance</w:t>
            </w:r>
            <w:bookmarkEnd w:id="26"/>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5202CA"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0E11F3" w:rsidP="00B42563">
            <w:pPr>
              <w:pStyle w:val="Odstavecseseznamem"/>
              <w:numPr>
                <w:ilvl w:val="0"/>
                <w:numId w:val="2"/>
              </w:numPr>
            </w:pPr>
            <w:r>
              <w:t>C</w:t>
            </w:r>
            <w:r w:rsidR="00447403">
              <w:t>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0E11F3">
        <w:t>(3)</w:t>
      </w:r>
      <w:r w:rsidR="004C7F2B">
        <w:fldChar w:fldCharType="end"/>
      </w:r>
      <w:r w:rsidR="002373CA">
        <w:t xml:space="preserve">. </w:t>
      </w:r>
      <w:r w:rsidR="0022283E">
        <w:t>T</w:t>
      </w:r>
      <w:r w:rsidR="002373CA">
        <w:t xml:space="preserve">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0E11F3">
        <w:t>(35)</w:t>
      </w:r>
      <w:r w:rsidR="007F1812">
        <w:fldChar w:fldCharType="end"/>
      </w:r>
      <w:r w:rsidR="0022283E">
        <w:t>, which is the direct result of fundamental equation</w:t>
      </w:r>
      <w:r w:rsidR="000E11F3">
        <w:t xml:space="preserve"> </w:t>
      </w:r>
      <w:r w:rsidR="000E11F3">
        <w:fldChar w:fldCharType="begin"/>
      </w:r>
      <w:r w:rsidR="000E11F3">
        <w:instrText xml:space="preserve"> REF _Ref420015254 \n \h </w:instrText>
      </w:r>
      <w:r w:rsidR="000E11F3">
        <w:fldChar w:fldCharType="separate"/>
      </w:r>
      <w:r w:rsidR="000E11F3">
        <w:t>(34)</w:t>
      </w:r>
      <w:r w:rsidR="000E11F3">
        <w:fldChar w:fldCharType="end"/>
      </w:r>
      <w:r w:rsidR="0022283E">
        <w:t xml:space="preserve"> at isobaric heating.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22283E" w:rsidP="0022283E">
            <w:pPr>
              <w:spacing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i/>
                      </w:rPr>
                    </m:ctrlPr>
                  </m:dPr>
                  <m:e>
                    <m:r>
                      <w:rPr>
                        <w:rFonts w:ascii="Cambria Math" w:hAnsi="Cambria Math"/>
                      </w:rPr>
                      <m:t>G+T∙S-p∙V</m:t>
                    </m:r>
                  </m:e>
                </m:d>
                <m:r>
                  <w:rPr>
                    <w:rFonts w:ascii="Cambria Math" w:hAnsi="Cambria Math"/>
                  </w:rPr>
                  <m:t>=T∙∂S-p∙∂V</m:t>
                </m:r>
              </m:oMath>
            </m:oMathPara>
          </w:p>
        </w:tc>
        <w:tc>
          <w:tcPr>
            <w:tcW w:w="3822" w:type="dxa"/>
          </w:tcPr>
          <w:p w:rsidR="007E3D2B" w:rsidRDefault="0022283E" w:rsidP="007E3D2B">
            <w:pPr>
              <w:pStyle w:val="Odstavecseseznamem"/>
              <w:numPr>
                <w:ilvl w:val="0"/>
                <w:numId w:val="2"/>
              </w:numPr>
            </w:pPr>
            <w:bookmarkStart w:id="27" w:name="_Ref420015254"/>
            <w:r>
              <w:t>Fundamental thermodynamic relation</w:t>
            </w:r>
            <w:bookmarkEnd w:id="27"/>
            <w:r>
              <w:t xml:space="preserve"> </w:t>
            </w:r>
          </w:p>
        </w:tc>
      </w:tr>
      <w:tr w:rsidR="0022283E" w:rsidTr="004C7F2B">
        <w:tc>
          <w:tcPr>
            <w:tcW w:w="5240" w:type="dxa"/>
            <w:vAlign w:val="center"/>
          </w:tcPr>
          <w:p w:rsidR="0022283E" w:rsidRPr="00C41992" w:rsidRDefault="0022283E" w:rsidP="0022283E">
            <w:pPr>
              <w:spacing w:line="360" w:lineRule="auto"/>
              <w:jc w:val="center"/>
              <w:rPr>
                <w:rFonts w:ascii="Calibri" w:eastAsia="Calibri" w:hAnsi="Calibri" w:cs="Times New Roman"/>
              </w:rPr>
            </w:pPr>
            <m:oMathPara>
              <m:oMath>
                <m:r>
                  <w:rPr>
                    <w:rFonts w:ascii="Cambria Math" w:hAnsi="Cambria Math"/>
                  </w:rPr>
                  <m:t>∂G=</m:t>
                </m:r>
                <m:r>
                  <w:rPr>
                    <w:rFonts w:ascii="Cambria Math" w:hAnsi="Cambria Math"/>
                  </w:rPr>
                  <m:t>-</m:t>
                </m:r>
                <m:r>
                  <w:rPr>
                    <w:rFonts w:ascii="Cambria Math" w:hAnsi="Cambria Math"/>
                  </w:rPr>
                  <m:t>∂T∙S</m:t>
                </m:r>
              </m:oMath>
            </m:oMathPara>
          </w:p>
        </w:tc>
        <w:tc>
          <w:tcPr>
            <w:tcW w:w="3822" w:type="dxa"/>
          </w:tcPr>
          <w:p w:rsidR="0022283E" w:rsidRDefault="0022283E" w:rsidP="0022283E">
            <w:pPr>
              <w:pStyle w:val="Odstavecseseznamem"/>
              <w:numPr>
                <w:ilvl w:val="0"/>
                <w:numId w:val="2"/>
              </w:numPr>
            </w:pPr>
            <w:bookmarkStart w:id="28" w:name="_Ref418635495"/>
            <w:r>
              <w:t xml:space="preserve">Change of Gibbs energy </w:t>
            </w:r>
            <w:bookmarkEnd w:id="28"/>
            <w:r>
              <w:t>during isobaric heating</w:t>
            </w:r>
          </w:p>
        </w:tc>
      </w:tr>
      <w:tr w:rsidR="0022283E" w:rsidTr="00A56D50">
        <w:tc>
          <w:tcPr>
            <w:tcW w:w="5240" w:type="dxa"/>
            <w:vAlign w:val="center"/>
          </w:tcPr>
          <w:p w:rsidR="0022283E" w:rsidRPr="00C41992" w:rsidRDefault="005202CA"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22283E" w:rsidRDefault="009E1BED" w:rsidP="0022283E">
            <w:pPr>
              <w:pStyle w:val="Odstavecseseznamem"/>
              <w:numPr>
                <w:ilvl w:val="0"/>
                <w:numId w:val="2"/>
              </w:numPr>
            </w:pPr>
            <w:r>
              <w:t>Ideal gas is</w:t>
            </w:r>
            <w:r w:rsidR="0022283E">
              <w:t>o</w:t>
            </w:r>
            <w:r>
              <w:t>choric</w:t>
            </w:r>
            <w:r w:rsidR="0022283E">
              <w:t xml:space="preserve"> heating</w:t>
            </w:r>
          </w:p>
          <w:p w:rsidR="009E1BED" w:rsidRDefault="009E1BED" w:rsidP="009E1BED">
            <w:pPr>
              <w:pStyle w:val="Odstavecseseznamem"/>
              <w:ind w:left="227"/>
            </w:pPr>
            <w:r>
              <w:t>(</w:t>
            </w:r>
            <w:r>
              <w:t xml:space="preserve">Molar heat capacity of ideal gas at constant </w:t>
            </w:r>
            <w:r w:rsidR="007E484F">
              <w:t xml:space="preserve">volume and </w:t>
            </w:r>
            <w:r>
              <w:t>amount of substance)</w:t>
            </w:r>
          </w:p>
        </w:tc>
      </w:tr>
      <w:tr w:rsidR="009E1BED" w:rsidTr="00A56D50">
        <w:tc>
          <w:tcPr>
            <w:tcW w:w="5240" w:type="dxa"/>
            <w:vAlign w:val="center"/>
          </w:tcPr>
          <w:p w:rsidR="009E1BED" w:rsidRDefault="009E1BED"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r>
                  <w:rPr>
                    <w:rFonts w:ascii="Cambria Math" w:hAnsi="Cambria Math"/>
                  </w:rPr>
                  <m:t>R</m:t>
                </m:r>
              </m:oMath>
            </m:oMathPara>
          </w:p>
        </w:tc>
        <w:tc>
          <w:tcPr>
            <w:tcW w:w="3822" w:type="dxa"/>
            <w:vAlign w:val="center"/>
          </w:tcPr>
          <w:p w:rsidR="009E1BED" w:rsidRDefault="009E1BED" w:rsidP="009E1BED">
            <w:pPr>
              <w:pStyle w:val="Odstavecseseznamem"/>
              <w:numPr>
                <w:ilvl w:val="0"/>
                <w:numId w:val="2"/>
              </w:numPr>
            </w:pPr>
            <w:r>
              <w:t>Molar heat capacity of ideal gas at constant pressure</w:t>
            </w:r>
          </w:p>
        </w:tc>
      </w:tr>
      <w:tr w:rsidR="0022283E" w:rsidTr="004C7F2B">
        <w:tc>
          <w:tcPr>
            <w:tcW w:w="5240" w:type="dxa"/>
            <w:vAlign w:val="center"/>
          </w:tcPr>
          <w:p w:rsidR="0022283E" w:rsidRPr="00594CB3" w:rsidRDefault="005202CA" w:rsidP="0022283E">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22283E" w:rsidRDefault="0022283E" w:rsidP="009E1BED">
            <w:pPr>
              <w:pStyle w:val="Odstavecseseznamem"/>
              <w:numPr>
                <w:ilvl w:val="0"/>
                <w:numId w:val="2"/>
              </w:numPr>
            </w:pPr>
            <w:r>
              <w:t>Incompressible substance isobaric heating</w:t>
            </w:r>
            <w:r w:rsidR="009E1BED">
              <w:t xml:space="preserve"> </w:t>
            </w:r>
            <w:r w:rsidR="009E1BED">
              <w:t xml:space="preserve">(Molar heat capacity of </w:t>
            </w:r>
            <w:r w:rsidR="009E1BED">
              <w:t xml:space="preserve">incompressible </w:t>
            </w:r>
            <w:r w:rsidR="009E1BED">
              <w:t xml:space="preserve">at constant </w:t>
            </w:r>
            <w:r w:rsidR="009E1BED">
              <w:t>volume</w:t>
            </w:r>
            <w:r w:rsidR="009E1BED">
              <w:t>)</w:t>
            </w:r>
          </w:p>
        </w:tc>
      </w:tr>
      <w:tr w:rsidR="009E1BED" w:rsidTr="004C7F2B">
        <w:tc>
          <w:tcPr>
            <w:tcW w:w="5240" w:type="dxa"/>
            <w:vAlign w:val="center"/>
          </w:tcPr>
          <w:p w:rsidR="009E1BED" w:rsidRDefault="009E1BED" w:rsidP="009E1BED">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oMath>
            </m:oMathPara>
          </w:p>
        </w:tc>
        <w:tc>
          <w:tcPr>
            <w:tcW w:w="3822" w:type="dxa"/>
          </w:tcPr>
          <w:p w:rsidR="009E1BED" w:rsidRDefault="009E1BED" w:rsidP="009E1BED">
            <w:pPr>
              <w:pStyle w:val="Odstavecseseznamem"/>
              <w:numPr>
                <w:ilvl w:val="0"/>
                <w:numId w:val="2"/>
              </w:numPr>
            </w:pPr>
            <w:r>
              <w:t xml:space="preserve">Molar heat capacity of </w:t>
            </w:r>
            <w:r>
              <w:t xml:space="preserve">incompressible </w:t>
            </w:r>
            <w:r>
              <w:t>at constant pressure</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bookmarkStart w:id="29" w:name="_GoBack"/>
      <w:bookmarkEnd w:id="29"/>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0E11F3">
        <w:t>(28)</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0E11F3">
        <w:t>(29)</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0E11F3">
        <w:t>(30)</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0E11F3">
        <w:t>(31)</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rsidR="000E11F3">
        <w:t>(22)</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rsidR="000E11F3">
        <w:t>(31)</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0E11F3">
        <w:t>electro</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0E11F3">
        <w:t>(32)</w:t>
      </w:r>
      <w:r w:rsidR="006A2B2A">
        <w:fldChar w:fldCharType="end"/>
      </w:r>
      <w:r w:rsidR="006A2B2A">
        <w:t xml:space="preserve"> </w:t>
      </w:r>
      <w:r w:rsidR="00064A50">
        <w:t xml:space="preserve">at 25°C and 0V </w:t>
      </w:r>
      <w:r w:rsidR="00925A01">
        <w:t>as following algebraic operation</w:t>
      </w:r>
      <w:r w:rsidR="006A2B2A">
        <w:t xml:space="preserve"> expressed by </w:t>
      </w:r>
      <w:r w:rsidR="00BF6363">
        <w:t xml:space="preserve">following </w:t>
      </w:r>
      <w:r w:rsidR="006A2B2A">
        <w:t>equation</w:t>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5202CA"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BF6363" w:rsidP="006A2B2A">
            <w:pPr>
              <w:pStyle w:val="Odstavecseseznamem"/>
              <w:numPr>
                <w:ilvl w:val="0"/>
                <w:numId w:val="2"/>
              </w:numPr>
            </w:pPr>
            <w:bookmarkStart w:id="30" w:name="_Ref419592195"/>
            <w:r>
              <w:t>Ideal gas at 25°C</w:t>
            </w:r>
          </w:p>
        </w:tc>
        <w:bookmarkEnd w:id="30"/>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3B8F"/>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398A"/>
    <w:rsid w:val="00095FBD"/>
    <w:rsid w:val="00096D50"/>
    <w:rsid w:val="000A75F0"/>
    <w:rsid w:val="000B19AC"/>
    <w:rsid w:val="000B53EE"/>
    <w:rsid w:val="000C0830"/>
    <w:rsid w:val="000D3D9A"/>
    <w:rsid w:val="000D5B20"/>
    <w:rsid w:val="000E0A58"/>
    <w:rsid w:val="000E11F3"/>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1F208E"/>
    <w:rsid w:val="0020098B"/>
    <w:rsid w:val="00204335"/>
    <w:rsid w:val="00204A6F"/>
    <w:rsid w:val="00205684"/>
    <w:rsid w:val="00207003"/>
    <w:rsid w:val="00221CFE"/>
    <w:rsid w:val="0022283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29FF"/>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2D2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02CA"/>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52303"/>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14BBD"/>
    <w:rsid w:val="00720160"/>
    <w:rsid w:val="00720E9F"/>
    <w:rsid w:val="00721810"/>
    <w:rsid w:val="00722006"/>
    <w:rsid w:val="007248BA"/>
    <w:rsid w:val="00736CF8"/>
    <w:rsid w:val="00737DC7"/>
    <w:rsid w:val="00742DCA"/>
    <w:rsid w:val="00744186"/>
    <w:rsid w:val="00752409"/>
    <w:rsid w:val="00753FC6"/>
    <w:rsid w:val="00754F69"/>
    <w:rsid w:val="00756C2F"/>
    <w:rsid w:val="007636B3"/>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484F"/>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300F"/>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1BED"/>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6363"/>
    <w:rsid w:val="00BF7FDF"/>
    <w:rsid w:val="00C0234C"/>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 w:type="character" w:styleId="Siln">
    <w:name w:val="Strong"/>
    <w:basedOn w:val="Standardnpsmoodstavce"/>
    <w:uiPriority w:val="22"/>
    <w:qFormat/>
    <w:rsid w:val="003A2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BAD8-0CD6-41C8-9541-F25CDA52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2993</Words>
  <Characters>17064</Characters>
  <Application>Microsoft Office Word</Application>
  <DocSecurity>0</DocSecurity>
  <Lines>142</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cp:revision>
  <dcterms:created xsi:type="dcterms:W3CDTF">2015-05-05T23:26:00Z</dcterms:created>
  <dcterms:modified xsi:type="dcterms:W3CDTF">2015-07-08T14:28:00Z</dcterms:modified>
</cp:coreProperties>
</file>