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F379" w14:textId="19E7DC41" w:rsidR="00C72D5B" w:rsidRPr="00C91FA1" w:rsidRDefault="00EA59F2" w:rsidP="003B009F">
      <w:pPr>
        <w:jc w:val="center"/>
        <w:rPr>
          <w:b/>
          <w:sz w:val="28"/>
        </w:rPr>
      </w:pPr>
      <w:r w:rsidRPr="00C91FA1">
        <w:rPr>
          <w:b/>
          <w:sz w:val="28"/>
        </w:rPr>
        <w:t>Option</w:t>
      </w:r>
      <w:r w:rsidR="00C72D5B" w:rsidRPr="00C91FA1">
        <w:rPr>
          <w:b/>
          <w:sz w:val="28"/>
        </w:rPr>
        <w:t xml:space="preserve">s Pricing </w:t>
      </w:r>
      <w:r w:rsidR="00437332">
        <w:rPr>
          <w:b/>
          <w:sz w:val="28"/>
        </w:rPr>
        <w:t>in</w:t>
      </w:r>
      <w:r w:rsidR="00C72D5B" w:rsidRPr="00C91FA1">
        <w:rPr>
          <w:b/>
          <w:sz w:val="28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8"/>
          </w:rPr>
          <m:t>L</m:t>
        </m:r>
        <m:acc>
          <m:accPr>
            <m:chr m:val="́"/>
            <m:ctrlPr>
              <w:rPr>
                <w:rFonts w:ascii="Cambria Math" w:hAnsi="Cambria Math" w:cstheme="minorHAnsi"/>
                <w:b/>
                <w:sz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</w:rPr>
              <m:t>e</m:t>
            </m:r>
          </m:e>
        </m:acc>
        <m:r>
          <m:rPr>
            <m:sty m:val="b"/>
          </m:rPr>
          <w:rPr>
            <w:rFonts w:ascii="Cambria Math" w:hAnsi="Cambria Math" w:cstheme="minorHAnsi"/>
            <w:sz w:val="28"/>
          </w:rPr>
          <m:t>vy</m:t>
        </m:r>
      </m:oMath>
      <w:r w:rsidR="00C72D5B" w:rsidRPr="00C91FA1">
        <w:rPr>
          <w:b/>
          <w:sz w:val="28"/>
        </w:rPr>
        <w:t xml:space="preserve"> Models </w:t>
      </w:r>
    </w:p>
    <w:p w14:paraId="0186F956" w14:textId="06F793AB" w:rsidR="0054754C" w:rsidRDefault="0054754C" w:rsidP="0074492C">
      <w:pPr>
        <w:jc w:val="center"/>
      </w:pPr>
      <w:r w:rsidRPr="0074492C">
        <w:rPr>
          <w:i/>
        </w:rPr>
        <w:t>Joseph Loss</w:t>
      </w:r>
      <w:r w:rsidR="002D0C45">
        <w:rPr>
          <w:rStyle w:val="FootnoteReference"/>
          <w:i/>
        </w:rPr>
        <w:footnoteReference w:id="1"/>
      </w:r>
      <w:r w:rsidR="0074492C">
        <w:rPr>
          <w:i/>
        </w:rPr>
        <w:t>, Yuchen Duan</w:t>
      </w:r>
      <w:r w:rsidR="0008480B">
        <w:rPr>
          <w:i/>
          <w:vertAlign w:val="superscript"/>
        </w:rPr>
        <w:t>1</w:t>
      </w:r>
      <w:r w:rsidR="0074492C">
        <w:rPr>
          <w:i/>
        </w:rPr>
        <w:t>, Daniel Liberman</w:t>
      </w:r>
      <w:r w:rsidR="0008480B">
        <w:rPr>
          <w:rStyle w:val="FootnoteReference"/>
          <w:i/>
        </w:rPr>
        <w:footnoteReference w:id="2"/>
      </w:r>
    </w:p>
    <w:p w14:paraId="7C74F775" w14:textId="77777777" w:rsidR="0008480B" w:rsidRPr="00DA4ADF" w:rsidRDefault="0008480B" w:rsidP="00C72D5B">
      <w:pPr>
        <w:rPr>
          <w:sz w:val="24"/>
          <w:szCs w:val="24"/>
        </w:rPr>
      </w:pPr>
    </w:p>
    <w:p w14:paraId="4F275DA5" w14:textId="32944056" w:rsidR="009D089E" w:rsidRDefault="00C72D5B" w:rsidP="00C72D5B">
      <w:r w:rsidRPr="00B31154">
        <w:tab/>
        <w:t>We</w:t>
      </w:r>
      <w:r w:rsidR="0079565A" w:rsidRPr="00B31154">
        <w:t xml:space="preserve"> </w:t>
      </w:r>
      <w:r w:rsidR="00486DBD">
        <w:t xml:space="preserve">consider options pricing in </w:t>
      </w:r>
      <m:oMath>
        <m:r>
          <m:rPr>
            <m:sty m:val="p"/>
          </m:rPr>
          <w:rPr>
            <w:rFonts w:ascii="Cambria Math" w:hAnsi="Cambria Math" w:cstheme="minorHAnsi"/>
          </w:rPr>
          <m:t>L</m:t>
        </m:r>
        <m:acc>
          <m:accPr>
            <m:chr m:val="́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vy</m:t>
        </m:r>
      </m:oMath>
      <w:r w:rsidR="00486DBD">
        <w:t xml:space="preserve"> models</w:t>
      </w:r>
      <w:r w:rsidR="00035AF4">
        <w:t xml:space="preserve">, specifically the implementation of two algorithms listed in </w:t>
      </w:r>
      <w:r w:rsidR="006033F9">
        <w:t>Feng</w:t>
      </w:r>
      <w:r w:rsidR="0041601A">
        <w:rPr>
          <w:rStyle w:val="FootnoteReference"/>
        </w:rPr>
        <w:footnoteReference w:id="3"/>
      </w:r>
      <w:r w:rsidR="0041601A">
        <w:t xml:space="preserve"> </w:t>
      </w:r>
      <w:r w:rsidR="006033F9">
        <w:t>and compared our results wi</w:t>
      </w:r>
      <w:r w:rsidR="00792217">
        <w:t xml:space="preserve">th those published in the original paper. </w:t>
      </w:r>
      <w:r w:rsidR="00702F22">
        <w:t xml:space="preserve"> </w:t>
      </w:r>
      <w:r w:rsidR="00085A9F">
        <w:t xml:space="preserve">Like Feng, we assume that the asset price follows a geometric </w:t>
      </w:r>
      <m:oMath>
        <m:r>
          <m:rPr>
            <m:sty m:val="p"/>
          </m:rPr>
          <w:rPr>
            <w:rFonts w:ascii="Cambria Math" w:hAnsi="Cambria Math" w:cstheme="minorHAnsi"/>
          </w:rPr>
          <m:t>L</m:t>
        </m:r>
        <m:acc>
          <m:accPr>
            <m:chr m:val="́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vy</m:t>
        </m:r>
      </m:oMath>
      <w:r w:rsidR="00085A9F">
        <w:t xml:space="preserve"> process under a </w:t>
      </w:r>
      <w:r w:rsidR="000B3EF2">
        <w:t>given and equal martingale measure</w:t>
      </w:r>
      <w:r w:rsidR="00430083">
        <w:t>. This is expressed as</w:t>
      </w:r>
      <w:r w:rsidR="009D089E">
        <w:t xml:space="preserve">: </w:t>
      </w:r>
    </w:p>
    <w:p w14:paraId="6F9E0F7D" w14:textId="77777777" w:rsidR="00927C53" w:rsidRPr="00927C53" w:rsidRDefault="00430083" w:rsidP="00C72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</m:oMath>
      </m:oMathPara>
    </w:p>
    <w:p w14:paraId="3CE514B9" w14:textId="2981B233" w:rsidR="0054754C" w:rsidRPr="00927C53" w:rsidRDefault="00770A07" w:rsidP="00C72D5B">
      <w:pPr>
        <w:rPr>
          <w:rFonts w:eastAsiaTheme="minorEastAsia"/>
        </w:rPr>
      </w:pPr>
      <w: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</w:t>
      </w:r>
      <m:oMath>
        <m:r>
          <m:rPr>
            <m:sty m:val="p"/>
          </m:rPr>
          <w:rPr>
            <w:rFonts w:ascii="Cambria Math" w:hAnsi="Cambria Math" w:cstheme="minorHAnsi"/>
          </w:rPr>
          <m:t>L</m:t>
        </m:r>
        <m:acc>
          <m:accPr>
            <m:chr m:val="́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vy</m:t>
        </m:r>
      </m:oMath>
      <w:r w:rsidR="00C37E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process at </w:t>
      </w:r>
      <m:oMath>
        <m:r>
          <w:rPr>
            <w:rFonts w:ascii="Cambria Math" w:eastAsiaTheme="minorEastAsia" w:hAnsi="Cambria Math"/>
          </w:rPr>
          <m:t>t=0</m:t>
        </m:r>
      </m:oMath>
      <w:r w:rsidR="00496044">
        <w:rPr>
          <w:rFonts w:eastAsiaTheme="minorEastAsia"/>
        </w:rPr>
        <w:t xml:space="preserve"> and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96044">
        <w:rPr>
          <w:rFonts w:eastAsiaTheme="minorEastAsia"/>
        </w:rPr>
        <w:t xml:space="preserve"> is the asset price at </w:t>
      </w:r>
      <m:oMath>
        <m:r>
          <w:rPr>
            <w:rFonts w:ascii="Cambria Math" w:eastAsiaTheme="minorEastAsia" w:hAnsi="Cambria Math"/>
          </w:rPr>
          <m:t>t=0</m:t>
        </m:r>
      </m:oMath>
      <w:r w:rsidR="00496044">
        <w:rPr>
          <w:rFonts w:eastAsiaTheme="minorEastAsia"/>
        </w:rPr>
        <w:t>.</w:t>
      </w:r>
    </w:p>
    <w:p w14:paraId="094EE5BE" w14:textId="77777777" w:rsidR="00535BE1" w:rsidRPr="0008480B" w:rsidRDefault="00535BE1" w:rsidP="00C72D5B">
      <w:pPr>
        <w:rPr>
          <w:b/>
          <w:sz w:val="10"/>
          <w:szCs w:val="10"/>
        </w:rPr>
      </w:pPr>
    </w:p>
    <w:p w14:paraId="68DF5967" w14:textId="45F5FF45" w:rsidR="0054754C" w:rsidRPr="0054754C" w:rsidRDefault="0054754C" w:rsidP="00C72D5B">
      <w:pPr>
        <w:rPr>
          <w:b/>
          <w:sz w:val="24"/>
        </w:rPr>
      </w:pPr>
      <w:r w:rsidRPr="0054754C">
        <w:rPr>
          <w:b/>
          <w:sz w:val="24"/>
        </w:rPr>
        <w:t>Algorithm 1: Normal Inverse Gaussian</w:t>
      </w:r>
    </w:p>
    <w:p w14:paraId="19245165" w14:textId="0CA0A49E" w:rsidR="009418A7" w:rsidRDefault="00C013D4" w:rsidP="0054754C">
      <w:pPr>
        <w:ind w:firstLine="720"/>
      </w:pPr>
      <w:r>
        <w:t>Our first algorithm</w:t>
      </w:r>
      <w:r w:rsidR="006248B6">
        <w:t xml:space="preserve"> is an implementation of the normal inverse Gaussian (NIG) process, which we simulated as a subordinated Brownian motion, to </w:t>
      </w:r>
      <w:r w:rsidR="00A90208">
        <w:t xml:space="preserve">compute the price of a European put option contract. </w:t>
      </w:r>
      <w:r w:rsidR="00E83F2E">
        <w:t>The NIG process is characterized by</w:t>
      </w:r>
      <w:r w:rsidR="009D089E">
        <w:t>:</w:t>
      </w:r>
      <w:r w:rsidR="00E83F2E">
        <w:t xml:space="preserve"> </w:t>
      </w:r>
    </w:p>
    <w:p w14:paraId="36529B2D" w14:textId="0205048D" w:rsidR="009418A7" w:rsidRPr="006C2B08" w:rsidRDefault="009418A7" w:rsidP="00C72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=μt+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</m:oMath>
      </m:oMathPara>
    </w:p>
    <w:p w14:paraId="158C3AFD" w14:textId="56933B39" w:rsidR="006C2B08" w:rsidRPr="009D089E" w:rsidRDefault="006C2B08" w:rsidP="00C72D5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504D7">
        <w:rPr>
          <w:rFonts w:eastAsiaTheme="minorEastAsia"/>
        </w:rPr>
        <w:t xml:space="preserve"> is a standard Brownian motion</w:t>
      </w:r>
      <w:r w:rsidR="0052509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504D7">
        <w:rPr>
          <w:rFonts w:eastAsiaTheme="minorEastAsia"/>
        </w:rPr>
        <w:t xml:space="preserve"> is an independent inverse Gaussian process</w:t>
      </w:r>
      <w:r w:rsidR="00525099">
        <w:rPr>
          <w:rFonts w:eastAsiaTheme="minorEastAsia"/>
        </w:rPr>
        <w:t xml:space="preserve"> and </w:t>
      </w:r>
      <w:r w:rsidR="00535BE1">
        <w:rPr>
          <w:rFonts w:eastAsiaTheme="minorEastAsia"/>
        </w:rPr>
        <w:t xml:space="preserve">                   </w:t>
      </w:r>
      <m:oMath>
        <m:r>
          <w:rPr>
            <w:rFonts w:ascii="Cambria Math" w:hAnsi="Cambria Math"/>
          </w:rPr>
          <m:t>μ=r</m:t>
        </m:r>
        <m:r>
          <w:rPr>
            <w:rFonts w:ascii="Cambria Math" w:hAnsi="Cambria Math"/>
          </w:rPr>
          <m:t>-q+δ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 </m:t>
        </m:r>
      </m:oMath>
    </w:p>
    <w:p w14:paraId="61590F90" w14:textId="6746BED6" w:rsidR="009D089E" w:rsidRPr="009D089E" w:rsidRDefault="009D089E" w:rsidP="00C72D5B"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α,β,δ,r, q</m:t>
        </m:r>
      </m:oMath>
      <w:r>
        <w:rPr>
          <w:rFonts w:eastAsiaTheme="minorEastAsia"/>
        </w:rPr>
        <w:t xml:space="preserve"> are inputs given by Feng</w:t>
      </w:r>
      <w:r w:rsidR="00535BE1">
        <w:rPr>
          <w:rFonts w:eastAsiaTheme="minorEastAsia"/>
        </w:rPr>
        <w:t xml:space="preserve"> and we discuss these on the following page. </w:t>
      </w:r>
    </w:p>
    <w:p w14:paraId="076CE0F0" w14:textId="2013F3AE" w:rsidR="00B31154" w:rsidRDefault="00535BE1" w:rsidP="00C72D5B">
      <w:pPr>
        <w:rPr>
          <w:rFonts w:eastAsiaTheme="minorEastAsia"/>
        </w:rPr>
      </w:pPr>
      <w:r>
        <w:rPr>
          <w:rFonts w:eastAsiaTheme="minorEastAsia"/>
        </w:rPr>
        <w:br/>
      </w:r>
      <w:r w:rsidR="00123836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t&gt;0</m:t>
        </m:r>
      </m:oMath>
      <w:r w:rsidR="00123836">
        <w:rPr>
          <w:rFonts w:eastAsiaTheme="minorEastAsia"/>
        </w:rPr>
        <w:t>, we s</w:t>
      </w:r>
      <w:proofErr w:type="spellStart"/>
      <w:r w:rsidR="00123836">
        <w:rPr>
          <w:rFonts w:eastAsiaTheme="minorEastAsia"/>
        </w:rPr>
        <w:t>imulate</w:t>
      </w:r>
      <w:proofErr w:type="spellEnd"/>
      <w:r w:rsidR="001238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23836">
        <w:rPr>
          <w:rFonts w:eastAsiaTheme="minorEastAsia"/>
        </w:rPr>
        <w:t xml:space="preserve"> </w:t>
      </w:r>
      <w:r w:rsidR="0041601A">
        <w:rPr>
          <w:rFonts w:eastAsiaTheme="minorEastAsia"/>
        </w:rPr>
        <w:t>with the following steps:</w:t>
      </w:r>
    </w:p>
    <w:p w14:paraId="2073338D" w14:textId="049C92BF" w:rsidR="00AD3816" w:rsidRPr="006F5F89" w:rsidRDefault="0041601A" w:rsidP="006F5F89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6F5F89">
        <w:rPr>
          <w:rFonts w:eastAsiaTheme="minorEastAsia"/>
        </w:rPr>
        <w:t xml:space="preserve">Generate a standard normal random variable using </w:t>
      </w:r>
      <w:r w:rsidR="0034305C" w:rsidRPr="006F5F89">
        <w:rPr>
          <w:rFonts w:eastAsiaTheme="minorEastAsia"/>
        </w:rPr>
        <w:t xml:space="preserve">the Box-Muller algorithm described </w:t>
      </w:r>
      <w:r w:rsidR="005A4207" w:rsidRPr="006F5F89">
        <w:rPr>
          <w:rFonts w:eastAsiaTheme="minorEastAsia"/>
        </w:rPr>
        <w:t xml:space="preserve">on pg. 66 of </w:t>
      </w:r>
      <w:proofErr w:type="spellStart"/>
      <w:r w:rsidR="0034305C" w:rsidRPr="006F5F89">
        <w:rPr>
          <w:rFonts w:eastAsiaTheme="minorEastAsia"/>
        </w:rPr>
        <w:t>Glasserman</w:t>
      </w:r>
      <w:proofErr w:type="spellEnd"/>
      <w:r w:rsidR="00377623">
        <w:rPr>
          <w:rStyle w:val="FootnoteReference"/>
          <w:rFonts w:eastAsiaTheme="minorEastAsia"/>
        </w:rPr>
        <w:footnoteReference w:id="4"/>
      </w:r>
      <w:r w:rsidR="005A4207" w:rsidRPr="006F5F89">
        <w:rPr>
          <w:rFonts w:eastAsiaTheme="minorEastAsia"/>
        </w:rPr>
        <w:t>.</w:t>
      </w:r>
      <w:r w:rsidR="003356B5" w:rsidRPr="006F5F89">
        <w:rPr>
          <w:rFonts w:eastAsiaTheme="minorEastAsia"/>
        </w:rPr>
        <w:t xml:space="preserve"> With </w:t>
      </w:r>
      <m:oMath>
        <m:r>
          <m:rPr>
            <m:sty m:val="p"/>
          </m:rPr>
          <w:rPr>
            <w:rFonts w:ascii="Cambria Math" w:hAnsi="Cambria Math"/>
          </w:rPr>
          <m:t>γ=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 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γ</m:t>
            </m:r>
          </m:den>
        </m:f>
      </m:oMath>
      <w:r w:rsidR="00AD3816" w:rsidRPr="006F5F89">
        <w:rPr>
          <w:rFonts w:eastAsiaTheme="minorEastAsia"/>
        </w:rPr>
        <w:t>, we compute</w:t>
      </w:r>
    </w:p>
    <w:p w14:paraId="3C848071" w14:textId="15C56CA0" w:rsidR="009C4F40" w:rsidRPr="006F5F89" w:rsidRDefault="00AD3816" w:rsidP="006F5F89">
      <m:oMathPara>
        <m:oMath>
          <m:r>
            <w:rPr>
              <w:rFonts w:ascii="Cambria Math" w:hAnsi="Cambria Math"/>
            </w:rPr>
            <m:t>ζ=1/γ(δt+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Z-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δtZ+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</m:oMath>
      </m:oMathPara>
    </w:p>
    <w:p w14:paraId="3FF67DEE" w14:textId="36D46299" w:rsidR="00D37F12" w:rsidRPr="0008480B" w:rsidRDefault="009C4F40" w:rsidP="00DD306A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3E47D8">
        <w:rPr>
          <w:rFonts w:eastAsiaTheme="minorEastAsia"/>
        </w:rPr>
        <w:t xml:space="preserve">Generate a uniform random variable </w:t>
      </w:r>
      <m:oMath>
        <m:r>
          <w:rPr>
            <w:rFonts w:ascii="Cambria Math" w:eastAsiaTheme="minorEastAsia" w:hAnsi="Cambria Math"/>
          </w:rPr>
          <m:t>U</m:t>
        </m:r>
      </m:oMath>
      <w:r w:rsidRPr="003E47D8"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(0, 1)</m:t>
        </m:r>
      </m:oMath>
      <w:r w:rsidRPr="003E47D8">
        <w:rPr>
          <w:rFonts w:eastAsiaTheme="minorEastAsia"/>
        </w:rPr>
        <w:t xml:space="preserve">. </w:t>
      </w:r>
      <w:r w:rsidR="00535BE1">
        <w:rPr>
          <w:rFonts w:eastAsiaTheme="minorEastAsia"/>
        </w:rPr>
        <w:t xml:space="preserve"> </w:t>
      </w:r>
      <w:r w:rsidRPr="00535BE1">
        <w:rPr>
          <w:rFonts w:eastAsiaTheme="minorEastAsia"/>
        </w:rPr>
        <w:t>I</w:t>
      </w:r>
      <w:r w:rsidR="00CF75FE" w:rsidRPr="00535BE1">
        <w:rPr>
          <w:rFonts w:eastAsiaTheme="minorEastAsia"/>
        </w:rPr>
        <w:t xml:space="preserve">f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U&lt;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δt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δt+γζ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</w:rPr>
          <m:t>,</m:t>
        </m:r>
      </m:oMath>
      <w:r w:rsidR="00CF75FE" w:rsidRPr="00535BE1">
        <w:rPr>
          <w:rFonts w:eastAsiaTheme="minorEastAsia"/>
          <w:sz w:val="24"/>
        </w:rPr>
        <w:t xml:space="preserve"> </w:t>
      </w:r>
      <w:r w:rsidR="00CF75FE" w:rsidRPr="00535BE1"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</w:rPr>
          <m:t>=ζ</m:t>
        </m:r>
      </m:oMath>
      <w:r w:rsidR="00CF75FE" w:rsidRPr="00535BE1">
        <w:rPr>
          <w:rFonts w:eastAsiaTheme="minorEastAsia"/>
          <w:sz w:val="24"/>
        </w:rPr>
        <w:t>.</w:t>
      </w:r>
      <w:r w:rsidR="003E47D8" w:rsidRPr="00535BE1">
        <w:rPr>
          <w:rFonts w:eastAsiaTheme="minorEastAsia"/>
          <w:sz w:val="24"/>
        </w:rPr>
        <w:t xml:space="preserve"> </w:t>
      </w:r>
      <w:r w:rsidR="00CF75FE" w:rsidRPr="00535BE1">
        <w:rPr>
          <w:rFonts w:eastAsiaTheme="minorEastAsia"/>
          <w:sz w:val="24"/>
        </w:rPr>
        <w:t xml:space="preserve"> </w:t>
      </w:r>
      <w:r w:rsidR="00535BE1">
        <w:rPr>
          <w:rFonts w:eastAsiaTheme="minorEastAsia"/>
          <w:sz w:val="24"/>
        </w:rPr>
        <w:br/>
      </w:r>
      <w:r w:rsidR="003E47D8" w:rsidRPr="00535BE1">
        <w:rPr>
          <w:rFonts w:eastAsiaTheme="minorEastAsia"/>
        </w:rPr>
        <w:t>Otherwise</w:t>
      </w:r>
      <w:r w:rsidR="00FD2491">
        <w:rPr>
          <w:rFonts w:eastAsiaTheme="minorEastAsia"/>
        </w:rPr>
        <w:t>,</w:t>
      </w:r>
      <w:r w:rsidR="0008480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ζ</m:t>
            </m:r>
          </m:den>
        </m:f>
      </m:oMath>
      <w:r w:rsidR="00FD2491">
        <w:rPr>
          <w:rFonts w:eastAsiaTheme="minorEastAsia"/>
          <w:sz w:val="28"/>
        </w:rPr>
        <w:t>.</w:t>
      </w:r>
    </w:p>
    <w:p w14:paraId="20F8200C" w14:textId="07FE96F5" w:rsidR="009C4F40" w:rsidRDefault="009C4F40" w:rsidP="003E47D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Generate a standard normal random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B12D45">
        <w:rPr>
          <w:rFonts w:eastAsiaTheme="minorEastAsia"/>
        </w:rPr>
        <w:t xml:space="preserve">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=μt+</m:t>
        </m:r>
        <m:r>
          <w:rPr>
            <w:rFonts w:ascii="Cambria Math" w:eastAsiaTheme="minorEastAsia" w:hAnsi="Cambria Math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176A767E" w14:textId="09916353" w:rsidR="00164D81" w:rsidRDefault="004A1E42" w:rsidP="005630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 compute the </w:t>
      </w:r>
      <w:r w:rsidR="008A1688">
        <w:rPr>
          <w:rFonts w:eastAsiaTheme="minorEastAsia"/>
        </w:rPr>
        <w:t xml:space="preserve">price of a European vanilla put option, we </w:t>
      </w:r>
      <w:r w:rsidR="00FA1582">
        <w:rPr>
          <w:rFonts w:eastAsiaTheme="minorEastAsia"/>
        </w:rPr>
        <w:t>use the inputs</w:t>
      </w:r>
      <w:r w:rsidR="008A6D54">
        <w:rPr>
          <w:rFonts w:eastAsiaTheme="minorEastAsia"/>
        </w:rPr>
        <w:t xml:space="preserve"> </w:t>
      </w:r>
      <w:r w:rsidR="00702147">
        <w:rPr>
          <w:rFonts w:eastAsiaTheme="minorEastAsia"/>
        </w:rPr>
        <w:t>given in Section 6.1 (pg. 22) of Feng</w:t>
      </w:r>
      <w:r w:rsidR="00AC5F3F">
        <w:rPr>
          <w:rFonts w:eastAsiaTheme="minorEastAsia"/>
        </w:rPr>
        <w:t>:</w:t>
      </w:r>
      <w:r w:rsidR="008A6D5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=15</m:t>
        </m:r>
        <m:r>
          <w:rPr>
            <w:rFonts w:ascii="Cambria Math" w:eastAsiaTheme="minorEastAsia" w:hAnsi="Cambria Math"/>
          </w:rPr>
          <m:t>,β</m:t>
        </m:r>
        <m:r>
          <w:rPr>
            <w:rFonts w:ascii="Cambria Math" w:eastAsiaTheme="minorEastAsia" w:hAnsi="Cambria Math"/>
          </w:rPr>
          <m:t>=-5</m:t>
        </m:r>
        <m:r>
          <w:rPr>
            <w:rFonts w:ascii="Cambria Math" w:eastAsiaTheme="minorEastAsia" w:hAnsi="Cambria Math"/>
          </w:rPr>
          <m:t>,δ</m:t>
        </m:r>
        <m:r>
          <w:rPr>
            <w:rFonts w:ascii="Cambria Math" w:eastAsiaTheme="minorEastAsia" w:hAnsi="Cambria Math"/>
          </w:rPr>
          <m:t>=0.5</m:t>
        </m:r>
        <m:r>
          <w:rPr>
            <w:rFonts w:ascii="Cambria Math" w:eastAsiaTheme="minorEastAsia" w:hAnsi="Cambria Math"/>
          </w:rPr>
          <m:t>, r</m:t>
        </m:r>
        <m:r>
          <w:rPr>
            <w:rFonts w:ascii="Cambria Math" w:eastAsiaTheme="minorEastAsia" w:hAnsi="Cambria Math"/>
          </w:rPr>
          <m:t>=0.05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=0.02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=K=100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T=0.5</m:t>
        </m:r>
      </m:oMath>
      <w:r w:rsidR="00702147">
        <w:rPr>
          <w:rFonts w:eastAsiaTheme="minorEastAsia"/>
        </w:rPr>
        <w:t>.</w:t>
      </w:r>
      <w:r w:rsidR="00F64C98">
        <w:rPr>
          <w:rFonts w:eastAsiaTheme="minorEastAsia"/>
        </w:rPr>
        <w:t xml:space="preserve"> </w:t>
      </w:r>
      <w:r w:rsidR="00DB1730">
        <w:rPr>
          <w:rFonts w:eastAsiaTheme="minorEastAsia"/>
        </w:rPr>
        <w:t xml:space="preserve"> </w:t>
      </w:r>
      <w:r w:rsidR="00DB1730">
        <w:rPr>
          <w:rFonts w:eastAsiaTheme="minorEastAsia"/>
        </w:rPr>
        <w:br/>
      </w:r>
      <w:r w:rsidR="00DA4ADF">
        <w:rPr>
          <w:rFonts w:eastAsiaTheme="minorEastAsia"/>
        </w:rPr>
        <w:br/>
      </w:r>
      <w:r w:rsidR="00164D81">
        <w:rPr>
          <w:rFonts w:eastAsiaTheme="minorEastAsia"/>
        </w:rPr>
        <w:t xml:space="preserve">The price of the option at </w:t>
      </w:r>
      <m:oMath>
        <m:r>
          <w:rPr>
            <w:rFonts w:ascii="Cambria Math" w:eastAsiaTheme="minorEastAsia" w:hAnsi="Cambria Math"/>
          </w:rPr>
          <m:t>t=0</m:t>
        </m:r>
      </m:oMath>
      <w:r w:rsidR="00164D81">
        <w:rPr>
          <w:rFonts w:eastAsiaTheme="minorEastAsia"/>
        </w:rPr>
        <w:t xml:space="preserve"> can be calculated as: </w:t>
      </w:r>
    </w:p>
    <w:p w14:paraId="7D38C068" w14:textId="77777777" w:rsidR="00927C53" w:rsidRPr="00927C53" w:rsidRDefault="00164D81" w:rsidP="005630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-rT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53ED25B" w14:textId="31DBFD0C" w:rsidR="00326DC3" w:rsidRPr="00927C53" w:rsidRDefault="00DB1730" w:rsidP="0056306A">
      <w:pPr>
        <w:rPr>
          <w:rFonts w:eastAsiaTheme="minorEastAsia"/>
        </w:rPr>
      </w:pPr>
      <w:r>
        <w:rPr>
          <w:rFonts w:eastAsiaTheme="minorEastAsia"/>
        </w:rPr>
        <w:t>w</w:t>
      </w:r>
      <w:r w:rsidR="00CC341A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759EB">
        <w:rPr>
          <w:rFonts w:eastAsiaTheme="minorEastAsia"/>
        </w:rPr>
        <w:t xml:space="preserve"> is a </w:t>
      </w:r>
      <m:oMath>
        <m:r>
          <m:rPr>
            <m:sty m:val="p"/>
          </m:rPr>
          <w:rPr>
            <w:rFonts w:ascii="Cambria Math" w:hAnsi="Cambria Math" w:cstheme="minorHAnsi"/>
          </w:rPr>
          <m:t>L</m:t>
        </m:r>
        <m:acc>
          <m:accPr>
            <m:chr m:val="́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vy</m:t>
        </m:r>
      </m:oMath>
      <w:r w:rsidR="00C37EA6">
        <w:rPr>
          <w:rFonts w:eastAsiaTheme="minorEastAsia"/>
        </w:rPr>
        <w:t xml:space="preserve"> </w:t>
      </w:r>
      <w:r w:rsidR="00F759EB">
        <w:rPr>
          <w:rFonts w:eastAsiaTheme="minorEastAsia"/>
        </w:rPr>
        <w:t xml:space="preserve">process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(0,</m:t>
            </m:r>
            <m:r>
              <w:rPr>
                <w:rFonts w:ascii="Cambria Math" w:eastAsiaTheme="minorEastAsia" w:hAnsi="Cambria Math"/>
              </w:rPr>
              <m:t>K/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)</m:t>
        </m:r>
        <w:bookmarkStart w:id="0" w:name="_GoBack"/>
        <w:bookmarkEnd w:id="0"/>
        <m:r>
          <w:rPr>
            <w:rFonts w:ascii="Cambria Math" w:eastAsiaTheme="minorEastAsia" w:hAnsi="Cambria Math"/>
          </w:rPr>
          <m:t>.</m:t>
        </m:r>
      </m:oMath>
      <w:r w:rsidR="00337D7B">
        <w:rPr>
          <w:rFonts w:eastAsiaTheme="minorEastAsia"/>
        </w:rPr>
        <w:t xml:space="preserve"> </w:t>
      </w:r>
    </w:p>
    <w:p w14:paraId="04A895B7" w14:textId="456D82C6" w:rsidR="006D7341" w:rsidRDefault="006121E6" w:rsidP="00DA4AD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Using the inputs above, we computed the value of the option, $6.25836. We compared this </w:t>
      </w:r>
      <w:r w:rsidR="000100F0">
        <w:rPr>
          <w:rFonts w:eastAsiaTheme="minorEastAsia"/>
        </w:rPr>
        <w:t xml:space="preserve">with the Black-Scholes model for a European option </w:t>
      </w:r>
      <w:r w:rsidR="00F235EB">
        <w:rPr>
          <w:rFonts w:eastAsiaTheme="minorEastAsia"/>
        </w:rPr>
        <w:t>in the “</w:t>
      </w:r>
      <w:proofErr w:type="spellStart"/>
      <w:r w:rsidR="000100F0">
        <w:rPr>
          <w:rFonts w:eastAsiaTheme="minorEastAsia"/>
        </w:rPr>
        <w:t>RQuantLib</w:t>
      </w:r>
      <w:proofErr w:type="spellEnd"/>
      <w:r w:rsidR="00F235EB">
        <w:rPr>
          <w:rFonts w:eastAsiaTheme="minorEastAsia"/>
        </w:rPr>
        <w:t xml:space="preserve">” package: </w:t>
      </w:r>
    </w:p>
    <w:p w14:paraId="71C3BB81" w14:textId="34423052" w:rsidR="0056306A" w:rsidRDefault="006D7341" w:rsidP="006D734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A449BF1" wp14:editId="245657B2">
            <wp:extent cx="2239896" cy="3908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861" cy="4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FCFF" w14:textId="1655538C" w:rsidR="00326DC3" w:rsidRPr="00927C53" w:rsidRDefault="00927C53" w:rsidP="0056306A">
      <w:pPr>
        <w:rPr>
          <w:rFonts w:eastAsiaTheme="minorEastAsia"/>
          <w:sz w:val="20"/>
          <w:szCs w:val="20"/>
        </w:rPr>
      </w:pPr>
      <w:r w:rsidRPr="00927C53">
        <w:rPr>
          <w:rFonts w:eastAsiaTheme="minorEastAsia"/>
          <w:sz w:val="20"/>
          <w:szCs w:val="20"/>
        </w:rPr>
        <w:br/>
      </w:r>
    </w:p>
    <w:p w14:paraId="0B7D6F25" w14:textId="50F02F19" w:rsidR="0056306A" w:rsidRDefault="00AC5F3F" w:rsidP="0056306A">
      <w:pPr>
        <w:rPr>
          <w:rFonts w:eastAsiaTheme="minorEastAsia"/>
        </w:rPr>
      </w:pPr>
      <w:r w:rsidRPr="00D16136">
        <w:rPr>
          <w:b/>
          <w:sz w:val="24"/>
        </w:rPr>
        <w:t>Algorithm 2: Inverse Fourier Transform</w:t>
      </w:r>
    </w:p>
    <w:p w14:paraId="0086FF34" w14:textId="7DAA36EE" w:rsidR="008F342A" w:rsidRPr="00D16136" w:rsidRDefault="00EE0994" w:rsidP="00B21B73">
      <w:pPr>
        <w:ind w:firstLine="720"/>
        <w:rPr>
          <w:b/>
          <w:sz w:val="24"/>
        </w:rPr>
      </w:pPr>
      <w:r>
        <w:rPr>
          <w:rFonts w:eastAsiaTheme="minorEastAsia"/>
        </w:rPr>
        <w:t xml:space="preserve">The second option pricing model is an implementation of the </w:t>
      </w:r>
      <w:r w:rsidR="0078462A">
        <w:rPr>
          <w:rFonts w:eastAsiaTheme="minorEastAsia"/>
        </w:rPr>
        <w:t xml:space="preserve">inverse transform method </w:t>
      </w:r>
      <w:r w:rsidR="006F2A8A">
        <w:rPr>
          <w:rFonts w:eastAsiaTheme="minorEastAsia"/>
        </w:rPr>
        <w:t xml:space="preserve">from tabulated probabilities </w:t>
      </w:r>
      <w:r w:rsidR="00BB2F65">
        <w:rPr>
          <w:rFonts w:eastAsiaTheme="minorEastAsia"/>
        </w:rPr>
        <w:t>which, depending on the desired accuracy required,</w:t>
      </w:r>
      <w:r w:rsidR="00F276F7">
        <w:rPr>
          <w:rFonts w:eastAsiaTheme="minorEastAsia"/>
        </w:rPr>
        <w:t xml:space="preserve"> could be multiple times faster than the normal inverse gaussian process. </w:t>
      </w:r>
    </w:p>
    <w:p w14:paraId="4783A94E" w14:textId="57F006D0" w:rsidR="00BF6DD9" w:rsidRDefault="00D8628F" w:rsidP="00B21B73">
      <w:r>
        <w:t xml:space="preserve">Note </w:t>
      </w:r>
      <w:proofErr w:type="spellStart"/>
      <w:r>
        <w:t>t</w:t>
      </w:r>
      <w:r w:rsidR="008F342A">
        <w:t>Input</w:t>
      </w:r>
      <w:proofErr w:type="spellEnd"/>
      <w:r w:rsidR="008F342A">
        <w:t xml:space="preserve"> </w:t>
      </w:r>
      <w:r w:rsidR="00B21B73">
        <w:t>parameters are t</w:t>
      </w:r>
      <w:r w:rsidR="008F342A">
        <w:t xml:space="preserve">aken from Section 6.1, pg. 22 of </w:t>
      </w:r>
      <w:r w:rsidR="0016170A">
        <w:t>Feng</w:t>
      </w:r>
      <w:r w:rsidR="00F95C16">
        <w:t>’s paper</w:t>
      </w:r>
      <w:r w:rsidR="008F342A">
        <w:t>.</w:t>
      </w:r>
    </w:p>
    <w:p w14:paraId="5C6E48DA" w14:textId="2B723CB9" w:rsidR="00A3329E" w:rsidRDefault="0024043F" w:rsidP="00D8628F">
      <w:pPr>
        <w:ind w:firstLine="720"/>
        <w:rPr>
          <w:rFonts w:eastAsiaTheme="minorEastAsia"/>
        </w:rPr>
      </w:pPr>
      <w:r>
        <w:t>First, we begin by</w:t>
      </w:r>
      <w:r w:rsidR="00A26D69">
        <w:t xml:space="preserve"> initializing arrays for the </w:t>
      </w:r>
      <w:r w:rsidR="00EA6A95">
        <w:t>list</w:t>
      </w:r>
      <w:r w:rsidR="00A3329E">
        <w:t>s of variables</w:t>
      </w:r>
      <w:r w:rsidR="00587326">
        <w:t xml:space="preserve"> </w:t>
      </w:r>
      <m:oMath>
        <m:r>
          <w:rPr>
            <w:rFonts w:ascii="Cambria Math" w:hAnsi="Cambria Math"/>
          </w:rPr>
          <m:t>χ</m:t>
        </m:r>
      </m:oMath>
      <w:r w:rsidR="005729B5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A3329E">
        <w:rPr>
          <w:rFonts w:eastAsiaTheme="minorEastAsia"/>
        </w:rPr>
        <w:t>.</w:t>
      </w:r>
      <w:r w:rsidR="00D8628F">
        <w:rPr>
          <w:rFonts w:eastAsiaTheme="minorEastAsia"/>
        </w:rPr>
        <w:t xml:space="preserve"> </w:t>
      </w:r>
      <w:r w:rsidR="00A3329E">
        <w:rPr>
          <w:rFonts w:eastAsiaTheme="minorEastAsia"/>
        </w:rPr>
        <w:t xml:space="preserve">Brute-Force-Search is used in place of the binary search </w:t>
      </w:r>
      <w:r w:rsidR="00516C32">
        <w:rPr>
          <w:rFonts w:eastAsiaTheme="minorEastAsia"/>
        </w:rPr>
        <w:t xml:space="preserve">originally </w:t>
      </w:r>
      <w:r w:rsidR="00A3329E">
        <w:rPr>
          <w:rFonts w:eastAsiaTheme="minorEastAsia"/>
        </w:rPr>
        <w:t xml:space="preserve">prescribed in </w:t>
      </w:r>
      <w:r w:rsidR="00516C32">
        <w:rPr>
          <w:rFonts w:eastAsiaTheme="minorEastAsia"/>
        </w:rPr>
        <w:t>Section 3.1. This can be seen in the function template</w:t>
      </w:r>
      <w:r w:rsidR="00B8148B">
        <w:rPr>
          <w:rFonts w:eastAsiaTheme="minorEastAsia"/>
        </w:rPr>
        <w:t xml:space="preserve">s for chi and </w:t>
      </w:r>
      <w:proofErr w:type="spellStart"/>
      <w:r w:rsidR="00B8148B">
        <w:rPr>
          <w:rFonts w:eastAsiaTheme="minorEastAsia"/>
        </w:rPr>
        <w:t>Fhat</w:t>
      </w:r>
      <w:proofErr w:type="spellEnd"/>
      <w:r w:rsidR="00B8148B">
        <w:rPr>
          <w:rFonts w:eastAsiaTheme="minorEastAsia"/>
        </w:rPr>
        <w:t>.</w:t>
      </w:r>
    </w:p>
    <w:p w14:paraId="5B3CA8AA" w14:textId="075EE81E" w:rsidR="00F276F7" w:rsidRDefault="00401C92" w:rsidP="00D8628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There are two more function templates that </w:t>
      </w:r>
      <w:r w:rsidR="00A04607">
        <w:rPr>
          <w:rFonts w:eastAsiaTheme="minorEastAsia"/>
        </w:rPr>
        <w:t>build the foundation for this algorithm. The first, “</w:t>
      </w:r>
      <w:proofErr w:type="spellStart"/>
      <w:r w:rsidR="00A04607">
        <w:rPr>
          <w:rFonts w:eastAsiaTheme="minorEastAsia"/>
        </w:rPr>
        <w:t>Fhat</w:t>
      </w:r>
      <w:proofErr w:type="spellEnd"/>
      <w:r w:rsidR="00A04607">
        <w:rPr>
          <w:rFonts w:eastAsiaTheme="minorEastAsia"/>
        </w:rPr>
        <w:t xml:space="preserve"> Distribution Function”, is the direct implementation of the </w:t>
      </w:r>
      <w:r w:rsidR="009922F6">
        <w:rPr>
          <w:rFonts w:eastAsiaTheme="minorEastAsia"/>
        </w:rPr>
        <w:t xml:space="preserve">distribution in equation 3.12 on pg. 8 of Feng’s paper. The second, termed “Inverse Transform Function”, </w:t>
      </w:r>
      <w:r w:rsidR="003A18ED">
        <w:rPr>
          <w:rFonts w:eastAsiaTheme="minorEastAsia"/>
        </w:rPr>
        <w:t xml:space="preserve">implements the approximation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(U)</m:t>
        </m:r>
      </m:oMath>
      <w:r w:rsidR="007723D6">
        <w:rPr>
          <w:rFonts w:eastAsiaTheme="minorEastAsia"/>
        </w:rPr>
        <w:t xml:space="preserve"> on pg. 8 of the paper</w:t>
      </w:r>
      <w:r w:rsidR="00D8628F">
        <w:rPr>
          <w:rFonts w:eastAsiaTheme="minorEastAsia"/>
        </w:rPr>
        <w:t>:</w:t>
      </w:r>
    </w:p>
    <w:p w14:paraId="121A2F21" w14:textId="042B3517" w:rsidR="00535BE1" w:rsidRDefault="00326DC3" w:rsidP="00927C53">
      <w:pPr>
        <w:spacing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7C10AA0" wp14:editId="0FC170B3">
            <wp:extent cx="2063900" cy="5093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28" cy="5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319" w14:textId="77777777" w:rsidR="0016170A" w:rsidRDefault="00A254AE" w:rsidP="00FA7C9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This</w:t>
      </w:r>
      <w:r w:rsidR="00CC4028">
        <w:rPr>
          <w:rFonts w:eastAsiaTheme="minorEastAsia"/>
        </w:rPr>
        <w:t xml:space="preserve"> performs the inverse transform function for each generated U between 0 and 1, utilizing brute-force search to find </w:t>
      </w:r>
      <m:oMath>
        <m:r>
          <w:rPr>
            <w:rFonts w:ascii="Cambria Math" w:eastAsiaTheme="minorEastAsia" w:hAnsi="Cambria Math"/>
          </w:rPr>
          <m:t>0≤k≤K-1</m:t>
        </m:r>
      </m:oMath>
      <w:r w:rsidR="00CC4028">
        <w:rPr>
          <w:rFonts w:eastAsiaTheme="minorEastAsia"/>
        </w:rPr>
        <w:t xml:space="preserve"> so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≤U&lt;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16170A">
        <w:rPr>
          <w:rFonts w:eastAsiaTheme="minorEastAsia"/>
        </w:rPr>
        <w:t>:</w:t>
      </w:r>
    </w:p>
    <w:p w14:paraId="6A05CD25" w14:textId="7BF7B8FC" w:rsidR="00D16136" w:rsidRPr="00D67CD5" w:rsidRDefault="0016170A" w:rsidP="0016170A">
      <w:pPr>
        <w:spacing w:line="240" w:lineRule="auto"/>
        <w:jc w:val="center"/>
        <w:rPr>
          <w:sz w:val="6"/>
          <w:szCs w:val="6"/>
        </w:rPr>
      </w:pPr>
      <w:r>
        <w:rPr>
          <w:noProof/>
        </w:rPr>
        <w:drawing>
          <wp:inline distT="0" distB="0" distL="0" distR="0" wp14:anchorId="698092C1" wp14:editId="642A98F2">
            <wp:extent cx="4238522" cy="73766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089" cy="7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CD5">
        <w:rPr>
          <w:rFonts w:eastAsiaTheme="minorEastAsia"/>
        </w:rPr>
        <w:br/>
      </w:r>
    </w:p>
    <w:p w14:paraId="4A6B4E3E" w14:textId="0B05D019" w:rsidR="003B009F" w:rsidRDefault="009622AC" w:rsidP="009622AC">
      <w:pPr>
        <w:jc w:val="center"/>
      </w:pPr>
      <w:r>
        <w:rPr>
          <w:noProof/>
        </w:rPr>
        <w:drawing>
          <wp:inline distT="0" distB="0" distL="0" distR="0" wp14:anchorId="75989FA9" wp14:editId="5E54181F">
            <wp:extent cx="4356848" cy="59075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636" cy="6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003B" w14:textId="4ABEC19F" w:rsidR="00297EB7" w:rsidRPr="00185313" w:rsidRDefault="00297EB7" w:rsidP="00FA7C95">
      <w:pPr>
        <w:rPr>
          <w:sz w:val="2"/>
          <w:szCs w:val="2"/>
        </w:rPr>
      </w:pPr>
    </w:p>
    <w:p w14:paraId="651E9397" w14:textId="71691A8B" w:rsidR="00574AE4" w:rsidRPr="00C00837" w:rsidRDefault="00E641C1" w:rsidP="00C00837">
      <w:pPr>
        <w:ind w:firstLine="720"/>
      </w:pPr>
      <w:r>
        <w:t>The Inverse Transform algorithm begins with its parameters on line 102</w:t>
      </w:r>
      <w:r w:rsidR="00CE04F2">
        <w:t>; these parameters are taken from Section 6.1 on pg. 22 of Feng’s paper.</w:t>
      </w:r>
      <w:r w:rsidR="00EE486C">
        <w:t xml:space="preserve"> In computing the European put price, there are two formulas used. The first method uses the formula for “European Vanilla Put Options” given in Section 5.4, pg. 19 of Feng’s paper</w:t>
      </w:r>
      <w:r w:rsidR="00D10572">
        <w:t xml:space="preserve"> (note the max function</w:t>
      </w:r>
      <w:r w:rsidR="00C00837">
        <w:t xml:space="preserve"> </w:t>
      </w:r>
      <m:oMath>
        <m:r>
          <w:rPr>
            <w:rFonts w:ascii="Cambria Math" w:hAnsi="Cambria Math"/>
          </w:rPr>
          <m:t>=</m:t>
        </m:r>
      </m:oMath>
      <w:r w:rsidR="00D10572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strike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</m:func>
      </m:oMath>
      <w:r w:rsidR="00EE486C">
        <w:t>. The second method uses the more general</w:t>
      </w:r>
      <w:r w:rsidR="00C00837">
        <w:t>,</w:t>
      </w:r>
      <w:r w:rsidR="00B529BE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0,strike-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p>
                </m:sSup>
              </m:e>
            </m:d>
          </m:e>
        </m:func>
        <m:r>
          <w:rPr>
            <w:rFonts w:ascii="Cambria Math" w:hAnsi="Cambria Math"/>
          </w:rPr>
          <m:t>.</m:t>
        </m:r>
      </m:oMath>
      <w:r w:rsidR="00B529BE">
        <w:rPr>
          <w:rFonts w:eastAsiaTheme="minorEastAsia"/>
        </w:rPr>
        <w:t xml:space="preserve"> </w:t>
      </w:r>
    </w:p>
    <w:p w14:paraId="3606073A" w14:textId="4DD0FA49" w:rsidR="00297EB7" w:rsidRDefault="00B529BE" w:rsidP="00574AE4">
      <w:r>
        <w:rPr>
          <w:rFonts w:eastAsiaTheme="minorEastAsia"/>
        </w:rPr>
        <w:t xml:space="preserve">The </w:t>
      </w:r>
      <w:r w:rsidR="00574AE4">
        <w:rPr>
          <w:rFonts w:eastAsiaTheme="minorEastAsia"/>
        </w:rPr>
        <w:t xml:space="preserve">computed option prices are averaged over the number of </w:t>
      </w:r>
      <w:proofErr w:type="spellStart"/>
      <w:r w:rsidR="00574AE4">
        <w:rPr>
          <w:rFonts w:eastAsiaTheme="minorEastAsia"/>
        </w:rPr>
        <w:t>MonteCarlo</w:t>
      </w:r>
      <w:proofErr w:type="spellEnd"/>
      <w:r w:rsidR="00574AE4">
        <w:rPr>
          <w:rFonts w:eastAsiaTheme="minorEastAsia"/>
        </w:rPr>
        <w:t xml:space="preserve"> iterations and an example output is shown below:</w:t>
      </w:r>
    </w:p>
    <w:p w14:paraId="5CFC5EF1" w14:textId="01B4CDF4" w:rsidR="006E3733" w:rsidRDefault="00990FFC" w:rsidP="009622AC">
      <w:pPr>
        <w:jc w:val="center"/>
      </w:pPr>
      <w:r>
        <w:rPr>
          <w:noProof/>
        </w:rPr>
        <w:drawing>
          <wp:inline distT="0" distB="0" distL="0" distR="0" wp14:anchorId="75B7E80A" wp14:editId="104DC656">
            <wp:extent cx="1994007" cy="36926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3903" cy="4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9D2" w14:textId="1ADFDD08" w:rsidR="00297EB7" w:rsidRDefault="00574AE4" w:rsidP="006D7341">
      <w:r>
        <w:t>Note that both prices converge to a value of $4.</w:t>
      </w:r>
      <w:r w:rsidR="00990FFC">
        <w:t>58</w:t>
      </w:r>
      <w:r>
        <w:t xml:space="preserve"> for the European put option. This is extremely close to the $4.58</w:t>
      </w:r>
      <w:r w:rsidR="007A482F">
        <w:t>9</w:t>
      </w:r>
      <w:r w:rsidR="000E3156">
        <w:t xml:space="preserve"> value of Feng’s implementation (</w:t>
      </w:r>
      <w:r w:rsidR="008A7421">
        <w:t>listed on pg. 24).</w:t>
      </w:r>
    </w:p>
    <w:p w14:paraId="192F3587" w14:textId="118ED2EB" w:rsidR="00FE2354" w:rsidRDefault="00FE2354" w:rsidP="006D7341"/>
    <w:p w14:paraId="2F3E3140" w14:textId="0FF85C34" w:rsidR="00535BE1" w:rsidRPr="00535BE1" w:rsidRDefault="00535BE1" w:rsidP="006D7341">
      <w:pPr>
        <w:rPr>
          <w:b/>
          <w:sz w:val="24"/>
        </w:rPr>
      </w:pPr>
      <w:r w:rsidRPr="00535BE1">
        <w:rPr>
          <w:b/>
          <w:sz w:val="24"/>
        </w:rPr>
        <w:t>Final Thoughts</w:t>
      </w:r>
    </w:p>
    <w:p w14:paraId="088805DB" w14:textId="5CB56CD5" w:rsidR="00FE2354" w:rsidRDefault="00FE2354" w:rsidP="006D7341">
      <w:pPr>
        <w:rPr>
          <w:noProof/>
        </w:rPr>
      </w:pPr>
      <w:r>
        <w:t xml:space="preserve">We are currently working on making </w:t>
      </w:r>
      <w:r w:rsidR="00DA4ADF">
        <w:t xml:space="preserve">both </w:t>
      </w:r>
      <w:r>
        <w:t xml:space="preserve">algorithms available in a package format, which can be downloaded, used, and improved by </w:t>
      </w:r>
      <w:r w:rsidR="00F96146">
        <w:t>the community.</w:t>
      </w:r>
      <w:r>
        <w:t xml:space="preserve"> </w:t>
      </w:r>
    </w:p>
    <w:sectPr w:rsidR="00FE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C4A42" w14:textId="77777777" w:rsidR="0030771F" w:rsidRDefault="0030771F" w:rsidP="0030771F">
      <w:pPr>
        <w:spacing w:after="0" w:line="240" w:lineRule="auto"/>
      </w:pPr>
      <w:r>
        <w:separator/>
      </w:r>
    </w:p>
  </w:endnote>
  <w:endnote w:type="continuationSeparator" w:id="0">
    <w:p w14:paraId="0E9AB46B" w14:textId="77777777" w:rsidR="0030771F" w:rsidRDefault="0030771F" w:rsidP="0030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FF182" w14:textId="77777777" w:rsidR="0030771F" w:rsidRDefault="0030771F" w:rsidP="0030771F">
      <w:pPr>
        <w:spacing w:after="0" w:line="240" w:lineRule="auto"/>
      </w:pPr>
      <w:r>
        <w:separator/>
      </w:r>
    </w:p>
  </w:footnote>
  <w:footnote w:type="continuationSeparator" w:id="0">
    <w:p w14:paraId="564697FF" w14:textId="77777777" w:rsidR="0030771F" w:rsidRDefault="0030771F" w:rsidP="0030771F">
      <w:pPr>
        <w:spacing w:after="0" w:line="240" w:lineRule="auto"/>
      </w:pPr>
      <w:r>
        <w:continuationSeparator/>
      </w:r>
    </w:p>
  </w:footnote>
  <w:footnote w:id="1">
    <w:p w14:paraId="3755EB84" w14:textId="7353A02D" w:rsidR="002D0C45" w:rsidRDefault="002D0C45">
      <w:pPr>
        <w:pStyle w:val="FootnoteText"/>
      </w:pPr>
      <w:r>
        <w:rPr>
          <w:rStyle w:val="FootnoteReference"/>
        </w:rPr>
        <w:footnoteRef/>
      </w:r>
      <w:r>
        <w:t xml:space="preserve"> University of Illinois at Urbana-Champaign</w:t>
      </w:r>
      <w:r w:rsidR="0008480B">
        <w:t xml:space="preserve">, </w:t>
      </w:r>
      <w:r>
        <w:t>M.S. Financial Engineering</w:t>
      </w:r>
    </w:p>
  </w:footnote>
  <w:footnote w:id="2">
    <w:p w14:paraId="62E8C336" w14:textId="1F93B105" w:rsidR="0008480B" w:rsidRDefault="0008480B">
      <w:pPr>
        <w:pStyle w:val="FootnoteText"/>
      </w:pPr>
      <w:r>
        <w:rPr>
          <w:rStyle w:val="FootnoteReference"/>
        </w:rPr>
        <w:footnoteRef/>
      </w:r>
      <w:r>
        <w:t xml:space="preserve"> University of Illinois at Chicago, Finance</w:t>
      </w:r>
    </w:p>
  </w:footnote>
  <w:footnote w:id="3">
    <w:p w14:paraId="3C239486" w14:textId="727E5F9D" w:rsidR="0041601A" w:rsidRPr="00FE0A36" w:rsidRDefault="0041601A" w:rsidP="00FE0A36">
      <w:pPr>
        <w:pStyle w:val="Footer"/>
        <w:rPr>
          <w:sz w:val="20"/>
        </w:rPr>
      </w:pPr>
      <w:r w:rsidRPr="00FE0A36">
        <w:rPr>
          <w:rStyle w:val="FootnoteReference"/>
          <w:sz w:val="20"/>
        </w:rPr>
        <w:footnoteRef/>
      </w:r>
      <w:r w:rsidRPr="00FE0A36">
        <w:rPr>
          <w:sz w:val="20"/>
        </w:rPr>
        <w:t xml:space="preserve"> Feng, Liming, et al. “Simulating </w:t>
      </w:r>
      <m:oMath>
        <m:r>
          <m:rPr>
            <m:sty m:val="p"/>
          </m:rPr>
          <w:rPr>
            <w:rFonts w:ascii="Cambria Math" w:hAnsi="Cambria Math" w:cstheme="minorHAnsi"/>
            <w:sz w:val="20"/>
          </w:rPr>
          <m:t>L</m:t>
        </m:r>
        <m:acc>
          <m:accPr>
            <m:chr m:val="́"/>
            <m:ctrlPr>
              <w:rPr>
                <w:rFonts w:ascii="Cambria Math" w:hAnsi="Cambria Math" w:cstheme="minorHAnsi"/>
                <w:sz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</w:rPr>
              <m:t>e</m:t>
            </m:r>
          </m:e>
        </m:acc>
        <m:r>
          <m:rPr>
            <m:sty m:val="p"/>
          </m:rPr>
          <w:rPr>
            <w:rFonts w:ascii="Cambria Math" w:hAnsi="Cambria Math" w:cstheme="minorHAnsi"/>
            <w:sz w:val="20"/>
          </w:rPr>
          <m:t>vy</m:t>
        </m:r>
      </m:oMath>
      <w:r w:rsidRPr="00FE0A36">
        <w:rPr>
          <w:sz w:val="20"/>
        </w:rPr>
        <w:t xml:space="preserve"> Processes from Their Characteristic Functions and Financial Applications.” University of Illinois, 30 July 2011.</w:t>
      </w:r>
    </w:p>
  </w:footnote>
  <w:footnote w:id="4">
    <w:p w14:paraId="2CECD098" w14:textId="1682390F" w:rsidR="00377623" w:rsidRDefault="00377623">
      <w:pPr>
        <w:pStyle w:val="FootnoteText"/>
      </w:pPr>
      <w:r>
        <w:rPr>
          <w:rStyle w:val="FootnoteReference"/>
        </w:rPr>
        <w:footnoteRef/>
      </w:r>
      <w:r w:rsidR="00FE0A36">
        <w:t xml:space="preserve"> </w:t>
      </w:r>
      <w:proofErr w:type="spellStart"/>
      <w:r w:rsidR="00FE0A36">
        <w:t>Glasserman</w:t>
      </w:r>
      <w:proofErr w:type="spellEnd"/>
      <w:r w:rsidR="00FE0A36">
        <w:t>, Paul</w:t>
      </w:r>
      <w:r w:rsidR="00841262">
        <w:t>. “</w:t>
      </w:r>
      <w:r w:rsidR="00FE0A36" w:rsidRPr="00FE0A36">
        <w:t>Monte Carlo Methods in Financial Engineering</w:t>
      </w:r>
      <w:r w:rsidR="00841262">
        <w:t xml:space="preserve">.” </w:t>
      </w:r>
      <w:r w:rsidR="00FE0A36" w:rsidRPr="00FE0A36">
        <w:t>Springer-Verlag, 2003.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3F99"/>
    <w:multiLevelType w:val="hybridMultilevel"/>
    <w:tmpl w:val="9D5C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16A5"/>
    <w:multiLevelType w:val="hybridMultilevel"/>
    <w:tmpl w:val="0310D150"/>
    <w:lvl w:ilvl="0" w:tplc="9D3C7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C4410"/>
    <w:multiLevelType w:val="hybridMultilevel"/>
    <w:tmpl w:val="24C6069A"/>
    <w:lvl w:ilvl="0" w:tplc="B37419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3C1D"/>
    <w:multiLevelType w:val="hybridMultilevel"/>
    <w:tmpl w:val="BD864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E42B4"/>
    <w:multiLevelType w:val="hybridMultilevel"/>
    <w:tmpl w:val="4BE4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9F"/>
    <w:rsid w:val="000100F0"/>
    <w:rsid w:val="00035AF4"/>
    <w:rsid w:val="00042080"/>
    <w:rsid w:val="000442F3"/>
    <w:rsid w:val="00052DE4"/>
    <w:rsid w:val="00061C5E"/>
    <w:rsid w:val="00072E92"/>
    <w:rsid w:val="00077C96"/>
    <w:rsid w:val="0008480B"/>
    <w:rsid w:val="00085A9F"/>
    <w:rsid w:val="000A0EEB"/>
    <w:rsid w:val="000B3EF2"/>
    <w:rsid w:val="000E0338"/>
    <w:rsid w:val="000E3156"/>
    <w:rsid w:val="000F72B2"/>
    <w:rsid w:val="00123836"/>
    <w:rsid w:val="0016170A"/>
    <w:rsid w:val="00164D81"/>
    <w:rsid w:val="00170282"/>
    <w:rsid w:val="00185313"/>
    <w:rsid w:val="001A7226"/>
    <w:rsid w:val="001B0564"/>
    <w:rsid w:val="001D1652"/>
    <w:rsid w:val="001D53E6"/>
    <w:rsid w:val="0024043F"/>
    <w:rsid w:val="00247980"/>
    <w:rsid w:val="002878B0"/>
    <w:rsid w:val="00297EB7"/>
    <w:rsid w:val="002D0C45"/>
    <w:rsid w:val="0030699E"/>
    <w:rsid w:val="0030771F"/>
    <w:rsid w:val="00326DC3"/>
    <w:rsid w:val="003356B5"/>
    <w:rsid w:val="00337D7B"/>
    <w:rsid w:val="0034305C"/>
    <w:rsid w:val="00377623"/>
    <w:rsid w:val="003A18ED"/>
    <w:rsid w:val="003B009F"/>
    <w:rsid w:val="003B5FDB"/>
    <w:rsid w:val="003C3567"/>
    <w:rsid w:val="003E47D8"/>
    <w:rsid w:val="00401C92"/>
    <w:rsid w:val="0041425B"/>
    <w:rsid w:val="0041601A"/>
    <w:rsid w:val="00430083"/>
    <w:rsid w:val="00437332"/>
    <w:rsid w:val="00440F01"/>
    <w:rsid w:val="00454715"/>
    <w:rsid w:val="00485ACC"/>
    <w:rsid w:val="00486DBD"/>
    <w:rsid w:val="00496044"/>
    <w:rsid w:val="004A1E42"/>
    <w:rsid w:val="00516C32"/>
    <w:rsid w:val="00525099"/>
    <w:rsid w:val="00535BE1"/>
    <w:rsid w:val="00537953"/>
    <w:rsid w:val="0054754C"/>
    <w:rsid w:val="0056306A"/>
    <w:rsid w:val="00566302"/>
    <w:rsid w:val="00570BA7"/>
    <w:rsid w:val="005729B5"/>
    <w:rsid w:val="00574AE4"/>
    <w:rsid w:val="00587326"/>
    <w:rsid w:val="005A4207"/>
    <w:rsid w:val="005C54A8"/>
    <w:rsid w:val="006033F9"/>
    <w:rsid w:val="00604864"/>
    <w:rsid w:val="00607AF6"/>
    <w:rsid w:val="006121E6"/>
    <w:rsid w:val="006248B6"/>
    <w:rsid w:val="00662575"/>
    <w:rsid w:val="00685E0B"/>
    <w:rsid w:val="006C2B08"/>
    <w:rsid w:val="006D7341"/>
    <w:rsid w:val="006E3733"/>
    <w:rsid w:val="006F2A8A"/>
    <w:rsid w:val="006F5F89"/>
    <w:rsid w:val="00702147"/>
    <w:rsid w:val="00702F22"/>
    <w:rsid w:val="0074492C"/>
    <w:rsid w:val="00770A07"/>
    <w:rsid w:val="007723D6"/>
    <w:rsid w:val="0078206F"/>
    <w:rsid w:val="0078462A"/>
    <w:rsid w:val="00792217"/>
    <w:rsid w:val="0079565A"/>
    <w:rsid w:val="007A26EC"/>
    <w:rsid w:val="007A482F"/>
    <w:rsid w:val="007E604A"/>
    <w:rsid w:val="00841262"/>
    <w:rsid w:val="00863D5B"/>
    <w:rsid w:val="00873E43"/>
    <w:rsid w:val="0087779E"/>
    <w:rsid w:val="008A1688"/>
    <w:rsid w:val="008A6D54"/>
    <w:rsid w:val="008A7421"/>
    <w:rsid w:val="008C1DC6"/>
    <w:rsid w:val="008D4206"/>
    <w:rsid w:val="008D42BC"/>
    <w:rsid w:val="008D5743"/>
    <w:rsid w:val="008F342A"/>
    <w:rsid w:val="008F41BC"/>
    <w:rsid w:val="00917ACB"/>
    <w:rsid w:val="00927C53"/>
    <w:rsid w:val="009418A7"/>
    <w:rsid w:val="009622AC"/>
    <w:rsid w:val="00982A73"/>
    <w:rsid w:val="00990FFC"/>
    <w:rsid w:val="009922F6"/>
    <w:rsid w:val="009A2681"/>
    <w:rsid w:val="009B2E45"/>
    <w:rsid w:val="009C4F40"/>
    <w:rsid w:val="009D089E"/>
    <w:rsid w:val="009F6534"/>
    <w:rsid w:val="00A04607"/>
    <w:rsid w:val="00A11566"/>
    <w:rsid w:val="00A138D0"/>
    <w:rsid w:val="00A254AE"/>
    <w:rsid w:val="00A26D69"/>
    <w:rsid w:val="00A3329E"/>
    <w:rsid w:val="00A34C1A"/>
    <w:rsid w:val="00A72751"/>
    <w:rsid w:val="00A90208"/>
    <w:rsid w:val="00A936CA"/>
    <w:rsid w:val="00AC0606"/>
    <w:rsid w:val="00AC5F3F"/>
    <w:rsid w:val="00AD14D8"/>
    <w:rsid w:val="00AD3816"/>
    <w:rsid w:val="00AE7DD1"/>
    <w:rsid w:val="00AF5CF4"/>
    <w:rsid w:val="00B12D45"/>
    <w:rsid w:val="00B21B73"/>
    <w:rsid w:val="00B31154"/>
    <w:rsid w:val="00B41142"/>
    <w:rsid w:val="00B529BE"/>
    <w:rsid w:val="00B8148B"/>
    <w:rsid w:val="00B93A63"/>
    <w:rsid w:val="00BA2DBB"/>
    <w:rsid w:val="00BB2F65"/>
    <w:rsid w:val="00BF6DD9"/>
    <w:rsid w:val="00C00837"/>
    <w:rsid w:val="00C013D4"/>
    <w:rsid w:val="00C37EA6"/>
    <w:rsid w:val="00C4619E"/>
    <w:rsid w:val="00C651B0"/>
    <w:rsid w:val="00C719CF"/>
    <w:rsid w:val="00C72D5B"/>
    <w:rsid w:val="00C91FA1"/>
    <w:rsid w:val="00CB4662"/>
    <w:rsid w:val="00CC341A"/>
    <w:rsid w:val="00CC4028"/>
    <w:rsid w:val="00CD646C"/>
    <w:rsid w:val="00CE04F2"/>
    <w:rsid w:val="00CE663F"/>
    <w:rsid w:val="00CF75FE"/>
    <w:rsid w:val="00D10572"/>
    <w:rsid w:val="00D16136"/>
    <w:rsid w:val="00D208C1"/>
    <w:rsid w:val="00D37F12"/>
    <w:rsid w:val="00D43794"/>
    <w:rsid w:val="00D67CD5"/>
    <w:rsid w:val="00D83BA9"/>
    <w:rsid w:val="00D8628F"/>
    <w:rsid w:val="00DA2B2D"/>
    <w:rsid w:val="00DA4ADF"/>
    <w:rsid w:val="00DB1730"/>
    <w:rsid w:val="00DB3E6D"/>
    <w:rsid w:val="00DD306A"/>
    <w:rsid w:val="00DD6CED"/>
    <w:rsid w:val="00DE192A"/>
    <w:rsid w:val="00DF4950"/>
    <w:rsid w:val="00E504D7"/>
    <w:rsid w:val="00E641C1"/>
    <w:rsid w:val="00E66C92"/>
    <w:rsid w:val="00E83F2E"/>
    <w:rsid w:val="00EA59F2"/>
    <w:rsid w:val="00EA6A95"/>
    <w:rsid w:val="00EE0994"/>
    <w:rsid w:val="00EE486C"/>
    <w:rsid w:val="00F235EB"/>
    <w:rsid w:val="00F276F7"/>
    <w:rsid w:val="00F41160"/>
    <w:rsid w:val="00F64C98"/>
    <w:rsid w:val="00F759EB"/>
    <w:rsid w:val="00F76438"/>
    <w:rsid w:val="00F95C16"/>
    <w:rsid w:val="00F96146"/>
    <w:rsid w:val="00FA1582"/>
    <w:rsid w:val="00FA7C95"/>
    <w:rsid w:val="00FD2491"/>
    <w:rsid w:val="00FE0A36"/>
    <w:rsid w:val="00FE2354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F8C"/>
  <w15:chartTrackingRefBased/>
  <w15:docId w15:val="{AE051990-07EB-4952-A3C3-DA5CEAE5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0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356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936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71F"/>
  </w:style>
  <w:style w:type="paragraph" w:styleId="Footer">
    <w:name w:val="footer"/>
    <w:basedOn w:val="Normal"/>
    <w:link w:val="FooterChar"/>
    <w:uiPriority w:val="99"/>
    <w:unhideWhenUsed/>
    <w:rsid w:val="0030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71F"/>
  </w:style>
  <w:style w:type="paragraph" w:styleId="EndnoteText">
    <w:name w:val="endnote text"/>
    <w:basedOn w:val="Normal"/>
    <w:link w:val="EndnoteTextChar"/>
    <w:uiPriority w:val="99"/>
    <w:semiHidden/>
    <w:unhideWhenUsed/>
    <w:rsid w:val="00982A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2A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2A7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2D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D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D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1868591A-6770-49EA-834E-912828304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Joey |</dc:creator>
  <cp:keywords/>
  <dc:description/>
  <cp:lastModifiedBy>| Joey |</cp:lastModifiedBy>
  <cp:revision>116</cp:revision>
  <cp:lastPrinted>2019-03-02T02:06:00Z</cp:lastPrinted>
  <dcterms:created xsi:type="dcterms:W3CDTF">2019-03-01T23:38:00Z</dcterms:created>
  <dcterms:modified xsi:type="dcterms:W3CDTF">2019-03-02T02:24:00Z</dcterms:modified>
</cp:coreProperties>
</file>