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1B3949" w14:textId="2AC67C5A" w:rsidR="00B366F9" w:rsidRDefault="00C12DE4" w:rsidP="00C12DE4">
      <w:pPr>
        <w:pStyle w:val="Heading1"/>
        <w:jc w:val="both"/>
      </w:pPr>
      <w:r>
        <w:rPr>
          <w:noProof/>
          <w:lang w:eastAsia="en-GB"/>
        </w:rPr>
        <w:drawing>
          <wp:anchor distT="0" distB="0" distL="114300" distR="114300" simplePos="0" relativeHeight="251659264" behindDoc="0" locked="0" layoutInCell="1" allowOverlap="0" wp14:anchorId="181D1232" wp14:editId="684B45ED">
            <wp:simplePos x="0" y="0"/>
            <wp:positionH relativeFrom="column">
              <wp:posOffset>-65405</wp:posOffset>
            </wp:positionH>
            <wp:positionV relativeFrom="paragraph">
              <wp:posOffset>118745</wp:posOffset>
            </wp:positionV>
            <wp:extent cx="5934075" cy="3822065"/>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mers_jalv87.png"/>
                    <pic:cNvPicPr/>
                  </pic:nvPicPr>
                  <pic:blipFill>
                    <a:blip r:embed="rId5">
                      <a:extLst>
                        <a:ext uri="{28A0092B-C50C-407E-A947-70E740481C1C}">
                          <a14:useLocalDpi xmlns:a14="http://schemas.microsoft.com/office/drawing/2010/main" val="0"/>
                        </a:ext>
                      </a:extLst>
                    </a:blip>
                    <a:stretch>
                      <a:fillRect/>
                    </a:stretch>
                  </pic:blipFill>
                  <pic:spPr>
                    <a:xfrm>
                      <a:off x="0" y="0"/>
                      <a:ext cx="5934075" cy="3822065"/>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p>
    <w:p w14:paraId="077E00D3" w14:textId="794F77FE" w:rsidR="00B366F9" w:rsidRPr="00C12DE4" w:rsidRDefault="00C12DE4" w:rsidP="00B366F9">
      <w:pPr>
        <w:jc w:val="both"/>
        <w:rPr>
          <w:b/>
        </w:rPr>
      </w:pPr>
      <w:r w:rsidRPr="00C12DE4">
        <w:rPr>
          <w:b/>
        </w:rPr>
        <w:t>Supplementary figure 1.</w:t>
      </w:r>
      <w:r>
        <w:rPr>
          <w:b/>
        </w:rPr>
        <w:t xml:space="preserve"> </w:t>
      </w:r>
      <w:r w:rsidR="00B366F9" w:rsidRPr="00B366F9">
        <w:rPr>
          <w:iCs/>
        </w:rPr>
        <w:t xml:space="preserve">Sequence matches in Ensembl v87 for the qRT-PCR primers used for DTU validation by Deng et al. </w:t>
      </w:r>
      <w:r w:rsidR="00B366F9" w:rsidRPr="00B366F9">
        <w:rPr>
          <w:iCs/>
        </w:rPr>
        <w:fldChar w:fldCharType="begin" w:fldLock="1"/>
      </w:r>
      <w:r w:rsidR="00B366F9">
        <w:rPr>
          <w:iCs/>
        </w:rPr>
        <w:instrText>ADDIN CSL_CITATION { "citationItems" : [ { "id" : "ITEM-1", "itemData" : { "DOI" : "10.1371/journal.pone.0068352", "ISSN" : "1932-6203", "abstract" : "Idiopathic pulmonary fibrosis (IPF) is an interstitial lung disease of unknown cause that lacks a proven therapy for altering its high mortality rate. Microarrays have been employed to investigate the pathogenesis of IPF, but are presented mostly at the gene-expression level due to technologic limitations. In as much as, alternative RNA splicing isoforms are increasingly identified as potential regulators of human diseases, including IPF, we propose a new approach with the capacity to detect splicing variants using RNA-seq data. We conducted a joint analysis of differential expression and differential splicing on annotated human genes and isoforms, and identified 122 non-differentially expressed genes with a high degree of \u201cswitch\u201d between major and minor isoforms. Three cases with variant mechanisms for alternative splicing were validated using qRT-PCR, among the group of genes in which expression was not significantly changed at the gene level. We also identified 35 novel transcripts that were unique to the fibrotic lungs using exon-exon junction evidence, and selected a representative for qRT-PCR validation. The results of our study are likely to provide new insight into the pathogenesis of pulmonary fibrosis and may eventuate in new treatment targets.", "author" : [ { "dropping-particle" : "", "family" : "Deng", "given" : "N", "non-dropping-particle" : "", "parse-names" : false, "suffix" : "" }, { "dropping-particle" : "", "family" : "Sanchez", "given" : "C G", "non-dropping-particle" : "", "parse-names" : false, "suffix" : "" }, { "dropping-particle" : "", "family" : "Lasky", "given" : "J A", "non-dropping-particle" : "", "parse-names" : false, "suffix" : "" }, { "dropping-particle" : "", "family" : "Zhu", "given" : "D", "non-dropping-particle" : "", "parse-names" : false, "suffix" : "" } ], "container-title" : "PLoS ONE", "editor" : [ { "dropping-particle" : "", "family" : "Colombo", "given" : "Gualtiero", "non-dropping-particle" : "", "parse-names" : false, "suffix" : "" } ], "id" : "ITEM-1", "issue" : "7", "issued" : { "date-parts" : [ [ "2013", "7", "2" ] ] }, "page" : "e68352", "title" : "Detecting Splicing Variants in Idiopathic Pulmonary Fibrosis from Non-Differentially Expressed Genes", "type" : "article-journal", "volume" : "8" }, "uris" : [ "http://www.mendeley.com/documents/?uuid=80320056-2a67-4129-9c34-0f59ddf939ef" ] } ], "mendeley" : { "formattedCitation" : "(Deng &lt;i&gt;et al.&lt;/i&gt;, 2013)", "plainTextFormattedCitation" : "(Deng et al., 2013)", "previouslyFormattedCitation" : "(Deng &lt;i&gt;et al.&lt;/i&gt;, 2013)" }, "properties" : { "noteIndex" : 0 }, "schema" : "https://github.com/citation-style-language/schema/raw/master/csl-citation.json" }</w:instrText>
      </w:r>
      <w:r w:rsidR="00B366F9" w:rsidRPr="00B366F9">
        <w:rPr>
          <w:iCs/>
        </w:rPr>
        <w:fldChar w:fldCharType="separate"/>
      </w:r>
      <w:r w:rsidR="00B366F9" w:rsidRPr="00B366F9">
        <w:rPr>
          <w:iCs/>
          <w:noProof/>
        </w:rPr>
        <w:t>(Deng et al., 2013)</w:t>
      </w:r>
      <w:r w:rsidR="00B366F9" w:rsidRPr="00B366F9">
        <w:rPr>
          <w:iCs/>
        </w:rPr>
        <w:fldChar w:fldCharType="end"/>
      </w:r>
      <w:r w:rsidR="00B366F9" w:rsidRPr="00B366F9">
        <w:rPr>
          <w:iCs/>
        </w:rPr>
        <w:t>. The primers were designed based on Ensembl v60. Despite being well designed within the context of Ensembl v60, it is clear in the new annotation that the primers target more transcripts than originally expected</w:t>
      </w:r>
      <w:r>
        <w:rPr>
          <w:iCs/>
        </w:rPr>
        <w:t>, in a way that makes it impossible to interpret the measurements from CMTM4 and TOM1L1</w:t>
      </w:r>
      <w:r w:rsidR="00B366F9" w:rsidRPr="00B366F9">
        <w:rPr>
          <w:iCs/>
        </w:rPr>
        <w:t xml:space="preserve">. The red brackets indicate the pairs of forward and reverse primers. The dark blue vertical lines indicate portions of the sequence that have been hidden for convenient viewing of the relevant segments. The sequence in black background is the genomic sequence. The primer matches in the isoforms are highlighted in light blue. The alignments were visualized with Jalview </w:t>
      </w:r>
      <w:r w:rsidR="00B366F9" w:rsidRPr="00B366F9">
        <w:rPr>
          <w:iCs/>
        </w:rPr>
        <w:fldChar w:fldCharType="begin" w:fldLock="1"/>
      </w:r>
      <w:r w:rsidR="00B366F9">
        <w:rPr>
          <w:iCs/>
        </w:rPr>
        <w:instrText>ADDIN CSL_CITATION { "citationItems" : [ { "id" : "ITEM-1", "itemData" : { "DOI" : "10.1093/bioinformatics/btp033", "ISBN" : "1367-4803", "ISSN" : "13674803", "PMID" : "19151095", "abstract" :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 Availability: The Jalview 2 Desktop application and JalviewLite applet are made freely available under the GPL, and can be downloaded from www.jalview.org.", "author" : [ { "dropping-particle" : "", "family" : "Waterhouse", "given" : "Andrew M.", "non-dropping-particle" : "", "parse-names" : false, "suffix" : "" }, { "dropping-particle" : "", "family" : "Procter", "given" : "James B.", "non-dropping-particle" : "", "parse-names" : false, "suffix" : "" }, { "dropping-particle" : "", "family" : "Martin", "given" : "David M A", "non-dropping-particle" : "", "parse-names" : false, "suffix" : "" }, { "dropping-particle" : "", "family" : "Clamp", "given" : "Mich\u00e8le", "non-dropping-particle" : "", "parse-names" : false, "suffix" : "" }, { "dropping-particle" : "", "family" : "Barton", "given" : "Geoffrey J.", "non-dropping-particle" : "", "parse-names" : false, "suffix" : "" } ], "container-title" : "Bioinformatics", "id" : "ITEM-1", "issue" : "9", "issued" : { "date-parts" : [ [ "2009" ] ] }, "page" : "1189-1191", "title" : "Jalview Version 2-A multiple sequence alignment editor and analysis workbench", "type" : "article-journal", "volume" : "25" }, "uris" : [ "http://www.mendeley.com/documents/?uuid=22caaf11-b869-4083-b257-3421e9c6ca06" ] } ], "mendeley" : { "formattedCitation" : "(Waterhouse &lt;i&gt;et al.&lt;/i&gt;, 2009)", "plainTextFormattedCitation" : "(Waterhouse et al., 2009)", "previouslyFormattedCitation" : "(Waterhouse &lt;i&gt;et al.&lt;/i&gt;, 2009)" }, "properties" : { "noteIndex" : 0 }, "schema" : "https://github.com/citation-style-language/schema/raw/master/csl-citation.json" }</w:instrText>
      </w:r>
      <w:r w:rsidR="00B366F9" w:rsidRPr="00B366F9">
        <w:rPr>
          <w:iCs/>
        </w:rPr>
        <w:fldChar w:fldCharType="separate"/>
      </w:r>
      <w:r w:rsidR="00B366F9" w:rsidRPr="00B366F9">
        <w:rPr>
          <w:iCs/>
          <w:noProof/>
        </w:rPr>
        <w:t>(Waterhouse et al., 2009)</w:t>
      </w:r>
      <w:r w:rsidR="00B366F9" w:rsidRPr="00B366F9">
        <w:rPr>
          <w:iCs/>
        </w:rPr>
        <w:fldChar w:fldCharType="end"/>
      </w:r>
      <w:r w:rsidR="00B366F9" w:rsidRPr="00B366F9">
        <w:rPr>
          <w:iCs/>
        </w:rPr>
        <w:t>.</w:t>
      </w:r>
    </w:p>
    <w:p w14:paraId="5B7164E8" w14:textId="77777777" w:rsidR="00B366F9" w:rsidRDefault="00B366F9" w:rsidP="00B366F9">
      <w:pPr>
        <w:jc w:val="both"/>
      </w:pPr>
    </w:p>
    <w:p w14:paraId="28390BBF" w14:textId="77777777" w:rsidR="00B366F9" w:rsidRDefault="00B366F9" w:rsidP="00B366F9">
      <w:pPr>
        <w:jc w:val="both"/>
      </w:pPr>
    </w:p>
    <w:p w14:paraId="6855D809" w14:textId="77777777" w:rsidR="0067427A" w:rsidRDefault="0067427A" w:rsidP="0067427A">
      <w:pPr>
        <w:pStyle w:val="Heading1"/>
      </w:pPr>
      <w:r>
        <w:t>References</w:t>
      </w:r>
    </w:p>
    <w:p w14:paraId="7FFA73B6" w14:textId="77777777" w:rsidR="0067427A" w:rsidRPr="0067427A" w:rsidRDefault="0067427A" w:rsidP="0067427A"/>
    <w:p w14:paraId="37132579" w14:textId="0B4F510B" w:rsidR="00C12DE4" w:rsidRPr="00C12DE4" w:rsidRDefault="0067427A" w:rsidP="00C12DE4">
      <w:pPr>
        <w:widowControl w:val="0"/>
        <w:autoSpaceDE w:val="0"/>
        <w:autoSpaceDN w:val="0"/>
        <w:adjustRightInd w:val="0"/>
        <w:ind w:left="480" w:hanging="480"/>
        <w:rPr>
          <w:rFonts w:ascii="Calibri" w:eastAsia="Times New Roman" w:hAnsi="Calibri" w:cs="Times New Roman"/>
          <w:noProof/>
        </w:rPr>
      </w:pPr>
      <w:r>
        <w:fldChar w:fldCharType="begin" w:fldLock="1"/>
      </w:r>
      <w:r>
        <w:instrText xml:space="preserve">ADDIN Mendeley Bibliography CSL_BIBLIOGRAPHY </w:instrText>
      </w:r>
      <w:r>
        <w:fldChar w:fldCharType="separate"/>
      </w:r>
      <w:r w:rsidR="00C12DE4" w:rsidRPr="00C12DE4">
        <w:rPr>
          <w:rFonts w:ascii="Calibri" w:eastAsia="Times New Roman" w:hAnsi="Calibri" w:cs="Times New Roman"/>
          <w:noProof/>
        </w:rPr>
        <w:t xml:space="preserve">Deng,N. </w:t>
      </w:r>
      <w:r w:rsidR="00C12DE4" w:rsidRPr="00C12DE4">
        <w:rPr>
          <w:rFonts w:ascii="Calibri" w:eastAsia="Times New Roman" w:hAnsi="Calibri" w:cs="Times New Roman"/>
          <w:i/>
          <w:iCs/>
          <w:noProof/>
        </w:rPr>
        <w:t>et al.</w:t>
      </w:r>
      <w:r w:rsidR="00C12DE4" w:rsidRPr="00C12DE4">
        <w:rPr>
          <w:rFonts w:ascii="Calibri" w:eastAsia="Times New Roman" w:hAnsi="Calibri" w:cs="Times New Roman"/>
          <w:noProof/>
        </w:rPr>
        <w:t xml:space="preserve"> (2013) Detecting Splicing Variants in Idiopathic Pulmonary Fibrosis from Non-Differentially Expressed Genes. </w:t>
      </w:r>
      <w:r w:rsidR="00C12DE4" w:rsidRPr="00C12DE4">
        <w:rPr>
          <w:rFonts w:ascii="Calibri" w:eastAsia="Times New Roman" w:hAnsi="Calibri" w:cs="Times New Roman"/>
          <w:i/>
          <w:iCs/>
          <w:noProof/>
        </w:rPr>
        <w:t>PLoS One</w:t>
      </w:r>
      <w:r w:rsidR="00C12DE4" w:rsidRPr="00C12DE4">
        <w:rPr>
          <w:rFonts w:ascii="Calibri" w:eastAsia="Times New Roman" w:hAnsi="Calibri" w:cs="Times New Roman"/>
          <w:noProof/>
        </w:rPr>
        <w:t xml:space="preserve">, </w:t>
      </w:r>
      <w:r w:rsidR="00C12DE4" w:rsidRPr="00C12DE4">
        <w:rPr>
          <w:rFonts w:ascii="Calibri" w:eastAsia="Times New Roman" w:hAnsi="Calibri" w:cs="Times New Roman"/>
          <w:b/>
          <w:bCs/>
          <w:noProof/>
        </w:rPr>
        <w:t>8</w:t>
      </w:r>
      <w:r w:rsidR="00C12DE4" w:rsidRPr="00C12DE4">
        <w:rPr>
          <w:rFonts w:ascii="Calibri" w:eastAsia="Times New Roman" w:hAnsi="Calibri" w:cs="Times New Roman"/>
          <w:noProof/>
        </w:rPr>
        <w:t>, e68352.</w:t>
      </w:r>
    </w:p>
    <w:p w14:paraId="74917556" w14:textId="77777777" w:rsidR="00C12DE4" w:rsidRPr="00C12DE4" w:rsidRDefault="00C12DE4" w:rsidP="00C12DE4">
      <w:pPr>
        <w:widowControl w:val="0"/>
        <w:autoSpaceDE w:val="0"/>
        <w:autoSpaceDN w:val="0"/>
        <w:adjustRightInd w:val="0"/>
        <w:ind w:left="480" w:hanging="480"/>
        <w:rPr>
          <w:rFonts w:ascii="Calibri" w:hAnsi="Calibri"/>
          <w:noProof/>
        </w:rPr>
      </w:pPr>
      <w:r w:rsidRPr="00C12DE4">
        <w:rPr>
          <w:rFonts w:ascii="Calibri" w:eastAsia="Times New Roman" w:hAnsi="Calibri" w:cs="Times New Roman"/>
          <w:noProof/>
        </w:rPr>
        <w:t xml:space="preserve">Waterhouse,A.M. </w:t>
      </w:r>
      <w:r w:rsidRPr="00C12DE4">
        <w:rPr>
          <w:rFonts w:ascii="Calibri" w:eastAsia="Times New Roman" w:hAnsi="Calibri" w:cs="Times New Roman"/>
          <w:i/>
          <w:iCs/>
          <w:noProof/>
        </w:rPr>
        <w:t>et al.</w:t>
      </w:r>
      <w:r w:rsidRPr="00C12DE4">
        <w:rPr>
          <w:rFonts w:ascii="Calibri" w:eastAsia="Times New Roman" w:hAnsi="Calibri" w:cs="Times New Roman"/>
          <w:noProof/>
        </w:rPr>
        <w:t xml:space="preserve"> (2009) Jalview Version 2-A multiple sequence alignment editor and analysis workbench. </w:t>
      </w:r>
      <w:r w:rsidRPr="00C12DE4">
        <w:rPr>
          <w:rFonts w:ascii="Calibri" w:eastAsia="Times New Roman" w:hAnsi="Calibri" w:cs="Times New Roman"/>
          <w:i/>
          <w:iCs/>
          <w:noProof/>
        </w:rPr>
        <w:t>Bioinformatics</w:t>
      </w:r>
      <w:r w:rsidRPr="00C12DE4">
        <w:rPr>
          <w:rFonts w:ascii="Calibri" w:eastAsia="Times New Roman" w:hAnsi="Calibri" w:cs="Times New Roman"/>
          <w:noProof/>
        </w:rPr>
        <w:t xml:space="preserve">, </w:t>
      </w:r>
      <w:r w:rsidRPr="00C12DE4">
        <w:rPr>
          <w:rFonts w:ascii="Calibri" w:eastAsia="Times New Roman" w:hAnsi="Calibri" w:cs="Times New Roman"/>
          <w:b/>
          <w:bCs/>
          <w:noProof/>
        </w:rPr>
        <w:t>25</w:t>
      </w:r>
      <w:r w:rsidRPr="00C12DE4">
        <w:rPr>
          <w:rFonts w:ascii="Calibri" w:eastAsia="Times New Roman" w:hAnsi="Calibri" w:cs="Times New Roman"/>
          <w:noProof/>
        </w:rPr>
        <w:t>, 1189–1191.</w:t>
      </w:r>
    </w:p>
    <w:p w14:paraId="45F49D43" w14:textId="78BB4A59" w:rsidR="0067427A" w:rsidRPr="00B366F9" w:rsidRDefault="0067427A" w:rsidP="00C12DE4">
      <w:pPr>
        <w:widowControl w:val="0"/>
        <w:autoSpaceDE w:val="0"/>
        <w:autoSpaceDN w:val="0"/>
        <w:adjustRightInd w:val="0"/>
        <w:ind w:left="480" w:hanging="480"/>
      </w:pPr>
      <w:r>
        <w:fldChar w:fldCharType="end"/>
      </w:r>
    </w:p>
    <w:sectPr w:rsidR="0067427A" w:rsidRPr="00B366F9" w:rsidSect="00DE7AD4">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607"/>
    <w:rsid w:val="000260C6"/>
    <w:rsid w:val="000C71EC"/>
    <w:rsid w:val="000D2E25"/>
    <w:rsid w:val="00154810"/>
    <w:rsid w:val="001E2CCD"/>
    <w:rsid w:val="00211986"/>
    <w:rsid w:val="00296635"/>
    <w:rsid w:val="0029745C"/>
    <w:rsid w:val="002A6699"/>
    <w:rsid w:val="0045535E"/>
    <w:rsid w:val="00467B91"/>
    <w:rsid w:val="004B578A"/>
    <w:rsid w:val="00534D69"/>
    <w:rsid w:val="005653EA"/>
    <w:rsid w:val="005D66D0"/>
    <w:rsid w:val="005E1B4B"/>
    <w:rsid w:val="005F3913"/>
    <w:rsid w:val="00600038"/>
    <w:rsid w:val="0067427A"/>
    <w:rsid w:val="00697607"/>
    <w:rsid w:val="006B6C4B"/>
    <w:rsid w:val="0071641C"/>
    <w:rsid w:val="007250ED"/>
    <w:rsid w:val="00795914"/>
    <w:rsid w:val="007E3D36"/>
    <w:rsid w:val="008B501C"/>
    <w:rsid w:val="008C2B3C"/>
    <w:rsid w:val="008F073F"/>
    <w:rsid w:val="009105EF"/>
    <w:rsid w:val="009A2CA2"/>
    <w:rsid w:val="009C4B3C"/>
    <w:rsid w:val="00A0412B"/>
    <w:rsid w:val="00A944F4"/>
    <w:rsid w:val="00A95DF7"/>
    <w:rsid w:val="00AB752B"/>
    <w:rsid w:val="00AD5BD1"/>
    <w:rsid w:val="00AD681B"/>
    <w:rsid w:val="00B03435"/>
    <w:rsid w:val="00B366F9"/>
    <w:rsid w:val="00B425CD"/>
    <w:rsid w:val="00B71CF9"/>
    <w:rsid w:val="00BA79DC"/>
    <w:rsid w:val="00C12DE4"/>
    <w:rsid w:val="00C56F23"/>
    <w:rsid w:val="00CD241B"/>
    <w:rsid w:val="00DE7AD4"/>
    <w:rsid w:val="00E66668"/>
    <w:rsid w:val="00E81519"/>
    <w:rsid w:val="00EE0A50"/>
    <w:rsid w:val="00F31D52"/>
    <w:rsid w:val="00FD281E"/>
    <w:rsid w:val="00FE1B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465B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15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2C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4D6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51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815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5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E2C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4D6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C18454-32F1-4E41-AB23-DDE5C175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Pages>
  <Words>963</Words>
  <Characters>5490</Characters>
  <Application>Microsoft Macintosh Word</Application>
  <DocSecurity>0</DocSecurity>
  <Lines>45</Lines>
  <Paragraphs>12</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1. RATs Workflow</vt:lpstr>
      <vt:lpstr>2. Influence of RATs’ abundance threshold</vt:lpstr>
      <vt:lpstr>3. Isoform abundances for genes TOM1L1, CMTM4 and PEX11B</vt:lpstr>
      <vt:lpstr>    TOM1L1</vt:lpstr>
      <vt:lpstr>    CMTM4</vt:lpstr>
      <vt:lpstr>    PEX11B</vt:lpstr>
      <vt:lpstr>4. /Sequence matches in Ensembl v87, for primers designed based on Ensembl v60</vt:lpstr>
      <vt:lpstr>5. RATs performance with TPM abundances</vt:lpstr>
      <vt:lpstr>References</vt:lpstr>
    </vt:vector>
  </TitlesOfParts>
  <LinksUpToDate>false</LinksUpToDate>
  <CharactersWithSpaces>6441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Kimon Froussios (Staff)</dc:creator>
  <cp:keywords/>
  <dc:description/>
  <cp:lastModifiedBy>Kimon Froussios (Staff)</cp:lastModifiedBy>
  <cp:revision>21</cp:revision>
  <dcterms:created xsi:type="dcterms:W3CDTF">2017-05-03T13:00:00Z</dcterms:created>
  <dcterms:modified xsi:type="dcterms:W3CDTF">2017-11-13T16:35:00Z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bd28e61a-5f39-3481-a290-703c90ee8e4b</vt:lpwstr>
  </property>
  <property fmtid="{D5CDD505-2E9C-101B-9397-08002B2CF9AE}" pid="4" name="Mendeley Citation Style_1">
    <vt:lpwstr>http://www.zotero.org/styles/bioinformatics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http://www.zotero.org/styles/bioinformatics</vt:lpwstr>
  </property>
  <property fmtid="{D5CDD505-2E9C-101B-9397-08002B2CF9AE}" pid="12" name="Mendeley Recent Style Name 3_1">
    <vt:lpwstr>Bioinformatics</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http://csl.mendeley.com/styles/477232631/vancouver-square-brackets</vt:lpwstr>
  </property>
  <property fmtid="{D5CDD505-2E9C-101B-9397-08002B2CF9AE}" pid="24" name="Mendeley Recent Style Name 9_1">
    <vt:lpwstr>Vancouver - Kimon Froussios</vt:lpwstr>
  </property>
</Properties>
</file>