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281D12" w:rsidRDefault="00530D96" w:rsidP="00AE567F">
      <w:pPr>
        <w:pStyle w:val="Heading1"/>
        <w:spacing w:before="0"/>
        <w:rPr>
          <w:rFonts w:eastAsiaTheme="minorHAnsi" w:cs="Times New Roman"/>
          <w:i/>
          <w:color w:val="auto"/>
          <w:sz w:val="20"/>
          <w:szCs w:val="22"/>
        </w:rPr>
      </w:pPr>
      <w:r w:rsidRPr="00530D96">
        <w:rPr>
          <w:rFonts w:eastAsiaTheme="minorHAnsi" w:cs="Times New Roman"/>
          <w:i/>
          <w:color w:val="auto"/>
          <w:sz w:val="20"/>
          <w:szCs w:val="22"/>
        </w:rPr>
        <w:t>This sample is compatible with the Windows 10 Anniversary Update SDK (14393)</w:t>
      </w:r>
    </w:p>
    <w:p w:rsidR="00530D96" w:rsidRPr="00530D96" w:rsidRDefault="00530D96" w:rsidP="00530D96"/>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w:t>
      </w:r>
      <w:proofErr w:type="spellStart"/>
      <w:r w:rsidRPr="006712ED">
        <w:rPr>
          <w:rFonts w:cs="Segoe UI"/>
        </w:rPr>
        <w:t>Lambertian</w:t>
      </w:r>
      <w:proofErr w:type="spellEnd"/>
      <w:r w:rsidRPr="006712ED">
        <w:rPr>
          <w:rFonts w:cs="Segoe UI"/>
        </w:rPr>
        <w:t xml:space="preserve">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bookmarkStart w:id="0" w:name="_GoBack"/>
      <w:bookmarkEnd w:id="0"/>
    </w:p>
    <w:p w:rsidR="003D3EF7" w:rsidRDefault="003D3EF7" w:rsidP="003D3EF7">
      <w:pPr>
        <w:pStyle w:val="Heading1"/>
      </w:pPr>
      <w:r>
        <w:lastRenderedPageBreak/>
        <w:t>Implementation notes</w:t>
      </w:r>
    </w:p>
    <w:p w:rsidR="00E6537C" w:rsidRDefault="00E6537C" w:rsidP="00E6537C">
      <w:pPr>
        <w:pStyle w:val="Heading2"/>
      </w:pPr>
      <w:proofErr w:type="spellStart"/>
      <w:r>
        <w:t>Shaders</w:t>
      </w:r>
      <w:proofErr w:type="spellEnd"/>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to render the scene – a vertex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two pixel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 xml:space="preserve">Pipeline State Objects for each of the </w:t>
      </w:r>
      <w:proofErr w:type="spellStart"/>
      <w:r w:rsidR="00E6537C" w:rsidRPr="00E6537C">
        <w:rPr>
          <w:rFonts w:eastAsiaTheme="minorHAnsi" w:cs="Segoe UI"/>
          <w:b w:val="0"/>
          <w:sz w:val="20"/>
          <w:szCs w:val="22"/>
        </w:rPr>
        <w:t>shader</w:t>
      </w:r>
      <w:proofErr w:type="spellEnd"/>
      <w:r w:rsidR="00E6537C" w:rsidRPr="00E6537C">
        <w:rPr>
          <w:rFonts w:eastAsiaTheme="minorHAnsi" w:cs="Segoe UI"/>
          <w:b w:val="0"/>
          <w:sz w:val="20"/>
          <w:szCs w:val="22"/>
        </w:rPr>
        <w:t xml:space="preserve"> combinations</w:t>
      </w:r>
      <w:r w:rsidRPr="00E6537C">
        <w:rPr>
          <w:rFonts w:eastAsiaTheme="minorHAnsi" w:cs="Segoe UI"/>
          <w:b w:val="0"/>
          <w:sz w:val="20"/>
          <w:szCs w:val="22"/>
        </w:rPr>
        <w:t xml:space="preserve">.  All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include this file. Each stub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xml:space="preserve">, in order to create the three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w:t>
      </w:r>
      <w:proofErr w:type="spellStart"/>
      <w:r>
        <w:t>shader</w:t>
      </w:r>
      <w:proofErr w:type="spellEnd"/>
      <w:r>
        <w:t xml:space="preserve">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w:t>
      </w:r>
      <w:proofErr w:type="spellStart"/>
      <w:r w:rsidR="00E6537C">
        <w:t>shader</w:t>
      </w:r>
      <w:proofErr w:type="spellEnd"/>
      <w:r w:rsidR="00E6537C">
        <w:t xml:space="preserve"> combination. As the name suggests, the PSO encapsulates all the pipeline state that you will need for possibly several draw calls using a particular set of </w:t>
      </w:r>
      <w:proofErr w:type="spellStart"/>
      <w:r w:rsidR="00E6537C">
        <w:t>shaders</w:t>
      </w:r>
      <w:proofErr w:type="spellEnd"/>
      <w:r w:rsidR="00E6537C">
        <w:t xml:space="preserve">. The PSO </w:t>
      </w:r>
      <w:r>
        <w:t xml:space="preserve">combines a root signature, </w:t>
      </w:r>
      <w:proofErr w:type="spellStart"/>
      <w:r>
        <w:t>shaders</w:t>
      </w:r>
      <w:proofErr w:type="spellEnd"/>
      <w:r>
        <w:t xml:space="preserve">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w:t>
      </w:r>
      <w:proofErr w:type="spellStart"/>
      <w:r w:rsidR="00D368AE">
        <w:t>shader</w:t>
      </w:r>
      <w:proofErr w:type="spellEnd"/>
      <w:r w:rsidR="00D368AE">
        <w:t xml:space="preserve"> for the sample needs only a single structure for the </w:t>
      </w:r>
      <w:proofErr w:type="spellStart"/>
      <w:r w:rsidR="00D368AE">
        <w:t>shader</w:t>
      </w:r>
      <w:proofErr w:type="spellEnd"/>
      <w:r w:rsidR="00D368AE">
        <w:t xml:space="preserve">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proofErr w:type="gramStart"/>
      <w:r w:rsidR="00AA1D44">
        <w:rPr>
          <w:rFonts w:eastAsiaTheme="minorHAnsi" w:cs="Times New Roman"/>
          <w:b w:val="0"/>
          <w:sz w:val="20"/>
          <w:szCs w:val="22"/>
        </w:rPr>
        <w:t>Sample::</w:t>
      </w:r>
      <w:proofErr w:type="spellStart"/>
      <w:proofErr w:type="gramEnd"/>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 xml:space="preserve">Once the buffers for the geometry are create, the sample can create a D3D12_VERTEX_BUFFER_VIEW for the vertices and a D3D12_INDEX_BUFFER_VIEW for the indices. The views are used in </w:t>
      </w:r>
      <w:proofErr w:type="gramStart"/>
      <w:r>
        <w:t>Sample::</w:t>
      </w:r>
      <w:proofErr w:type="gramEnd"/>
      <w:r>
        <w:t>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proofErr w:type="spellStart"/>
      <w:r w:rsidR="00AA1D44">
        <w:t>Shader</w:t>
      </w:r>
      <w:proofErr w:type="spellEnd"/>
      <w:r w:rsidR="00AA1D44">
        <w:t xml:space="preserve"> Constants</w:t>
      </w:r>
    </w:p>
    <w:p w:rsidR="00172679" w:rsidRPr="00AD6789" w:rsidRDefault="00AA1D44" w:rsidP="00AA1D44">
      <w:pPr>
        <w:rPr>
          <w:rFonts w:cs="Segoe UI"/>
        </w:rPr>
      </w:pPr>
      <w:r>
        <w:t>F</w:t>
      </w:r>
      <w:r w:rsidR="00172679">
        <w:rPr>
          <w:rFonts w:cs="Segoe UI"/>
        </w:rPr>
        <w:t xml:space="preserve">or this very simple scene, all the </w:t>
      </w:r>
      <w:proofErr w:type="spellStart"/>
      <w:r w:rsidR="00172679">
        <w:rPr>
          <w:rFonts w:cs="Segoe UI"/>
        </w:rPr>
        <w:t>shader</w:t>
      </w:r>
      <w:proofErr w:type="spellEnd"/>
      <w:r w:rsidR="00172679">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w:t>
      </w:r>
      <w:proofErr w:type="spellStart"/>
      <w:r w:rsidR="008F18B8">
        <w:rPr>
          <w:rFonts w:cs="Segoe UI"/>
        </w:rPr>
        <w:t>shader</w:t>
      </w:r>
      <w:proofErr w:type="spellEnd"/>
      <w:r w:rsidR="008F18B8">
        <w:rPr>
          <w:rFonts w:cs="Segoe UI"/>
        </w:rPr>
        <w:t xml:space="preserve">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w:t>
      </w:r>
      <w:proofErr w:type="spellStart"/>
      <w:r w:rsidR="00D368AE">
        <w:rPr>
          <w:rFonts w:cs="Segoe UI"/>
        </w:rPr>
        <w:t>shader</w:t>
      </w:r>
      <w:proofErr w:type="spellEnd"/>
      <w:r w:rsidR="00D368AE">
        <w:rPr>
          <w:rFonts w:cs="Segoe UI"/>
        </w:rPr>
        <w:t xml:space="preserve">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 xml:space="preserve">free buffer for the CPU to write to. All the constant buffers are stored in a single contiguous upload buffer created in </w:t>
      </w:r>
      <w:proofErr w:type="gramStart"/>
      <w:r>
        <w:rPr>
          <w:rFonts w:cs="Segoe UI"/>
        </w:rPr>
        <w:t>Sample::</w:t>
      </w:r>
      <w:proofErr w:type="spellStart"/>
      <w:proofErr w:type="gramEnd"/>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w:t>
      </w:r>
      <w:proofErr w:type="gramStart"/>
      <w:r>
        <w:rPr>
          <w:rFonts w:cs="Segoe UI"/>
        </w:rPr>
        <w:t>Sample::</w:t>
      </w:r>
      <w:proofErr w:type="gramEnd"/>
      <w:r>
        <w:rPr>
          <w:rFonts w:cs="Segoe UI"/>
        </w:rPr>
        <w:t xml:space="preserv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w:t>
      </w:r>
      <w:proofErr w:type="gramStart"/>
      <w:r w:rsidR="003A7CD3">
        <w:t>GraphicsCommandList::</w:t>
      </w:r>
      <w:proofErr w:type="spellStart"/>
      <w:proofErr w:type="gramEnd"/>
      <w:r w:rsidR="003A7CD3">
        <w:t>SetGraphicsRootConstantBufferView</w:t>
      </w:r>
      <w:proofErr w:type="spellEnd"/>
      <w:r w:rsidR="003A7CD3">
        <w:t xml:space="preserve">. The index must account for the back buffer cadence as well as the draw count. For more details please see the </w:t>
      </w:r>
      <w:proofErr w:type="gramStart"/>
      <w:r w:rsidR="003A7CD3">
        <w:t>Sample::</w:t>
      </w:r>
      <w:proofErr w:type="gramEnd"/>
      <w:r w:rsidR="003A7CD3">
        <w:t>Render implementation.</w:t>
      </w:r>
    </w:p>
    <w:p w:rsidR="003A7CD3" w:rsidRDefault="003A7CD3" w:rsidP="003A7CD3">
      <w:pPr>
        <w:pStyle w:val="Heading2"/>
      </w:pPr>
      <w:r>
        <w:t>CPU/GPU Synchronization</w:t>
      </w:r>
    </w:p>
    <w:p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3D3EF7" w:rsidRDefault="003D3EF7" w:rsidP="003D3EF7">
      <w:pPr>
        <w:pStyle w:val="Heading1"/>
      </w:pPr>
      <w:r>
        <w:t>Update history</w:t>
      </w:r>
    </w:p>
    <w:p w:rsidR="003D3EF7" w:rsidRDefault="008162BD" w:rsidP="008162BD">
      <w:r>
        <w:t>May 2016, removed all dependencies on the deprecated ATG Sample Framework.</w:t>
      </w:r>
    </w:p>
    <w:p w:rsidR="00E6537C" w:rsidRPr="00EB7866" w:rsidRDefault="00E6537C" w:rsidP="008162BD">
      <w:r>
        <w:t>June 2016, created DirectX 12 version.</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4B8" w:rsidRDefault="00FB34B8" w:rsidP="0074610F">
      <w:r>
        <w:separator/>
      </w:r>
    </w:p>
  </w:endnote>
  <w:endnote w:type="continuationSeparator" w:id="0">
    <w:p w:rsidR="00FB34B8" w:rsidRDefault="00FB34B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B2BD7">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B2BD7">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B2BD7">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4B8" w:rsidRDefault="00FB34B8" w:rsidP="0074610F">
      <w:r>
        <w:separator/>
      </w:r>
    </w:p>
  </w:footnote>
  <w:footnote w:type="continuationSeparator" w:id="0">
    <w:p w:rsidR="00FB34B8" w:rsidRDefault="00FB34B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A0"/>
    <w:rsid w:val="00097CCA"/>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F3729"/>
    <w:rsid w:val="00D04E02"/>
    <w:rsid w:val="00D368AE"/>
    <w:rsid w:val="00D6453B"/>
    <w:rsid w:val="00DC7DFC"/>
    <w:rsid w:val="00DD0606"/>
    <w:rsid w:val="00E16AF8"/>
    <w:rsid w:val="00E6273F"/>
    <w:rsid w:val="00E6537C"/>
    <w:rsid w:val="00E95FF1"/>
    <w:rsid w:val="00EE2624"/>
    <w:rsid w:val="00EF634D"/>
    <w:rsid w:val="00F40AC7"/>
    <w:rsid w:val="00F65601"/>
    <w:rsid w:val="00F70459"/>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DABF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2016-08-05T17:49:00Z</dcterms:modified>
</cp:coreProperties>
</file>