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315804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00C9B954" w14:textId="4CBAD8FE" w:rsidR="00764B3A" w:rsidRPr="00AE567F" w:rsidRDefault="001D5B03" w:rsidP="00AE567F">
      <w:pPr>
        <w:pStyle w:val="Title"/>
      </w:pPr>
      <w:r>
        <w:rPr>
          <w:lang w:val="zh-CN" w:bidi="zh-CN"/>
        </w:rPr>
        <w:t>高级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示例</w:t>
      </w:r>
    </w:p>
    <w:p w14:paraId="49858D0C" w14:textId="0BAAF861" w:rsidR="00216980" w:rsidRDefault="00914EDA" w:rsidP="00A2533D">
      <w:pPr>
        <w:rPr>
          <w:i/>
        </w:rPr>
      </w:pPr>
      <w:r w:rsidRPr="00914EDA">
        <w:rPr>
          <w:i/>
          <w:lang w:val="zh-CN" w:bidi="zh-CN"/>
        </w:rPr>
        <w:t xml:space="preserve">* * </w:t>
      </w:r>
      <w:r w:rsidRPr="00914EDA">
        <w:rPr>
          <w:i/>
          <w:lang w:val="zh-CN" w:bidi="zh-CN"/>
        </w:rPr>
        <w:t>此示例与</w:t>
      </w:r>
      <w:r w:rsidRPr="00914EDA">
        <w:rPr>
          <w:i/>
          <w:lang w:val="zh-CN" w:bidi="zh-CN"/>
        </w:rPr>
        <w:t xml:space="preserve"> 2019 </w:t>
      </w:r>
      <w:r w:rsidRPr="00914EDA">
        <w:rPr>
          <w:i/>
          <w:lang w:val="zh-CN" w:bidi="zh-CN"/>
        </w:rPr>
        <w:t>年</w:t>
      </w:r>
      <w:r w:rsidRPr="00914EDA">
        <w:rPr>
          <w:i/>
          <w:lang w:val="zh-CN" w:bidi="zh-CN"/>
        </w:rPr>
        <w:t xml:space="preserve"> 11 </w:t>
      </w:r>
      <w:r w:rsidRPr="00914EDA">
        <w:rPr>
          <w:i/>
          <w:lang w:val="zh-CN" w:bidi="zh-CN"/>
        </w:rPr>
        <w:t>月</w:t>
      </w:r>
      <w:r w:rsidRPr="00914EDA">
        <w:rPr>
          <w:i/>
          <w:lang w:val="zh-CN" w:bidi="zh-CN"/>
        </w:rPr>
        <w:t xml:space="preserve"> GXDK </w:t>
      </w:r>
      <w:r w:rsidRPr="00914EDA">
        <w:rPr>
          <w:i/>
          <w:lang w:val="zh-CN" w:bidi="zh-CN"/>
        </w:rPr>
        <w:t>兼容。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7E0C58D5" w14:textId="4DE69616" w:rsidR="00AF5148" w:rsidRDefault="00FE7931" w:rsidP="00AF5148">
      <w:r>
        <w:rPr>
          <w:lang w:val="zh-CN" w:bidi="zh-CN"/>
        </w:rPr>
        <w:t>此示例演示如何使用高级</w:t>
      </w:r>
      <w:r>
        <w:rPr>
          <w:lang w:val="zh-CN" w:bidi="zh-CN"/>
        </w:rPr>
        <w:t xml:space="preserve"> DirectX 12.x </w:t>
      </w:r>
      <w:r>
        <w:rPr>
          <w:lang w:val="zh-CN" w:bidi="zh-CN"/>
        </w:rPr>
        <w:t>内存功能来有效地别名化</w:t>
      </w:r>
      <w:r>
        <w:rPr>
          <w:lang w:val="zh-CN" w:bidi="zh-CN"/>
        </w:rPr>
        <w:t xml:space="preserve"> D3D </w:t>
      </w:r>
      <w:r>
        <w:rPr>
          <w:lang w:val="zh-CN" w:bidi="zh-CN"/>
        </w:rPr>
        <w:t>资源的内存。此示例的核心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为</w:t>
      </w:r>
      <w:r>
        <w:rPr>
          <w:lang w:val="zh-CN" w:bidi="zh-CN"/>
        </w:rPr>
        <w:t xml:space="preserve"> ID3D12CommandQueue::CopyPageMappingsX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ID3D12CommandQueue::CopyPageMappingsBatchX</w:t>
      </w:r>
      <w:r>
        <w:rPr>
          <w:lang w:val="zh-CN" w:bidi="zh-CN"/>
        </w:rPr>
        <w:t>。这些函数支持将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分页表项复制到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时间线上的</w:t>
      </w:r>
      <w:r>
        <w:rPr>
          <w:lang w:val="zh-CN" w:bidi="zh-CN"/>
        </w:rPr>
        <w:t xml:space="preserve"> GPU TLB</w:t>
      </w:r>
      <w:r>
        <w:rPr>
          <w:lang w:val="zh-CN" w:bidi="zh-CN"/>
        </w:rPr>
        <w:t>，允许将虚拟</w:t>
      </w:r>
      <w:r>
        <w:rPr>
          <w:lang w:val="zh-CN" w:bidi="zh-CN"/>
        </w:rPr>
        <w:t xml:space="preserve"> D3D </w:t>
      </w:r>
      <w:r>
        <w:rPr>
          <w:lang w:val="zh-CN" w:bidi="zh-CN"/>
        </w:rPr>
        <w:t>资源动态映射到内存页。</w:t>
      </w:r>
    </w:p>
    <w:p w14:paraId="7A43FDF8" w14:textId="77777777" w:rsidR="00AF5148" w:rsidRDefault="00AF5148" w:rsidP="005B4D35"/>
    <w:p w14:paraId="2B7C974B" w14:textId="71F7F46E" w:rsidR="009C30CA" w:rsidRDefault="007E00C6" w:rsidP="005B4D35">
      <w:r>
        <w:rPr>
          <w:lang w:val="zh-CN" w:bidi="zh-CN"/>
        </w:rPr>
        <w:t>此示例利用此功能来实现瞬态资源分配器，该资源分配器以</w:t>
      </w:r>
      <w:r>
        <w:rPr>
          <w:lang w:val="zh-CN" w:bidi="zh-CN"/>
        </w:rPr>
        <w:t xml:space="preserve"> 64 KB </w:t>
      </w:r>
      <w:r>
        <w:rPr>
          <w:lang w:val="zh-CN" w:bidi="zh-CN"/>
        </w:rPr>
        <w:t>页面粒度映射各个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DRAM </w:t>
      </w:r>
      <w:r>
        <w:rPr>
          <w:lang w:val="zh-CN" w:bidi="zh-CN"/>
        </w:rPr>
        <w:t>块。这样可以使帧的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内存使用保持最佳状态，从而可以充分利用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的全部功能。其界面反映了</w:t>
      </w:r>
      <w:r>
        <w:rPr>
          <w:lang w:val="zh-CN" w:bidi="zh-CN"/>
        </w:rPr>
        <w:t xml:space="preserve"> XG </w:t>
      </w:r>
      <w:r>
        <w:rPr>
          <w:lang w:val="zh-CN" w:bidi="zh-CN"/>
        </w:rPr>
        <w:t>内存库中</w:t>
      </w:r>
      <w:r>
        <w:rPr>
          <w:lang w:val="zh-CN" w:bidi="zh-CN"/>
        </w:rPr>
        <w:t xml:space="preserve"> XGMemoryLayout </w:t>
      </w:r>
      <w:r>
        <w:rPr>
          <w:lang w:val="zh-CN" w:bidi="zh-CN"/>
        </w:rPr>
        <w:t>的页面映射功能的重要方面。</w:t>
      </w:r>
    </w:p>
    <w:p w14:paraId="32CC0E83" w14:textId="77777777" w:rsidR="00FE7931" w:rsidRDefault="00FE7931" w:rsidP="00281D12"/>
    <w:p w14:paraId="18347199" w14:textId="333C751C" w:rsidR="00403357" w:rsidRDefault="00097E88" w:rsidP="00403357">
      <w:r>
        <w:rPr>
          <w:lang w:val="zh-CN" w:bidi="zh-CN"/>
        </w:rPr>
        <w:t>备注：</w:t>
      </w:r>
      <w:r>
        <w:rPr>
          <w:lang w:val="zh-CN" w:bidi="zh-CN"/>
        </w:rPr>
        <w:t xml:space="preserve">Xbox One X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没有</w:t>
      </w:r>
      <w:r>
        <w:rPr>
          <w:lang w:val="zh-CN" w:bidi="zh-CN"/>
        </w:rPr>
        <w:t xml:space="preserve"> ESRAM</w:t>
      </w:r>
      <w:r>
        <w:rPr>
          <w:lang w:val="zh-CN" w:bidi="zh-CN"/>
        </w:rPr>
        <w:t>。在这些平台上，此示例将在禁用所有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选项和可视化效果的情况下简单地渲染场景。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  <w:lang w:val="zh-CN" w:bidi="zh-CN"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rPr>
          <w:lang w:val="zh-CN" w:bidi="zh-CN"/>
        </w:rPr>
        <w:lastRenderedPageBreak/>
        <w:t>使用示例</w:t>
      </w:r>
    </w:p>
    <w:p w14:paraId="5584C9BF" w14:textId="015A587D" w:rsidR="0007641C" w:rsidRDefault="003F36E1" w:rsidP="009D108E">
      <w:r>
        <w:rPr>
          <w:lang w:val="zh-CN" w:bidi="zh-CN"/>
        </w:rPr>
        <w:t>该示例的主要功能允许操纵瞬态纹理资源的分配位置。帧中使用的资源适用于场景颜色、场景深度的纹理，两个用于轮廓，两个用于泛光。资源的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组合以占资源内存的百分比形式显示在最左侧。</w:t>
      </w:r>
      <w:r>
        <w:rPr>
          <w:lang w:val="zh-CN" w:bidi="zh-CN"/>
        </w:rPr>
        <w:t xml:space="preserve">ESRAM </w:t>
      </w:r>
      <w:r>
        <w:rPr>
          <w:lang w:val="zh-CN" w:bidi="zh-CN"/>
        </w:rPr>
        <w:t>布局的可视化效果可立即反馈每个纹理的</w:t>
      </w:r>
      <w:r>
        <w:rPr>
          <w:lang w:val="zh-CN" w:bidi="zh-CN"/>
        </w:rPr>
        <w:t xml:space="preserve"> ESRAM</w:t>
      </w:r>
      <w:r>
        <w:rPr>
          <w:lang w:val="zh-CN" w:bidi="zh-CN"/>
        </w:rPr>
        <w:t>和</w:t>
      </w:r>
      <w:r>
        <w:rPr>
          <w:lang w:val="zh-CN" w:bidi="zh-CN"/>
        </w:rPr>
        <w:t xml:space="preserve"> DRAM </w:t>
      </w:r>
      <w:r>
        <w:rPr>
          <w:lang w:val="zh-CN" w:bidi="zh-CN"/>
        </w:rPr>
        <w:t>组合的变化。每个资源的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占用空间沿</w:t>
      </w:r>
      <w:r>
        <w:rPr>
          <w:lang w:val="zh-CN" w:bidi="zh-CN"/>
        </w:rPr>
        <w:t xml:space="preserve"> Y </w:t>
      </w:r>
      <w:r>
        <w:rPr>
          <w:lang w:val="zh-CN" w:bidi="zh-CN"/>
        </w:rPr>
        <w:t>轴显示，而其生存期沿</w:t>
      </w:r>
      <w:r>
        <w:rPr>
          <w:lang w:val="zh-CN" w:bidi="zh-CN"/>
        </w:rPr>
        <w:t xml:space="preserve"> X </w:t>
      </w:r>
      <w:r>
        <w:rPr>
          <w:lang w:val="zh-CN" w:bidi="zh-CN"/>
        </w:rPr>
        <w:t>轴显示。可以通过按下按钮来刷新沿时间轴使用的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计时。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val="zh-CN" w:bidi="zh-CN"/>
        </w:rPr>
        <w:t>控制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将相机移向原点/远离原点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a4"/>
            </w:pPr>
            <w:r>
              <w:rPr>
                <w:lang w:val="zh-CN" w:bidi="zh-CN"/>
              </w:rPr>
              <w:t>左操纵杆向上/向下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沿轨道移动相机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a4"/>
            </w:pPr>
            <w:r>
              <w:rPr>
                <w:lang w:val="zh-CN" w:bidi="zh-CN"/>
              </w:rPr>
              <w:t>右操纵杆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zh-CN" w:bidi="zh-CN"/>
              </w:rPr>
              <w:t>重置相机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a4"/>
            </w:pPr>
            <w:r>
              <w:rPr>
                <w:lang w:val="zh-CN" w:bidi="zh-CN"/>
              </w:rPr>
              <w:t>右操纵杆（单击）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循环瞬时纹理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D-Pad 左/右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更改 ESRAM 百分比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D-Pad 向上/向下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循环突出显示的对象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左/右缓冲键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刷新时间线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zh-CN" w:bidi="zh-CN"/>
        </w:rPr>
        <w:t>实现说明</w:t>
      </w:r>
    </w:p>
    <w:p w14:paraId="10BD5F05" w14:textId="48584DAD" w:rsidR="00477F87" w:rsidRDefault="007C58D3" w:rsidP="000F5B4A">
      <w:r>
        <w:rPr>
          <w:lang w:val="zh-CN" w:bidi="zh-CN"/>
        </w:rPr>
        <w:t>将创建一个较大虚拟地址空间，用于映射从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DRAM </w:t>
      </w:r>
      <w:r>
        <w:rPr>
          <w:lang w:val="zh-CN" w:bidi="zh-CN"/>
        </w:rPr>
        <w:t>分配的</w:t>
      </w:r>
      <w:r>
        <w:rPr>
          <w:lang w:val="zh-CN" w:bidi="zh-CN"/>
        </w:rPr>
        <w:t xml:space="preserve"> 64 KB </w:t>
      </w:r>
      <w:r>
        <w:rPr>
          <w:lang w:val="zh-CN" w:bidi="zh-CN"/>
        </w:rPr>
        <w:t>内存页（页面池）块。页面池使用</w:t>
      </w:r>
      <w:r>
        <w:rPr>
          <w:lang w:val="zh-CN" w:bidi="zh-CN"/>
        </w:rPr>
        <w:t xml:space="preserve"> ID3D12Device::RegisterPagePoolX </w:t>
      </w:r>
      <w:r>
        <w:rPr>
          <w:lang w:val="zh-CN" w:bidi="zh-CN"/>
        </w:rPr>
        <w:t>在</w:t>
      </w:r>
      <w:r>
        <w:rPr>
          <w:lang w:val="zh-CN" w:bidi="zh-CN"/>
        </w:rPr>
        <w:t xml:space="preserve"> DirectX12 </w:t>
      </w:r>
      <w:r>
        <w:rPr>
          <w:lang w:val="zh-CN" w:bidi="zh-CN"/>
        </w:rPr>
        <w:t>中注册，不再使用时，将使用</w:t>
      </w:r>
      <w:r>
        <w:rPr>
          <w:lang w:val="zh-CN" w:bidi="zh-CN"/>
        </w:rPr>
        <w:t xml:space="preserve"> ID3D12Device::UnregisterPagePoolX </w:t>
      </w:r>
      <w:r>
        <w:rPr>
          <w:lang w:val="zh-CN" w:bidi="zh-CN"/>
        </w:rPr>
        <w:t>注销。此映射用于暂存</w:t>
      </w:r>
      <w:r>
        <w:rPr>
          <w:lang w:val="zh-CN" w:bidi="zh-CN"/>
        </w:rPr>
        <w:t xml:space="preserve"> CPU </w:t>
      </w:r>
      <w:r>
        <w:rPr>
          <w:lang w:val="zh-CN" w:bidi="zh-CN"/>
        </w:rPr>
        <w:t>分页表项，以便直接复制到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分页表。</w:t>
      </w:r>
    </w:p>
    <w:p w14:paraId="430A8AFA" w14:textId="77777777" w:rsidR="00477F87" w:rsidRDefault="00477F87" w:rsidP="000F5B4A"/>
    <w:p w14:paraId="0F4ACD94" w14:textId="0B9EFF2F" w:rsidR="003B01C3" w:rsidRDefault="00C12184" w:rsidP="000F5B4A">
      <w:r>
        <w:rPr>
          <w:lang w:val="zh-CN" w:bidi="zh-CN"/>
        </w:rPr>
        <w:t xml:space="preserve">ID3D12CommandQueue::CopyPageMappingsX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ID3D12CommandQueue::CopyPageMappingsBatchX </w:t>
      </w:r>
      <w:r>
        <w:rPr>
          <w:lang w:val="zh-CN" w:bidi="zh-CN"/>
        </w:rPr>
        <w:t>函数使这些页面池中的页面范围能够映射到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时间线上的指定</w:t>
      </w:r>
      <w:r>
        <w:rPr>
          <w:lang w:val="zh-CN" w:bidi="zh-CN"/>
        </w:rPr>
        <w:t xml:space="preserve"> GPU </w:t>
      </w:r>
      <w:r>
        <w:rPr>
          <w:lang w:val="zh-CN" w:bidi="zh-CN"/>
        </w:rPr>
        <w:t>虚拟地址。这使虚拟</w:t>
      </w:r>
      <w:r>
        <w:rPr>
          <w:lang w:val="zh-CN" w:bidi="zh-CN"/>
        </w:rPr>
        <w:t xml:space="preserve"> D3D </w:t>
      </w:r>
      <w:r>
        <w:rPr>
          <w:lang w:val="zh-CN" w:bidi="zh-CN"/>
        </w:rPr>
        <w:t>资源可以灵活地动态映射到</w:t>
      </w:r>
      <w:r>
        <w:rPr>
          <w:lang w:val="zh-CN" w:bidi="zh-CN"/>
        </w:rPr>
        <w:t xml:space="preserve"> 64 KB </w:t>
      </w:r>
      <w:r>
        <w:rPr>
          <w:lang w:val="zh-CN" w:bidi="zh-CN"/>
        </w:rPr>
        <w:t>物理页面。此功能使资源之间的内存别名化变得微不足道，并且乐趣无穷！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  <w:lang w:val="zh-CN" w:bidi="zh-CN"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5A893871" w:rsidR="0055245D" w:rsidRDefault="00F13E9A" w:rsidP="00542443">
      <w:pPr>
        <w:pStyle w:val="Caption"/>
      </w:pPr>
      <w:r>
        <w:rPr>
          <w:lang w:val="zh-CN" w:bidi="zh-CN"/>
        </w:rPr>
        <w:t>图</w:t>
      </w:r>
      <w:r>
        <w:rPr>
          <w:lang w:val="zh-CN" w:bidi="zh-CN"/>
        </w:rPr>
        <w:t xml:space="preserve"> </w:t>
      </w:r>
      <w:r>
        <w:rPr>
          <w:noProof/>
          <w:lang w:val="zh-CN" w:bidi="zh-CN"/>
        </w:rPr>
        <w:fldChar w:fldCharType="begin"/>
      </w:r>
      <w:r>
        <w:rPr>
          <w:noProof/>
          <w:lang w:val="zh-CN" w:bidi="zh-CN"/>
        </w:rPr>
        <w:instrText xml:space="preserve"> SEQ Figure \* ARABIC </w:instrText>
      </w:r>
      <w:r>
        <w:rPr>
          <w:noProof/>
          <w:lang w:val="zh-CN" w:bidi="zh-CN"/>
        </w:rPr>
        <w:fldChar w:fldCharType="separate"/>
      </w:r>
      <w:r w:rsidR="00270461">
        <w:rPr>
          <w:noProof/>
          <w:lang w:val="zh-CN" w:bidi="zh-CN"/>
        </w:rPr>
        <w:t>1</w:t>
      </w:r>
      <w:r>
        <w:rPr>
          <w:noProof/>
          <w:lang w:val="zh-CN" w:bidi="zh-CN"/>
        </w:rPr>
        <w:fldChar w:fldCharType="end"/>
      </w:r>
      <w:r>
        <w:rPr>
          <w:lang w:val="zh-CN" w:bidi="zh-CN"/>
        </w:rPr>
        <w:t>：示例中使用的内存映射范例。</w:t>
      </w:r>
      <w:r>
        <w:rPr>
          <w:lang w:val="zh-CN" w:bidi="zh-CN"/>
        </w:rPr>
        <w:t>ESRAM</w:t>
      </w:r>
      <w:r>
        <w:rPr>
          <w:lang w:val="zh-CN" w:bidi="zh-CN"/>
        </w:rPr>
        <w:t>（如果有）被映射到虚拟地址空间的前</w:t>
      </w:r>
      <w:r>
        <w:rPr>
          <w:lang w:val="zh-CN" w:bidi="zh-CN"/>
        </w:rPr>
        <w:t xml:space="preserve"> 32 MB</w:t>
      </w:r>
      <w:r>
        <w:rPr>
          <w:lang w:val="zh-CN" w:bidi="zh-CN"/>
        </w:rPr>
        <w:t>，同时根据需要附加</w:t>
      </w:r>
      <w:r>
        <w:rPr>
          <w:lang w:val="zh-CN" w:bidi="zh-CN"/>
        </w:rPr>
        <w:t xml:space="preserve"> 4 MB DRAM </w:t>
      </w:r>
      <w:r>
        <w:rPr>
          <w:lang w:val="zh-CN" w:bidi="zh-CN"/>
        </w:rPr>
        <w:t>页面池。</w:t>
      </w:r>
    </w:p>
    <w:p w14:paraId="5212355C" w14:textId="0AD6D5BC" w:rsidR="007C58D3" w:rsidRDefault="00366D70" w:rsidP="000F5B4A">
      <w:r>
        <w:rPr>
          <w:lang w:val="zh-CN" w:bidi="zh-CN"/>
        </w:rPr>
        <w:t>页面块的创建和管理由</w:t>
      </w:r>
      <w:r>
        <w:rPr>
          <w:lang w:val="zh-CN" w:bidi="zh-CN"/>
        </w:rPr>
        <w:t xml:space="preserve"> PageAllocator </w:t>
      </w:r>
      <w:r>
        <w:rPr>
          <w:lang w:val="zh-CN" w:bidi="zh-CN"/>
        </w:rPr>
        <w:t>类执行。将提供一个虚拟地址范围，并且分配器会根据需要按顺序将页面池映射到此范围。然后使用</w:t>
      </w:r>
      <w:r>
        <w:rPr>
          <w:lang w:val="zh-CN" w:bidi="zh-CN"/>
        </w:rPr>
        <w:t>“RegisterPagePoolX”</w:t>
      </w:r>
      <w:r>
        <w:rPr>
          <w:lang w:val="zh-CN" w:bidi="zh-CN"/>
        </w:rPr>
        <w:t>在</w:t>
      </w:r>
      <w:r>
        <w:rPr>
          <w:lang w:val="zh-CN" w:bidi="zh-CN"/>
        </w:rPr>
        <w:t xml:space="preserve"> DirectX12 </w:t>
      </w:r>
      <w:r>
        <w:rPr>
          <w:lang w:val="zh-CN" w:bidi="zh-CN"/>
        </w:rPr>
        <w:t>中注册页面池。将完全跟踪分配器页面的使用情况</w:t>
      </w:r>
      <w:r>
        <w:rPr>
          <w:lang w:val="zh-CN" w:bidi="zh-CN"/>
        </w:rPr>
        <w:t xml:space="preserve"> - </w:t>
      </w:r>
      <w:r>
        <w:rPr>
          <w:lang w:val="zh-CN" w:bidi="zh-CN"/>
        </w:rPr>
        <w:t>它从头到尾分配页面，并在页面释放时替换它们。</w:t>
      </w:r>
    </w:p>
    <w:p w14:paraId="1A97C039" w14:textId="77777777" w:rsidR="00033D9F" w:rsidRDefault="00033D9F" w:rsidP="000F5B4A"/>
    <w:p w14:paraId="6D5C4A1E" w14:textId="2894BBA3" w:rsidR="00033D9F" w:rsidRDefault="00033D9F" w:rsidP="000F5B4A">
      <w:r>
        <w:rPr>
          <w:lang w:val="zh-CN" w:bidi="zh-CN"/>
        </w:rPr>
        <w:t xml:space="preserve">TransientCache </w:t>
      </w:r>
      <w:r>
        <w:rPr>
          <w:lang w:val="zh-CN" w:bidi="zh-CN"/>
        </w:rPr>
        <w:t>负责管理虚拟</w:t>
      </w:r>
      <w:r>
        <w:rPr>
          <w:lang w:val="zh-CN" w:bidi="zh-CN"/>
        </w:rPr>
        <w:t xml:space="preserve"> D3D </w:t>
      </w:r>
      <w:r>
        <w:rPr>
          <w:lang w:val="zh-CN" w:bidi="zh-CN"/>
        </w:rPr>
        <w:t>资源。这些都是根据需要创建的，但会进行缓存以避免重新创建常见资源而产生不必要的开销。缓存这些资源的内存开销实际上为零，因为它们仅分配虚拟地址空间。对于每个帧，每个资源只能分配一次。</w:t>
      </w:r>
    </w:p>
    <w:p w14:paraId="3C87C417" w14:textId="76351464" w:rsidR="00033D9F" w:rsidRDefault="00033D9F" w:rsidP="000F5B4A">
      <w:r>
        <w:rPr>
          <w:lang w:val="zh-CN" w:bidi="zh-CN"/>
        </w:rPr>
        <w:t xml:space="preserve"> </w:t>
      </w:r>
    </w:p>
    <w:p w14:paraId="5430CEC1" w14:textId="2052C52D" w:rsidR="00AD4F25" w:rsidRDefault="00270461" w:rsidP="000F5B4A">
      <w:r>
        <w:rPr>
          <w:lang w:val="zh-CN" w:bidi="zh-CN"/>
        </w:rPr>
        <w:t>此</w:t>
      </w:r>
      <w:r>
        <w:rPr>
          <w:lang w:val="zh-CN" w:bidi="zh-CN"/>
        </w:rPr>
        <w:t xml:space="preserve"> TransientAllocator </w:t>
      </w:r>
      <w:r>
        <w:rPr>
          <w:lang w:val="zh-CN" w:bidi="zh-CN"/>
        </w:rPr>
        <w:t>类使用页面分配器和瞬态缓存来向用户执行资源请求。当请求资源时，它将从</w:t>
      </w:r>
      <w:r>
        <w:rPr>
          <w:lang w:val="zh-CN" w:bidi="zh-CN"/>
        </w:rPr>
        <w:t xml:space="preserve"> TransientCache </w:t>
      </w:r>
      <w:r>
        <w:rPr>
          <w:lang w:val="zh-CN" w:bidi="zh-CN"/>
        </w:rPr>
        <w:t>中获取一个实例。然后，它从</w:t>
      </w:r>
      <w:r>
        <w:rPr>
          <w:lang w:val="zh-CN" w:bidi="zh-CN"/>
        </w:rPr>
        <w:t xml:space="preserve"> PageAllocators </w:t>
      </w:r>
      <w:r>
        <w:rPr>
          <w:lang w:val="zh-CN" w:bidi="zh-CN"/>
        </w:rPr>
        <w:t>分配所需的页数，分析令牌以确定是在页面级粒度使用</w:t>
      </w:r>
      <w:r>
        <w:rPr>
          <w:lang w:val="zh-CN" w:bidi="zh-CN"/>
        </w:rPr>
        <w:t xml:space="preserve"> ESRAM </w:t>
      </w:r>
      <w:r>
        <w:rPr>
          <w:lang w:val="zh-CN" w:bidi="zh-CN"/>
        </w:rPr>
        <w:t>还是</w:t>
      </w:r>
      <w:r>
        <w:rPr>
          <w:lang w:val="zh-CN" w:bidi="zh-CN"/>
        </w:rPr>
        <w:t xml:space="preserve"> DRAM</w:t>
      </w:r>
      <w:r>
        <w:rPr>
          <w:lang w:val="zh-CN" w:bidi="zh-CN"/>
        </w:rPr>
        <w:t>。然后生成适当的结构，以便稍后提供给</w:t>
      </w:r>
      <w:r>
        <w:rPr>
          <w:lang w:val="zh-CN" w:bidi="zh-CN"/>
        </w:rPr>
        <w:t>“CopyPageMappingsBatchX”</w:t>
      </w:r>
      <w:r>
        <w:rPr>
          <w:lang w:val="zh-CN" w:bidi="zh-CN"/>
        </w:rPr>
        <w:t>，即</w:t>
      </w:r>
      <w:r>
        <w:rPr>
          <w:lang w:val="zh-CN" w:bidi="zh-CN"/>
        </w:rPr>
        <w:t xml:space="preserve"> D3D12XBOX_PAGE_MAPPING_BATCH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D3D12XBOX_PAGE_MAPPING_RANGE </w:t>
      </w:r>
      <w:r>
        <w:rPr>
          <w:lang w:val="zh-CN" w:bidi="zh-CN"/>
        </w:rPr>
        <w:t>结构的矢量。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  <w:lang w:val="zh-CN" w:bidi="zh-CN"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图片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77B94DE7" w:rsidR="007C58D3" w:rsidRDefault="00270461" w:rsidP="009E5898">
      <w:pPr>
        <w:pStyle w:val="Caption"/>
      </w:pPr>
      <w:r>
        <w:rPr>
          <w:lang w:val="zh-CN" w:bidi="zh-CN"/>
        </w:rPr>
        <w:t>图</w:t>
      </w:r>
      <w:r>
        <w:rPr>
          <w:lang w:val="zh-CN" w:bidi="zh-CN"/>
        </w:rPr>
        <w:t xml:space="preserve"> </w:t>
      </w:r>
      <w:r w:rsidR="0004294F">
        <w:rPr>
          <w:noProof/>
          <w:lang w:val="zh-CN" w:bidi="zh-CN"/>
        </w:rPr>
        <w:fldChar w:fldCharType="begin"/>
      </w:r>
      <w:r w:rsidR="0004294F">
        <w:rPr>
          <w:noProof/>
          <w:lang w:val="zh-CN" w:bidi="zh-CN"/>
        </w:rPr>
        <w:instrText xml:space="preserve"> SEQ Figure \* ARABIC </w:instrText>
      </w:r>
      <w:r w:rsidR="0004294F">
        <w:rPr>
          <w:noProof/>
          <w:lang w:val="zh-CN" w:bidi="zh-CN"/>
        </w:rPr>
        <w:fldChar w:fldCharType="separate"/>
      </w:r>
      <w:r>
        <w:rPr>
          <w:noProof/>
          <w:lang w:val="zh-CN" w:bidi="zh-CN"/>
        </w:rPr>
        <w:t>2</w:t>
      </w:r>
      <w:r w:rsidR="0004294F">
        <w:rPr>
          <w:noProof/>
          <w:lang w:val="zh-CN" w:bidi="zh-CN"/>
        </w:rPr>
        <w:fldChar w:fldCharType="end"/>
      </w:r>
      <w:r>
        <w:rPr>
          <w:lang w:val="zh-CN" w:bidi="zh-CN"/>
        </w:rPr>
        <w:t>：虚拟资源正被映射到页面池内的页面范围，以满足其内存需求。这些映射是</w:t>
      </w:r>
      <w:r>
        <w:rPr>
          <w:lang w:val="zh-CN" w:bidi="zh-CN"/>
        </w:rPr>
        <w:t xml:space="preserve"> CopyPageMappingsX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CopyPageMappingsBatchX </w:t>
      </w:r>
      <w:r>
        <w:rPr>
          <w:lang w:val="zh-CN" w:bidi="zh-CN"/>
        </w:rPr>
        <w:t>调用的结果。为了保持视觉简洁，此可视化效果中仅使用了两个资源，并且未对内存进行别名化。但是，内存别名化是此技术的预期优势。</w:t>
      </w:r>
    </w:p>
    <w:p w14:paraId="6E7EECEF" w14:textId="5925A954" w:rsidR="00964FEE" w:rsidRDefault="00964FEE" w:rsidP="00964FEE">
      <w:r>
        <w:rPr>
          <w:lang w:val="zh-CN" w:bidi="zh-CN"/>
        </w:rPr>
        <w:t>由于内存别名化，</w:t>
      </w:r>
      <w:r>
        <w:rPr>
          <w:lang w:val="zh-CN" w:bidi="zh-CN"/>
        </w:rPr>
        <w:t xml:space="preserve">TransientAllocator </w:t>
      </w:r>
      <w:r>
        <w:rPr>
          <w:lang w:val="zh-CN" w:bidi="zh-CN"/>
        </w:rPr>
        <w:t>还负责在必要时执行着色器和缓存刷新。在</w:t>
      </w:r>
      <w:r>
        <w:rPr>
          <w:lang w:val="zh-CN" w:bidi="zh-CN"/>
        </w:rPr>
        <w:t xml:space="preserve"> DirectX12 </w:t>
      </w:r>
      <w:r>
        <w:rPr>
          <w:lang w:val="zh-CN" w:bidi="zh-CN"/>
        </w:rPr>
        <w:t>中，刷新将作为资源屏障的一部分插入。由于我们已规避此系统执行内存别名化，因此我们必须手动插入自己的刷新。</w:t>
      </w:r>
      <w:r>
        <w:rPr>
          <w:lang w:val="zh-CN" w:bidi="zh-CN"/>
        </w:rPr>
        <w:t xml:space="preserve">TransientAllocator </w:t>
      </w:r>
      <w:r>
        <w:rPr>
          <w:lang w:val="zh-CN" w:bidi="zh-CN"/>
        </w:rPr>
        <w:t>通过检查资源的关联视图来确定应刷新哪些着色器阶段和缓存。</w:t>
      </w:r>
    </w:p>
    <w:p w14:paraId="4015AC5E" w14:textId="77777777" w:rsidR="00964FEE" w:rsidRDefault="00964FEE" w:rsidP="00964FEE"/>
    <w:p w14:paraId="6D6EEC74" w14:textId="0BC47C27" w:rsidR="00964FEE" w:rsidRPr="00964FEE" w:rsidRDefault="00D8597B" w:rsidP="00964FEE">
      <w:r>
        <w:rPr>
          <w:lang w:val="zh-CN" w:bidi="zh-CN"/>
        </w:rPr>
        <w:lastRenderedPageBreak/>
        <w:t>最后，在将使用分配的瞬态资源的命令列表提交到其命令队列之前，必须在</w:t>
      </w:r>
      <w:r>
        <w:rPr>
          <w:lang w:val="zh-CN" w:bidi="zh-CN"/>
        </w:rPr>
        <w:t xml:space="preserve"> TransientAllocator </w:t>
      </w:r>
      <w:r>
        <w:rPr>
          <w:lang w:val="zh-CN" w:bidi="zh-CN"/>
        </w:rPr>
        <w:t>上调用</w:t>
      </w:r>
      <w:r>
        <w:rPr>
          <w:lang w:val="zh-CN" w:bidi="zh-CN"/>
        </w:rPr>
        <w:t>“Finalize”</w:t>
      </w:r>
      <w:r>
        <w:rPr>
          <w:lang w:val="zh-CN" w:bidi="zh-CN"/>
        </w:rPr>
        <w:t>以完成资源映射。此时，</w:t>
      </w:r>
      <w:r>
        <w:rPr>
          <w:lang w:val="zh-CN" w:bidi="zh-CN"/>
        </w:rPr>
        <w:t xml:space="preserve">CopyPageMappingsBatchX </w:t>
      </w:r>
      <w:r>
        <w:rPr>
          <w:lang w:val="zh-CN" w:bidi="zh-CN"/>
        </w:rPr>
        <w:t>调用将被置于命令队列中，其设置要在后续命令列表中使用的资源内存映射。</w:t>
      </w:r>
    </w:p>
    <w:p w14:paraId="0737FD79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0A03C614" w14:textId="2F614FCC" w:rsidR="003D3EF7" w:rsidRDefault="0029051A" w:rsidP="003D3EF7">
      <w:r>
        <w:rPr>
          <w:lang w:val="zh-CN" w:bidi="zh-CN"/>
        </w:rPr>
        <w:t xml:space="preserve">2018/8/6 - </w:t>
      </w:r>
      <w:r>
        <w:rPr>
          <w:lang w:val="zh-CN" w:bidi="zh-CN"/>
        </w:rPr>
        <w:t>创建示例。</w:t>
      </w:r>
    </w:p>
    <w:p w14:paraId="433F106A" w14:textId="26676319" w:rsidR="00A93A1B" w:rsidRPr="004B7280" w:rsidRDefault="00A93A1B" w:rsidP="003D3EF7">
      <w:pPr>
        <w:rPr>
          <w:rFonts w:cs="Segoe UI"/>
          <w:szCs w:val="20"/>
        </w:rPr>
      </w:pPr>
      <w:r>
        <w:rPr>
          <w:lang w:val="zh-CN" w:bidi="zh-CN"/>
        </w:rPr>
        <w:t xml:space="preserve">2019/12/17 – </w:t>
      </w:r>
      <w:r>
        <w:rPr>
          <w:lang w:val="zh-CN" w:bidi="zh-CN"/>
        </w:rPr>
        <w:t>移植到</w:t>
      </w:r>
      <w:r>
        <w:rPr>
          <w:lang w:val="zh-CN" w:bidi="zh-CN"/>
        </w:rPr>
        <w:t xml:space="preserve"> GXDK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Scarlett</w:t>
      </w:r>
      <w:r>
        <w:rPr>
          <w:lang w:val="zh-CN" w:bidi="zh-CN"/>
        </w:rPr>
        <w:t>。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rPr>
          <w:lang w:val="zh-CN" w:bidi="zh-CN"/>
        </w:rPr>
        <w:t>隐私声明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，以帮助跟踪示例使用情况。要选择退出此数据收集，你可以删除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</w:t>
      </w:r>
      <w:r w:rsidRPr="004B7280">
        <w:rPr>
          <w:rFonts w:cs="Segoe UI"/>
          <w:szCs w:val="20"/>
          <w:lang w:val="zh-CN" w:bidi="zh-CN"/>
        </w:rPr>
        <w:t xml:space="preserve"> </w:t>
      </w:r>
      <w:hyperlink r:id="rId12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。</w:t>
      </w:r>
    </w:p>
    <w:sectPr w:rsidR="004B7280" w:rsidRPr="004B7280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CABA" w14:textId="77777777" w:rsidR="00462DCD" w:rsidRDefault="00462DCD" w:rsidP="0074610F">
      <w:r>
        <w:separator/>
      </w:r>
    </w:p>
  </w:endnote>
  <w:endnote w:type="continuationSeparator" w:id="0">
    <w:p w14:paraId="3D89A240" w14:textId="77777777" w:rsidR="00462DCD" w:rsidRDefault="00462DC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3E7858AC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C6FB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AdvancedESRAM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7761B3F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CC6FB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6184" w14:textId="77777777" w:rsidR="00462DCD" w:rsidRDefault="00462DCD" w:rsidP="0074610F">
      <w:r>
        <w:separator/>
      </w:r>
    </w:p>
  </w:footnote>
  <w:footnote w:type="continuationSeparator" w:id="0">
    <w:p w14:paraId="66A7A53A" w14:textId="77777777" w:rsidR="00462DCD" w:rsidRDefault="00462DC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6793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B782B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77F30"/>
    <w:rsid w:val="002810AC"/>
    <w:rsid w:val="00281D12"/>
    <w:rsid w:val="00287A4C"/>
    <w:rsid w:val="0029051A"/>
    <w:rsid w:val="00294A1B"/>
    <w:rsid w:val="002A57FA"/>
    <w:rsid w:val="002C0489"/>
    <w:rsid w:val="002D14B2"/>
    <w:rsid w:val="002E0C0D"/>
    <w:rsid w:val="002E7BBB"/>
    <w:rsid w:val="002F1ADD"/>
    <w:rsid w:val="00303D44"/>
    <w:rsid w:val="003053EB"/>
    <w:rsid w:val="0032035A"/>
    <w:rsid w:val="00321170"/>
    <w:rsid w:val="00325C63"/>
    <w:rsid w:val="00330B6D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2DCD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4372"/>
    <w:rsid w:val="004C674E"/>
    <w:rsid w:val="004D1863"/>
    <w:rsid w:val="004D49CA"/>
    <w:rsid w:val="004E7C63"/>
    <w:rsid w:val="004F014C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64A9C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5F7AD0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055F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00C6"/>
    <w:rsid w:val="007E2A89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332B"/>
    <w:rsid w:val="008E4ED5"/>
    <w:rsid w:val="008F0F2B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848"/>
    <w:rsid w:val="00A74CF4"/>
    <w:rsid w:val="00A75D0F"/>
    <w:rsid w:val="00A93A1B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26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C6FB4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45F96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07E61"/>
    <w:rsid w:val="00E127D9"/>
    <w:rsid w:val="00E12F5F"/>
    <w:rsid w:val="00E16AF8"/>
    <w:rsid w:val="00E25413"/>
    <w:rsid w:val="00E25B25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03A1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229B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2021-08-05T23:55:00Z</dcterms:created>
  <dcterms:modified xsi:type="dcterms:W3CDTF">2021-08-05T23:55:00Z</dcterms:modified>
</cp:coreProperties>
</file>