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Default="00736100" w:rsidP="00736100">
      <w:r>
        <w:rPr>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33225DAE" w:rsidR="00756F6D" w:rsidRDefault="00C20697" w:rsidP="00756F6D">
      <w:pPr>
        <w:jc w:val="center"/>
        <w:rPr>
          <w:rFonts w:cstheme="minorHAnsi"/>
          <w:sz w:val="48"/>
          <w:szCs w:val="48"/>
        </w:rPr>
      </w:pPr>
      <w:r>
        <w:rPr>
          <w:rFonts w:cstheme="minorHAnsi"/>
          <w:sz w:val="48"/>
          <w:szCs w:val="48"/>
        </w:rPr>
        <w:t xml:space="preserve">Software Development Kit: </w:t>
      </w:r>
      <w:r w:rsidR="00C95345">
        <w:rPr>
          <w:rFonts w:cstheme="minorHAnsi"/>
          <w:sz w:val="48"/>
          <w:szCs w:val="48"/>
        </w:rPr>
        <w:t>Maximum 2D Probability of Collision</w:t>
      </w:r>
      <w:r w:rsidR="00756F6D" w:rsidRPr="00756F6D">
        <w:rPr>
          <w:rFonts w:cstheme="minorHAnsi"/>
          <w:sz w:val="48"/>
          <w:szCs w:val="48"/>
        </w:rPr>
        <w:t xml:space="preserve"> </w:t>
      </w:r>
    </w:p>
    <w:p w14:paraId="1CEC2BEB" w14:textId="77777777" w:rsidR="00756F6D" w:rsidRDefault="00756F6D" w:rsidP="00756F6D">
      <w:pPr>
        <w:jc w:val="center"/>
        <w:rPr>
          <w:rFonts w:cstheme="minorHAnsi"/>
          <w:sz w:val="48"/>
          <w:szCs w:val="48"/>
        </w:rPr>
      </w:pPr>
    </w:p>
    <w:p w14:paraId="2B5DA8B8" w14:textId="77777777" w:rsidR="00756F6D" w:rsidRPr="00756F6D" w:rsidRDefault="00756F6D" w:rsidP="00756F6D">
      <w:pPr>
        <w:rPr>
          <w:rFonts w:cstheme="minorHAnsi"/>
          <w:sz w:val="32"/>
          <w:szCs w:val="32"/>
        </w:rPr>
      </w:pPr>
      <w:r w:rsidRPr="00756F6D">
        <w:rPr>
          <w:rFonts w:cstheme="minorHAnsi"/>
          <w:sz w:val="32"/>
          <w:szCs w:val="32"/>
        </w:rPr>
        <w:t>CONJUNCTION ASSESSMENT AND RISK ANALYSIS (CARA)</w:t>
      </w:r>
      <w:r>
        <w:rPr>
          <w:rFonts w:cstheme="minorHAnsi"/>
          <w:sz w:val="32"/>
          <w:szCs w:val="32"/>
        </w:rPr>
        <w:t xml:space="preserve"> PROGRAM</w:t>
      </w:r>
    </w:p>
    <w:p w14:paraId="431E6639" w14:textId="77777777" w:rsidR="00736100" w:rsidRDefault="00736100" w:rsidP="00736100">
      <w:pPr>
        <w:jc w:val="center"/>
        <w:rPr>
          <w:rFonts w:cstheme="minorHAnsi"/>
          <w:sz w:val="40"/>
          <w:szCs w:val="40"/>
        </w:rPr>
      </w:pPr>
    </w:p>
    <w:p w14:paraId="00446836" w14:textId="77777777" w:rsidR="00736100" w:rsidRDefault="007C72BB" w:rsidP="00736100">
      <w:pPr>
        <w:jc w:val="center"/>
        <w:rPr>
          <w:rFonts w:cstheme="minorHAnsi"/>
          <w:sz w:val="40"/>
          <w:szCs w:val="40"/>
        </w:rPr>
      </w:pPr>
      <w:r w:rsidRPr="00736100">
        <w:rPr>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5B5E8860" w14:textId="77777777" w:rsidR="00736100" w:rsidRPr="00B93B96" w:rsidRDefault="00B93B96" w:rsidP="00B93B96">
      <w:pPr>
        <w:spacing w:after="0"/>
        <w:rPr>
          <w:rFonts w:cstheme="minorHAnsi"/>
          <w:i/>
        </w:rPr>
      </w:pPr>
      <w:r w:rsidRPr="00B93B96">
        <w:rPr>
          <w:rFonts w:cstheme="minorHAnsi"/>
          <w:i/>
        </w:rPr>
        <w:t xml:space="preserve">Matthew </w:t>
      </w:r>
      <w:proofErr w:type="spellStart"/>
      <w:r w:rsidRPr="00B93B96">
        <w:rPr>
          <w:rFonts w:cstheme="minorHAnsi"/>
          <w:i/>
        </w:rPr>
        <w:t>Hejduk</w:t>
      </w:r>
      <w:proofErr w:type="spellEnd"/>
    </w:p>
    <w:p w14:paraId="54A2C3E2" w14:textId="77777777" w:rsidR="00B93B96" w:rsidRPr="00B93B96" w:rsidRDefault="00B93B96" w:rsidP="00B93B96">
      <w:pPr>
        <w:spacing w:after="0"/>
        <w:rPr>
          <w:rFonts w:cstheme="minorHAnsi"/>
          <w:i/>
        </w:rPr>
      </w:pPr>
      <w:proofErr w:type="spellStart"/>
      <w:r w:rsidRPr="00B93B96">
        <w:rPr>
          <w:rFonts w:cstheme="minorHAnsi"/>
          <w:i/>
        </w:rPr>
        <w:t>Astrorum</w:t>
      </w:r>
      <w:proofErr w:type="spellEnd"/>
      <w:r w:rsidRPr="00B93B96">
        <w:rPr>
          <w:rFonts w:cstheme="minorHAnsi"/>
          <w:i/>
        </w:rPr>
        <w:t xml:space="preserve">, </w:t>
      </w:r>
      <w:proofErr w:type="spellStart"/>
      <w:r w:rsidRPr="00B93B96">
        <w:rPr>
          <w:rFonts w:cstheme="minorHAnsi"/>
          <w:i/>
        </w:rPr>
        <w:t>Inc</w:t>
      </w:r>
      <w:proofErr w:type="spellEnd"/>
    </w:p>
    <w:p w14:paraId="0341AABE" w14:textId="77777777" w:rsidR="00B93B96" w:rsidRPr="00B93B96" w:rsidRDefault="00B93B96" w:rsidP="00B93B96">
      <w:pPr>
        <w:spacing w:after="0"/>
        <w:rPr>
          <w:rFonts w:cstheme="minorHAnsi"/>
          <w:i/>
        </w:rPr>
      </w:pPr>
      <w:r w:rsidRPr="00B93B96">
        <w:rPr>
          <w:rFonts w:cstheme="minorHAnsi"/>
          <w:i/>
        </w:rPr>
        <w:t xml:space="preserve">Waco, </w:t>
      </w:r>
      <w:proofErr w:type="spellStart"/>
      <w:proofErr w:type="gramStart"/>
      <w:r w:rsidRPr="00B93B96">
        <w:rPr>
          <w:rFonts w:cstheme="minorHAnsi"/>
          <w:i/>
        </w:rPr>
        <w:t>Tx</w:t>
      </w:r>
      <w:proofErr w:type="spellEnd"/>
      <w:proofErr w:type="gramEnd"/>
    </w:p>
    <w:p w14:paraId="093FF53F" w14:textId="77777777" w:rsidR="00B93B96" w:rsidRPr="00B93B96" w:rsidRDefault="00B93B96" w:rsidP="00736100">
      <w:pPr>
        <w:rPr>
          <w:rFonts w:cstheme="minorHAnsi"/>
          <w:i/>
        </w:rPr>
      </w:pPr>
    </w:p>
    <w:p w14:paraId="75B02A88" w14:textId="77777777" w:rsidR="00B93B96" w:rsidRPr="00B93B96" w:rsidRDefault="00B93B96" w:rsidP="00B93B96">
      <w:pPr>
        <w:spacing w:after="0"/>
        <w:rPr>
          <w:rFonts w:cstheme="minorHAnsi"/>
          <w:i/>
        </w:rPr>
      </w:pPr>
      <w:r w:rsidRPr="00B93B96">
        <w:rPr>
          <w:rFonts w:cstheme="minorHAnsi"/>
          <w:i/>
        </w:rPr>
        <w:t>Travis Lechtenberg</w:t>
      </w:r>
    </w:p>
    <w:p w14:paraId="025CA088" w14:textId="77777777" w:rsidR="00B93B96" w:rsidRPr="00B93B96" w:rsidRDefault="00B93B96" w:rsidP="00B93B96">
      <w:pPr>
        <w:spacing w:after="0"/>
        <w:rPr>
          <w:rFonts w:cstheme="minorHAnsi"/>
          <w:i/>
        </w:rPr>
      </w:pPr>
      <w:r w:rsidRPr="00B93B96">
        <w:rPr>
          <w:rFonts w:cstheme="minorHAnsi"/>
          <w:i/>
        </w:rPr>
        <w:t>Doyle Hall</w:t>
      </w:r>
    </w:p>
    <w:p w14:paraId="368732C9" w14:textId="77777777" w:rsidR="00B93B96" w:rsidRPr="00B93B96" w:rsidRDefault="00B93B96" w:rsidP="00B93B96">
      <w:pPr>
        <w:spacing w:after="0"/>
        <w:rPr>
          <w:rFonts w:cstheme="minorHAnsi"/>
          <w:i/>
        </w:rPr>
      </w:pPr>
      <w:r w:rsidRPr="00B93B96">
        <w:rPr>
          <w:rFonts w:cstheme="minorHAnsi"/>
          <w:i/>
        </w:rPr>
        <w:t>Luis Baars</w:t>
      </w:r>
    </w:p>
    <w:p w14:paraId="7BB41765" w14:textId="2231DD8A" w:rsidR="00B93B96" w:rsidRPr="00B93B96" w:rsidRDefault="00B93B96" w:rsidP="00B93B96">
      <w:pPr>
        <w:spacing w:after="0"/>
        <w:rPr>
          <w:rFonts w:cstheme="minorHAnsi"/>
          <w:i/>
        </w:rPr>
      </w:pPr>
      <w:proofErr w:type="spellStart"/>
      <w:r w:rsidRPr="00B93B96">
        <w:rPr>
          <w:rFonts w:cstheme="minorHAnsi"/>
          <w:i/>
        </w:rPr>
        <w:t>Omitron</w:t>
      </w:r>
      <w:proofErr w:type="spellEnd"/>
      <w:r w:rsidR="001F4FF6">
        <w:rPr>
          <w:rFonts w:cstheme="minorHAnsi"/>
          <w:i/>
        </w:rPr>
        <w:t xml:space="preserve">, </w:t>
      </w:r>
      <w:proofErr w:type="spellStart"/>
      <w:r w:rsidR="001F4FF6">
        <w:rPr>
          <w:rFonts w:cstheme="minorHAnsi"/>
          <w:i/>
        </w:rPr>
        <w:t>Inc</w:t>
      </w:r>
      <w:proofErr w:type="spellEnd"/>
    </w:p>
    <w:p w14:paraId="46F26E62" w14:textId="77777777" w:rsidR="00B93B96" w:rsidRPr="00B93B96" w:rsidRDefault="00B93B96" w:rsidP="00B93B96">
      <w:pPr>
        <w:spacing w:after="0"/>
        <w:rPr>
          <w:rFonts w:cstheme="minorHAnsi"/>
          <w:i/>
        </w:rPr>
      </w:pPr>
      <w:r w:rsidRPr="00B93B96">
        <w:rPr>
          <w:rFonts w:cstheme="minorHAnsi"/>
          <w:i/>
        </w:rPr>
        <w:t>Colorado Springs, CO</w:t>
      </w:r>
    </w:p>
    <w:p w14:paraId="5D8186A2" w14:textId="77777777" w:rsidR="00736100" w:rsidRDefault="00736100" w:rsidP="007361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14:paraId="004EBF1B" w14:textId="77777777" w:rsidTr="00736100">
        <w:tc>
          <w:tcPr>
            <w:tcW w:w="9350" w:type="dxa"/>
            <w:vAlign w:val="center"/>
          </w:tcPr>
          <w:p w14:paraId="4D16D74F" w14:textId="77777777" w:rsidR="00736100" w:rsidRDefault="00736100" w:rsidP="00736100">
            <w:pPr>
              <w:jc w:val="center"/>
            </w:pPr>
          </w:p>
        </w:tc>
      </w:tr>
    </w:tbl>
    <w:p w14:paraId="68061445" w14:textId="77777777" w:rsidR="00736100" w:rsidRDefault="00736100" w:rsidP="00736100"/>
    <w:p w14:paraId="4C449460" w14:textId="77777777" w:rsidR="007C72BB" w:rsidRDefault="007C72BB" w:rsidP="00736100"/>
    <w:p w14:paraId="7DFD1205" w14:textId="77777777" w:rsidR="007C72BB" w:rsidRDefault="007C72BB" w:rsidP="00736100"/>
    <w:p w14:paraId="70A94047" w14:textId="77777777" w:rsidR="007C72BB" w:rsidRDefault="007C72BB" w:rsidP="00736100"/>
    <w:p w14:paraId="2813C461" w14:textId="77777777" w:rsidR="00B93B96" w:rsidRDefault="00B93B96" w:rsidP="007C72BB">
      <w:pPr>
        <w:spacing w:after="0"/>
      </w:pPr>
      <w:r>
        <w:t>National Aeronautics and</w:t>
      </w:r>
    </w:p>
    <w:p w14:paraId="196175F6" w14:textId="77777777" w:rsidR="00B93B96" w:rsidRDefault="00B93B96" w:rsidP="007C72BB">
      <w:pPr>
        <w:spacing w:after="0"/>
      </w:pPr>
      <w:r>
        <w:t>Space Administration</w:t>
      </w:r>
    </w:p>
    <w:p w14:paraId="4AF72519" w14:textId="77777777" w:rsidR="00B93B96" w:rsidRDefault="00B93B96" w:rsidP="007C72BB">
      <w:pPr>
        <w:spacing w:after="0"/>
      </w:pPr>
      <w:r>
        <w:t>Goddard Space Flight Center,</w:t>
      </w:r>
    </w:p>
    <w:p w14:paraId="06571BE8" w14:textId="77777777" w:rsidR="00B93B96" w:rsidRDefault="00B93B96" w:rsidP="007C72BB">
      <w:pPr>
        <w:spacing w:after="0"/>
      </w:pPr>
      <w:r>
        <w:t>Greenbelt, MD 20771</w:t>
      </w:r>
    </w:p>
    <w:p w14:paraId="56D6555E" w14:textId="77777777" w:rsidR="00B93B96" w:rsidRPr="00B93B96" w:rsidRDefault="00CE0469" w:rsidP="00736100">
      <w:pPr>
        <w:rPr>
          <w:b/>
        </w:rPr>
      </w:pPr>
      <w:r>
        <w:rPr>
          <w:b/>
        </w:rPr>
        <w:pict w14:anchorId="5BD5EF4F">
          <v:rect id="_x0000_i1025" style="width:0;height:1.5pt" o:hralign="center" o:hrstd="t" o:hr="t" fillcolor="#a0a0a0" stroked="f"/>
        </w:pict>
      </w:r>
    </w:p>
    <w:p w14:paraId="31FDBB61" w14:textId="77777777" w:rsidR="00CC770B" w:rsidRPr="00B76CCD" w:rsidRDefault="00B93B96" w:rsidP="00CC770B">
      <w:pPr>
        <w:jc w:val="center"/>
        <w:rPr>
          <w:rFonts w:ascii="Arial" w:hAnsi="Arial" w:cs="Arial"/>
          <w:b/>
          <w:sz w:val="36"/>
          <w:szCs w:val="36"/>
          <w:u w:val="single"/>
          <w:lang w:eastAsia="ja-JP"/>
        </w:rPr>
      </w:pPr>
      <w:r w:rsidRPr="00B93B96">
        <w:rPr>
          <w:b/>
        </w:rPr>
        <w:t>December 2019</w:t>
      </w:r>
      <w:r w:rsidR="00C20697">
        <w:rPr>
          <w:b/>
        </w:rPr>
        <w:br w:type="page"/>
      </w:r>
      <w:r w:rsidR="00CC770B" w:rsidRPr="00B76CCD">
        <w:rPr>
          <w:rFonts w:ascii="Arial" w:hAnsi="Arial" w:cs="Arial"/>
          <w:b/>
          <w:sz w:val="36"/>
          <w:szCs w:val="36"/>
          <w:u w:val="single"/>
          <w:lang w:eastAsia="ja-JP"/>
        </w:rPr>
        <w:lastRenderedPageBreak/>
        <w:t>Preface</w:t>
      </w:r>
    </w:p>
    <w:p w14:paraId="6E0A342E" w14:textId="77777777" w:rsidR="00CC770B" w:rsidRPr="00B76CCD" w:rsidRDefault="00CC770B" w:rsidP="00CC770B">
      <w:pPr>
        <w:pStyle w:val="Paragraph"/>
        <w:rPr>
          <w:rFonts w:cs="Arial"/>
        </w:rPr>
      </w:pPr>
      <w:r w:rsidRPr="00B76CCD">
        <w:rPr>
          <w:rFonts w:cs="Arial"/>
        </w:rPr>
        <w:t>This document outlines</w:t>
      </w:r>
      <w:r>
        <w:rPr>
          <w:rFonts w:cs="Arial"/>
        </w:rPr>
        <w:t xml:space="preserve"> the Maximum 2D Probability of Collision Calculation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1880AE8B" w14:textId="77777777" w:rsidR="00CC770B" w:rsidRPr="00B76CCD" w:rsidRDefault="00CC770B" w:rsidP="00CC770B">
      <w:pPr>
        <w:rPr>
          <w:rFonts w:ascii="Arial" w:hAnsi="Arial" w:cs="Arial"/>
          <w:lang w:eastAsia="ja-JP"/>
        </w:rPr>
      </w:pPr>
    </w:p>
    <w:p w14:paraId="1BB4B848" w14:textId="77777777" w:rsidR="00CC770B" w:rsidRPr="00B76CCD" w:rsidRDefault="00CC770B" w:rsidP="00CC770B">
      <w:pPr>
        <w:rPr>
          <w:rFonts w:ascii="Arial" w:eastAsiaTheme="majorEastAsia" w:hAnsi="Arial" w:cs="Arial"/>
          <w:color w:val="2E74B5" w:themeColor="accent1" w:themeShade="BF"/>
          <w:sz w:val="32"/>
          <w:szCs w:val="32"/>
        </w:rPr>
      </w:pPr>
      <w:r w:rsidRPr="00B76CCD">
        <w:rPr>
          <w:rFonts w:ascii="Arial" w:hAnsi="Arial" w:cs="Arial"/>
        </w:rPr>
        <w:br w:type="page"/>
      </w:r>
    </w:p>
    <w:bookmarkStart w:id="0" w:name="_Toc26338276" w:displacedByCustomXml="next"/>
    <w:bookmarkStart w:id="1" w:name="_Toc425926667" w:displacedByCustomXml="next"/>
    <w:bookmarkStart w:id="2" w:name="_Toc412161101" w:displacedByCustomXml="next"/>
    <w:bookmarkStart w:id="3" w:name="_Toc412167130" w:displacedByCustomXml="next"/>
    <w:sdt>
      <w:sdtPr>
        <w:rPr>
          <w:rFonts w:asciiTheme="minorHAnsi" w:eastAsia="MS Mincho" w:hAnsiTheme="minorHAnsi" w:cs="Times New Roman"/>
          <w:b w:val="0"/>
          <w:bCs/>
          <w:color w:val="000000"/>
          <w:sz w:val="22"/>
          <w:szCs w:val="22"/>
          <w14:textFill>
            <w14:solidFill>
              <w14:srgbClr w14:val="000000">
                <w14:lumMod w14:val="50000"/>
              </w14:srgbClr>
            </w14:solidFill>
          </w14:textFill>
        </w:rPr>
        <w:id w:val="1789851430"/>
        <w:docPartObj>
          <w:docPartGallery w:val="Table of Contents"/>
          <w:docPartUnique/>
        </w:docPartObj>
      </w:sdtPr>
      <w:sdtEndPr>
        <w:rPr>
          <w:rFonts w:eastAsiaTheme="minorHAnsi" w:cstheme="minorBidi"/>
          <w:bCs w:val="0"/>
          <w:noProof/>
        </w:rPr>
      </w:sdtEndPr>
      <w:sdtContent>
        <w:p w14:paraId="7F0E54F4" w14:textId="77777777" w:rsidR="00CC770B" w:rsidRPr="00B76CCD" w:rsidRDefault="00CC770B" w:rsidP="00CC770B">
          <w:pPr>
            <w:pStyle w:val="Heading1"/>
            <w:numPr>
              <w:ilvl w:val="0"/>
              <w:numId w:val="0"/>
            </w:numPr>
          </w:pPr>
          <w:r w:rsidRPr="00B76CCD">
            <w:t>Table of Contents</w:t>
          </w:r>
          <w:bookmarkEnd w:id="1"/>
          <w:bookmarkEnd w:id="0"/>
        </w:p>
        <w:p w14:paraId="1FEF1243" w14:textId="31B3F339" w:rsidR="00565F8B" w:rsidRDefault="00CC770B" w:rsidP="00565F8B">
          <w:pPr>
            <w:pStyle w:val="TOC1"/>
            <w:tabs>
              <w:tab w:val="clear" w:pos="9360"/>
              <w:tab w:val="right" w:leader="dot" w:pos="10800"/>
            </w:tabs>
            <w:ind w:left="720" w:hanging="720"/>
            <w:rPr>
              <w:rFonts w:asciiTheme="minorHAnsi" w:eastAsiaTheme="minorEastAsia" w:hAnsiTheme="minorHAnsi" w:cstheme="minorBidi"/>
              <w:bCs w:val="0"/>
              <w:noProof/>
              <w:color w:val="auto"/>
              <w:sz w:val="22"/>
              <w:szCs w:val="22"/>
            </w:rPr>
          </w:pPr>
          <w:r w:rsidRPr="00B76CCD">
            <w:rPr>
              <w:rFonts w:cs="Arial"/>
            </w:rPr>
            <w:fldChar w:fldCharType="begin"/>
          </w:r>
          <w:r w:rsidRPr="00B76CCD">
            <w:rPr>
              <w:rFonts w:cs="Arial"/>
            </w:rPr>
            <w:instrText xml:space="preserve"> TOC \o "1-2" \h \z \u </w:instrText>
          </w:r>
          <w:r w:rsidRPr="00B76CCD">
            <w:rPr>
              <w:rFonts w:cs="Arial"/>
            </w:rPr>
            <w:fldChar w:fldCharType="separate"/>
          </w:r>
          <w:hyperlink w:anchor="_Toc26338276" w:history="1">
            <w:r w:rsidR="00565F8B" w:rsidRPr="0068734E">
              <w:rPr>
                <w:rStyle w:val="Hyperlink"/>
                <w:noProof/>
              </w:rPr>
              <w:t>Table of Contents</w:t>
            </w:r>
            <w:r w:rsidR="00565F8B">
              <w:rPr>
                <w:noProof/>
                <w:webHidden/>
              </w:rPr>
              <w:tab/>
            </w:r>
            <w:r w:rsidR="00565F8B">
              <w:rPr>
                <w:noProof/>
                <w:webHidden/>
              </w:rPr>
              <w:fldChar w:fldCharType="begin"/>
            </w:r>
            <w:r w:rsidR="00565F8B">
              <w:rPr>
                <w:noProof/>
                <w:webHidden/>
              </w:rPr>
              <w:instrText xml:space="preserve"> PAGEREF _Toc26338276 \h </w:instrText>
            </w:r>
            <w:r w:rsidR="00565F8B">
              <w:rPr>
                <w:noProof/>
                <w:webHidden/>
              </w:rPr>
            </w:r>
            <w:r w:rsidR="00565F8B">
              <w:rPr>
                <w:noProof/>
                <w:webHidden/>
              </w:rPr>
              <w:fldChar w:fldCharType="separate"/>
            </w:r>
            <w:r w:rsidR="00565F8B">
              <w:rPr>
                <w:noProof/>
                <w:webHidden/>
              </w:rPr>
              <w:t>iii</w:t>
            </w:r>
            <w:r w:rsidR="00565F8B">
              <w:rPr>
                <w:noProof/>
                <w:webHidden/>
              </w:rPr>
              <w:fldChar w:fldCharType="end"/>
            </w:r>
          </w:hyperlink>
        </w:p>
        <w:p w14:paraId="319C44E5" w14:textId="5CF272EC" w:rsidR="00565F8B" w:rsidRDefault="00565F8B" w:rsidP="00565F8B">
          <w:pPr>
            <w:pStyle w:val="TOC1"/>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77" w:history="1">
            <w:r w:rsidRPr="0068734E">
              <w:rPr>
                <w:rStyle w:val="Hyperlink"/>
                <w:noProof/>
              </w:rPr>
              <w:t>List of Figures</w:t>
            </w:r>
            <w:r>
              <w:rPr>
                <w:noProof/>
                <w:webHidden/>
              </w:rPr>
              <w:tab/>
            </w:r>
            <w:r>
              <w:rPr>
                <w:noProof/>
                <w:webHidden/>
              </w:rPr>
              <w:fldChar w:fldCharType="begin"/>
            </w:r>
            <w:r>
              <w:rPr>
                <w:noProof/>
                <w:webHidden/>
              </w:rPr>
              <w:instrText xml:space="preserve"> PAGEREF _Toc26338277 \h </w:instrText>
            </w:r>
            <w:r>
              <w:rPr>
                <w:noProof/>
                <w:webHidden/>
              </w:rPr>
            </w:r>
            <w:r>
              <w:rPr>
                <w:noProof/>
                <w:webHidden/>
              </w:rPr>
              <w:fldChar w:fldCharType="separate"/>
            </w:r>
            <w:r>
              <w:rPr>
                <w:noProof/>
                <w:webHidden/>
              </w:rPr>
              <w:t>iii</w:t>
            </w:r>
            <w:r>
              <w:rPr>
                <w:noProof/>
                <w:webHidden/>
              </w:rPr>
              <w:fldChar w:fldCharType="end"/>
            </w:r>
          </w:hyperlink>
        </w:p>
        <w:p w14:paraId="530BD3A4" w14:textId="4F9E1924" w:rsidR="00565F8B" w:rsidRDefault="00565F8B" w:rsidP="00565F8B">
          <w:pPr>
            <w:pStyle w:val="TOC1"/>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78" w:history="1">
            <w:r w:rsidRPr="0068734E">
              <w:rPr>
                <w:rStyle w:val="Hyperlink"/>
                <w:noProof/>
              </w:rPr>
              <w:t>1.0</w:t>
            </w:r>
            <w:r>
              <w:rPr>
                <w:rFonts w:asciiTheme="minorHAnsi" w:eastAsiaTheme="minorEastAsia" w:hAnsiTheme="minorHAnsi" w:cstheme="minorBidi"/>
                <w:bCs w:val="0"/>
                <w:noProof/>
                <w:color w:val="auto"/>
                <w:sz w:val="22"/>
                <w:szCs w:val="22"/>
              </w:rPr>
              <w:tab/>
            </w:r>
            <w:r w:rsidRPr="0068734E">
              <w:rPr>
                <w:rStyle w:val="Hyperlink"/>
                <w:noProof/>
              </w:rPr>
              <w:t>Maximum 2D Probability of Collision Calculation</w:t>
            </w:r>
            <w:r>
              <w:rPr>
                <w:noProof/>
                <w:webHidden/>
              </w:rPr>
              <w:tab/>
            </w:r>
            <w:r>
              <w:rPr>
                <w:noProof/>
                <w:webHidden/>
              </w:rPr>
              <w:fldChar w:fldCharType="begin"/>
            </w:r>
            <w:r>
              <w:rPr>
                <w:noProof/>
                <w:webHidden/>
              </w:rPr>
              <w:instrText xml:space="preserve"> PAGEREF _Toc26338278 \h </w:instrText>
            </w:r>
            <w:r>
              <w:rPr>
                <w:noProof/>
                <w:webHidden/>
              </w:rPr>
            </w:r>
            <w:r>
              <w:rPr>
                <w:noProof/>
                <w:webHidden/>
              </w:rPr>
              <w:fldChar w:fldCharType="separate"/>
            </w:r>
            <w:r>
              <w:rPr>
                <w:noProof/>
                <w:webHidden/>
              </w:rPr>
              <w:t>4</w:t>
            </w:r>
            <w:r>
              <w:rPr>
                <w:noProof/>
                <w:webHidden/>
              </w:rPr>
              <w:fldChar w:fldCharType="end"/>
            </w:r>
          </w:hyperlink>
        </w:p>
        <w:p w14:paraId="07C31B3D" w14:textId="53913ADA" w:rsidR="00565F8B" w:rsidRDefault="00565F8B" w:rsidP="00565F8B">
          <w:pPr>
            <w:pStyle w:val="TOC2"/>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79" w:history="1">
            <w:r w:rsidRPr="0068734E">
              <w:rPr>
                <w:rStyle w:val="Hyperlink"/>
                <w:noProof/>
              </w:rPr>
              <w:t>1.1</w:t>
            </w:r>
            <w:r>
              <w:rPr>
                <w:rFonts w:asciiTheme="minorHAnsi" w:eastAsiaTheme="minorEastAsia" w:hAnsiTheme="minorHAnsi" w:cstheme="minorBidi"/>
                <w:bCs w:val="0"/>
                <w:noProof/>
                <w:color w:val="auto"/>
                <w:sz w:val="22"/>
                <w:szCs w:val="22"/>
              </w:rPr>
              <w:tab/>
            </w:r>
            <w:r w:rsidRPr="0068734E">
              <w:rPr>
                <w:rStyle w:val="Hyperlink"/>
                <w:noProof/>
              </w:rPr>
              <w:t>Dilution Region Assessment of Maximum Probability of Collision – Mathematical Formulas</w:t>
            </w:r>
            <w:r>
              <w:rPr>
                <w:noProof/>
                <w:webHidden/>
              </w:rPr>
              <w:tab/>
            </w:r>
            <w:r>
              <w:rPr>
                <w:noProof/>
                <w:webHidden/>
              </w:rPr>
              <w:fldChar w:fldCharType="begin"/>
            </w:r>
            <w:r>
              <w:rPr>
                <w:noProof/>
                <w:webHidden/>
              </w:rPr>
              <w:instrText xml:space="preserve"> PAGEREF _Toc26338279 \h </w:instrText>
            </w:r>
            <w:r>
              <w:rPr>
                <w:noProof/>
                <w:webHidden/>
              </w:rPr>
            </w:r>
            <w:r>
              <w:rPr>
                <w:noProof/>
                <w:webHidden/>
              </w:rPr>
              <w:fldChar w:fldCharType="separate"/>
            </w:r>
            <w:r>
              <w:rPr>
                <w:noProof/>
                <w:webHidden/>
              </w:rPr>
              <w:t>4</w:t>
            </w:r>
            <w:r>
              <w:rPr>
                <w:noProof/>
                <w:webHidden/>
              </w:rPr>
              <w:fldChar w:fldCharType="end"/>
            </w:r>
          </w:hyperlink>
        </w:p>
        <w:p w14:paraId="62F8B2C6" w14:textId="5C9A1BF6" w:rsidR="00565F8B" w:rsidRDefault="00565F8B" w:rsidP="00565F8B">
          <w:pPr>
            <w:pStyle w:val="TOC2"/>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80" w:history="1">
            <w:r w:rsidRPr="0068734E">
              <w:rPr>
                <w:rStyle w:val="Hyperlink"/>
                <w:noProof/>
              </w:rPr>
              <w:t>1.2</w:t>
            </w:r>
            <w:r>
              <w:rPr>
                <w:rFonts w:asciiTheme="minorHAnsi" w:eastAsiaTheme="minorEastAsia" w:hAnsiTheme="minorHAnsi" w:cstheme="minorBidi"/>
                <w:bCs w:val="0"/>
                <w:noProof/>
                <w:color w:val="auto"/>
                <w:sz w:val="22"/>
                <w:szCs w:val="22"/>
              </w:rPr>
              <w:tab/>
            </w:r>
            <w:r w:rsidRPr="0068734E">
              <w:rPr>
                <w:rStyle w:val="Hyperlink"/>
                <w:noProof/>
              </w:rPr>
              <w:t>Dilution Region Assessment of Maximum Probability of Collision – Source Code Description</w:t>
            </w:r>
            <w:r>
              <w:rPr>
                <w:noProof/>
                <w:webHidden/>
              </w:rPr>
              <w:tab/>
            </w:r>
            <w:r>
              <w:rPr>
                <w:noProof/>
                <w:webHidden/>
              </w:rPr>
              <w:fldChar w:fldCharType="begin"/>
            </w:r>
            <w:r>
              <w:rPr>
                <w:noProof/>
                <w:webHidden/>
              </w:rPr>
              <w:instrText xml:space="preserve"> PAGEREF _Toc26338280 \h </w:instrText>
            </w:r>
            <w:r>
              <w:rPr>
                <w:noProof/>
                <w:webHidden/>
              </w:rPr>
            </w:r>
            <w:r>
              <w:rPr>
                <w:noProof/>
                <w:webHidden/>
              </w:rPr>
              <w:fldChar w:fldCharType="separate"/>
            </w:r>
            <w:r>
              <w:rPr>
                <w:noProof/>
                <w:webHidden/>
              </w:rPr>
              <w:t>6</w:t>
            </w:r>
            <w:r>
              <w:rPr>
                <w:noProof/>
                <w:webHidden/>
              </w:rPr>
              <w:fldChar w:fldCharType="end"/>
            </w:r>
          </w:hyperlink>
        </w:p>
        <w:p w14:paraId="79EF37EF" w14:textId="49ED851B" w:rsidR="00565F8B" w:rsidRDefault="00565F8B" w:rsidP="00565F8B">
          <w:pPr>
            <w:pStyle w:val="TOC2"/>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81" w:history="1">
            <w:r w:rsidRPr="0068734E">
              <w:rPr>
                <w:rStyle w:val="Hyperlink"/>
                <w:noProof/>
              </w:rPr>
              <w:t>1.3</w:t>
            </w:r>
            <w:r>
              <w:rPr>
                <w:rFonts w:asciiTheme="minorHAnsi" w:eastAsiaTheme="minorEastAsia" w:hAnsiTheme="minorHAnsi" w:cstheme="minorBidi"/>
                <w:bCs w:val="0"/>
                <w:noProof/>
                <w:color w:val="auto"/>
                <w:sz w:val="22"/>
                <w:szCs w:val="22"/>
              </w:rPr>
              <w:tab/>
            </w:r>
            <w:r w:rsidRPr="0068734E">
              <w:rPr>
                <w:rStyle w:val="Hyperlink"/>
                <w:noProof/>
              </w:rPr>
              <w:t>Frisbee’s Method of Determining Maximum 2D Probability of Collision – Mathematical Formulas</w:t>
            </w:r>
            <w:r>
              <w:rPr>
                <w:noProof/>
                <w:webHidden/>
              </w:rPr>
              <w:tab/>
            </w:r>
            <w:r>
              <w:rPr>
                <w:noProof/>
                <w:webHidden/>
              </w:rPr>
              <w:fldChar w:fldCharType="begin"/>
            </w:r>
            <w:r>
              <w:rPr>
                <w:noProof/>
                <w:webHidden/>
              </w:rPr>
              <w:instrText xml:space="preserve"> PAGEREF _Toc26338281 \h </w:instrText>
            </w:r>
            <w:r>
              <w:rPr>
                <w:noProof/>
                <w:webHidden/>
              </w:rPr>
            </w:r>
            <w:r>
              <w:rPr>
                <w:noProof/>
                <w:webHidden/>
              </w:rPr>
              <w:fldChar w:fldCharType="separate"/>
            </w:r>
            <w:r>
              <w:rPr>
                <w:noProof/>
                <w:webHidden/>
              </w:rPr>
              <w:t>8</w:t>
            </w:r>
            <w:r>
              <w:rPr>
                <w:noProof/>
                <w:webHidden/>
              </w:rPr>
              <w:fldChar w:fldCharType="end"/>
            </w:r>
          </w:hyperlink>
        </w:p>
        <w:p w14:paraId="6941BC24" w14:textId="5A53480C" w:rsidR="00565F8B" w:rsidRDefault="00565F8B" w:rsidP="00565F8B">
          <w:pPr>
            <w:pStyle w:val="TOC2"/>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82" w:history="1">
            <w:r w:rsidRPr="0068734E">
              <w:rPr>
                <w:rStyle w:val="Hyperlink"/>
                <w:noProof/>
              </w:rPr>
              <w:t>1.4</w:t>
            </w:r>
            <w:r>
              <w:rPr>
                <w:rFonts w:asciiTheme="minorHAnsi" w:eastAsiaTheme="minorEastAsia" w:hAnsiTheme="minorHAnsi" w:cstheme="minorBidi"/>
                <w:bCs w:val="0"/>
                <w:noProof/>
                <w:color w:val="auto"/>
                <w:sz w:val="22"/>
                <w:szCs w:val="22"/>
              </w:rPr>
              <w:tab/>
            </w:r>
            <w:r w:rsidRPr="0068734E">
              <w:rPr>
                <w:rStyle w:val="Hyperlink"/>
                <w:noProof/>
              </w:rPr>
              <w:t>Frisbee’s Method of Determining Maximum 2D Probability of Collision – Source Code Description</w:t>
            </w:r>
            <w:r>
              <w:rPr>
                <w:noProof/>
                <w:webHidden/>
              </w:rPr>
              <w:tab/>
            </w:r>
            <w:r>
              <w:rPr>
                <w:noProof/>
                <w:webHidden/>
              </w:rPr>
              <w:fldChar w:fldCharType="begin"/>
            </w:r>
            <w:r>
              <w:rPr>
                <w:noProof/>
                <w:webHidden/>
              </w:rPr>
              <w:instrText xml:space="preserve"> PAGEREF _Toc26338282 \h </w:instrText>
            </w:r>
            <w:r>
              <w:rPr>
                <w:noProof/>
                <w:webHidden/>
              </w:rPr>
            </w:r>
            <w:r>
              <w:rPr>
                <w:noProof/>
                <w:webHidden/>
              </w:rPr>
              <w:fldChar w:fldCharType="separate"/>
            </w:r>
            <w:r>
              <w:rPr>
                <w:noProof/>
                <w:webHidden/>
              </w:rPr>
              <w:t>13</w:t>
            </w:r>
            <w:r>
              <w:rPr>
                <w:noProof/>
                <w:webHidden/>
              </w:rPr>
              <w:fldChar w:fldCharType="end"/>
            </w:r>
          </w:hyperlink>
        </w:p>
        <w:p w14:paraId="19DB95B6" w14:textId="5A91201B" w:rsidR="00565F8B" w:rsidRDefault="00565F8B" w:rsidP="00565F8B">
          <w:pPr>
            <w:pStyle w:val="TOC1"/>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83" w:history="1">
            <w:r w:rsidRPr="0068734E">
              <w:rPr>
                <w:rStyle w:val="Hyperlink"/>
                <w:noProof/>
              </w:rPr>
              <w:t>2.0</w:t>
            </w:r>
            <w:r>
              <w:rPr>
                <w:rFonts w:asciiTheme="minorHAnsi" w:eastAsiaTheme="minorEastAsia" w:hAnsiTheme="minorHAnsi" w:cstheme="minorBidi"/>
                <w:bCs w:val="0"/>
                <w:noProof/>
                <w:color w:val="auto"/>
                <w:sz w:val="22"/>
                <w:szCs w:val="22"/>
              </w:rPr>
              <w:tab/>
            </w:r>
            <w:r w:rsidRPr="0068734E">
              <w:rPr>
                <w:rStyle w:val="Hyperlink"/>
                <w:noProof/>
              </w:rPr>
              <w:t>Acronyms</w:t>
            </w:r>
            <w:r>
              <w:rPr>
                <w:noProof/>
                <w:webHidden/>
              </w:rPr>
              <w:tab/>
            </w:r>
            <w:r>
              <w:rPr>
                <w:noProof/>
                <w:webHidden/>
              </w:rPr>
              <w:fldChar w:fldCharType="begin"/>
            </w:r>
            <w:r>
              <w:rPr>
                <w:noProof/>
                <w:webHidden/>
              </w:rPr>
              <w:instrText xml:space="preserve"> PAGEREF _Toc26338283 \h </w:instrText>
            </w:r>
            <w:r>
              <w:rPr>
                <w:noProof/>
                <w:webHidden/>
              </w:rPr>
            </w:r>
            <w:r>
              <w:rPr>
                <w:noProof/>
                <w:webHidden/>
              </w:rPr>
              <w:fldChar w:fldCharType="separate"/>
            </w:r>
            <w:r>
              <w:rPr>
                <w:noProof/>
                <w:webHidden/>
              </w:rPr>
              <w:t>17</w:t>
            </w:r>
            <w:r>
              <w:rPr>
                <w:noProof/>
                <w:webHidden/>
              </w:rPr>
              <w:fldChar w:fldCharType="end"/>
            </w:r>
          </w:hyperlink>
        </w:p>
        <w:p w14:paraId="180B186C" w14:textId="0B1BC888" w:rsidR="00565F8B" w:rsidRDefault="00565F8B" w:rsidP="00565F8B">
          <w:pPr>
            <w:pStyle w:val="TOC1"/>
            <w:tabs>
              <w:tab w:val="clear" w:pos="9360"/>
              <w:tab w:val="right" w:leader="dot" w:pos="10800"/>
            </w:tabs>
            <w:ind w:left="720" w:hanging="720"/>
            <w:rPr>
              <w:rFonts w:asciiTheme="minorHAnsi" w:eastAsiaTheme="minorEastAsia" w:hAnsiTheme="minorHAnsi" w:cstheme="minorBidi"/>
              <w:bCs w:val="0"/>
              <w:noProof/>
              <w:color w:val="auto"/>
              <w:sz w:val="22"/>
              <w:szCs w:val="22"/>
            </w:rPr>
          </w:pPr>
          <w:hyperlink w:anchor="_Toc26338284" w:history="1">
            <w:r w:rsidRPr="0068734E">
              <w:rPr>
                <w:rStyle w:val="Hyperlink"/>
                <w:noProof/>
              </w:rPr>
              <w:t>3.0</w:t>
            </w:r>
            <w:r>
              <w:rPr>
                <w:rFonts w:asciiTheme="minorHAnsi" w:eastAsiaTheme="minorEastAsia" w:hAnsiTheme="minorHAnsi" w:cstheme="minorBidi"/>
                <w:bCs w:val="0"/>
                <w:noProof/>
                <w:color w:val="auto"/>
                <w:sz w:val="22"/>
                <w:szCs w:val="22"/>
              </w:rPr>
              <w:tab/>
            </w:r>
            <w:r w:rsidRPr="0068734E">
              <w:rPr>
                <w:rStyle w:val="Hyperlink"/>
                <w:noProof/>
              </w:rPr>
              <w:t>References</w:t>
            </w:r>
            <w:r>
              <w:rPr>
                <w:noProof/>
                <w:webHidden/>
              </w:rPr>
              <w:tab/>
            </w:r>
            <w:r>
              <w:rPr>
                <w:noProof/>
                <w:webHidden/>
              </w:rPr>
              <w:fldChar w:fldCharType="begin"/>
            </w:r>
            <w:r>
              <w:rPr>
                <w:noProof/>
                <w:webHidden/>
              </w:rPr>
              <w:instrText xml:space="preserve"> PAGEREF _Toc26338284 \h </w:instrText>
            </w:r>
            <w:r>
              <w:rPr>
                <w:noProof/>
                <w:webHidden/>
              </w:rPr>
            </w:r>
            <w:r>
              <w:rPr>
                <w:noProof/>
                <w:webHidden/>
              </w:rPr>
              <w:fldChar w:fldCharType="separate"/>
            </w:r>
            <w:r>
              <w:rPr>
                <w:noProof/>
                <w:webHidden/>
              </w:rPr>
              <w:t>18</w:t>
            </w:r>
            <w:r>
              <w:rPr>
                <w:noProof/>
                <w:webHidden/>
              </w:rPr>
              <w:fldChar w:fldCharType="end"/>
            </w:r>
          </w:hyperlink>
        </w:p>
        <w:p w14:paraId="3CC1E86D" w14:textId="5BB73EBF" w:rsidR="00CC770B" w:rsidRPr="00B76CCD" w:rsidRDefault="00CC770B" w:rsidP="00CC770B">
          <w:pPr>
            <w:tabs>
              <w:tab w:val="right" w:leader="dot" w:pos="10800"/>
            </w:tabs>
            <w:spacing w:before="60" w:after="0" w:line="288" w:lineRule="auto"/>
            <w:rPr>
              <w:rFonts w:ascii="Arial" w:hAnsi="Arial" w:cs="Arial"/>
            </w:rPr>
          </w:pPr>
          <w:r w:rsidRPr="00B76CCD">
            <w:rPr>
              <w:rFonts w:ascii="Arial" w:hAnsi="Arial" w:cs="Arial"/>
            </w:rPr>
            <w:fldChar w:fldCharType="end"/>
          </w:r>
        </w:p>
      </w:sdtContent>
    </w:sdt>
    <w:p w14:paraId="75FE6D65" w14:textId="77777777" w:rsidR="00CC770B" w:rsidRPr="00B76CCD" w:rsidRDefault="00CC770B" w:rsidP="00CC770B">
      <w:pPr>
        <w:pStyle w:val="Heading1"/>
        <w:numPr>
          <w:ilvl w:val="0"/>
          <w:numId w:val="0"/>
        </w:numPr>
      </w:pPr>
      <w:bookmarkStart w:id="4" w:name="_Toc26338277"/>
      <w:r w:rsidRPr="00B76CCD">
        <w:t>List of Figures</w:t>
      </w:r>
      <w:bookmarkEnd w:id="4"/>
    </w:p>
    <w:p w14:paraId="025A4DD9" w14:textId="666A4ABC" w:rsidR="00565F8B" w:rsidRDefault="00CC770B">
      <w:pPr>
        <w:pStyle w:val="TableofFigures"/>
        <w:tabs>
          <w:tab w:val="right" w:leader="dot" w:pos="10790"/>
        </w:tabs>
        <w:rPr>
          <w:rFonts w:asciiTheme="minorHAnsi" w:eastAsiaTheme="minorEastAsia" w:hAnsiTheme="minorHAnsi" w:cstheme="minorBidi"/>
          <w:bCs w:val="0"/>
          <w:noProof/>
          <w:color w:val="auto"/>
          <w:sz w:val="22"/>
          <w:szCs w:val="22"/>
        </w:rPr>
      </w:pPr>
      <w:r w:rsidRPr="00B76CCD">
        <w:rPr>
          <w:rFonts w:eastAsiaTheme="majorEastAsia" w:cs="Arial"/>
          <w:color w:val="2E74B5" w:themeColor="accent1" w:themeShade="BF"/>
          <w:szCs w:val="24"/>
        </w:rPr>
        <w:fldChar w:fldCharType="begin"/>
      </w:r>
      <w:r w:rsidRPr="00B76CCD">
        <w:rPr>
          <w:rFonts w:eastAsiaTheme="majorEastAsia" w:cs="Arial"/>
          <w:color w:val="2E74B5" w:themeColor="accent1" w:themeShade="BF"/>
          <w:szCs w:val="24"/>
        </w:rPr>
        <w:instrText xml:space="preserve"> TOC \h \z \c "Figure" </w:instrText>
      </w:r>
      <w:r w:rsidRPr="00B76CCD">
        <w:rPr>
          <w:rFonts w:eastAsiaTheme="majorEastAsia" w:cs="Arial"/>
          <w:color w:val="2E74B5" w:themeColor="accent1" w:themeShade="BF"/>
          <w:szCs w:val="24"/>
        </w:rPr>
        <w:fldChar w:fldCharType="separate"/>
      </w:r>
      <w:hyperlink w:anchor="_Toc26338285" w:history="1">
        <w:r w:rsidR="00565F8B" w:rsidRPr="007140B7">
          <w:rPr>
            <w:rStyle w:val="Hyperlink"/>
            <w:noProof/>
          </w:rPr>
          <w:t>Figure 1: Conjunction-Plane rendering of 2-D Pc Calculation</w:t>
        </w:r>
        <w:bookmarkStart w:id="5" w:name="_GoBack"/>
        <w:bookmarkEnd w:id="5"/>
        <w:r w:rsidR="00565F8B">
          <w:rPr>
            <w:noProof/>
            <w:webHidden/>
          </w:rPr>
          <w:tab/>
        </w:r>
        <w:r w:rsidR="00565F8B">
          <w:rPr>
            <w:noProof/>
            <w:webHidden/>
          </w:rPr>
          <w:fldChar w:fldCharType="begin"/>
        </w:r>
        <w:r w:rsidR="00565F8B">
          <w:rPr>
            <w:noProof/>
            <w:webHidden/>
          </w:rPr>
          <w:instrText xml:space="preserve"> PAGEREF _Toc26338285 \h </w:instrText>
        </w:r>
        <w:r w:rsidR="00565F8B">
          <w:rPr>
            <w:noProof/>
            <w:webHidden/>
          </w:rPr>
        </w:r>
        <w:r w:rsidR="00565F8B">
          <w:rPr>
            <w:noProof/>
            <w:webHidden/>
          </w:rPr>
          <w:fldChar w:fldCharType="separate"/>
        </w:r>
        <w:r w:rsidR="00565F8B">
          <w:rPr>
            <w:noProof/>
            <w:webHidden/>
          </w:rPr>
          <w:t>5</w:t>
        </w:r>
        <w:r w:rsidR="00565F8B">
          <w:rPr>
            <w:noProof/>
            <w:webHidden/>
          </w:rPr>
          <w:fldChar w:fldCharType="end"/>
        </w:r>
      </w:hyperlink>
    </w:p>
    <w:p w14:paraId="5D6937C0" w14:textId="6E1963E4"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86" w:history="1">
        <w:r w:rsidRPr="007140B7">
          <w:rPr>
            <w:rStyle w:val="Hyperlink"/>
            <w:noProof/>
          </w:rPr>
          <w:t>Figure 2: Pc vs the Ratio of Covariance Size to Miss Distance</w:t>
        </w:r>
        <w:r>
          <w:rPr>
            <w:noProof/>
            <w:webHidden/>
          </w:rPr>
          <w:tab/>
        </w:r>
        <w:r>
          <w:rPr>
            <w:noProof/>
            <w:webHidden/>
          </w:rPr>
          <w:fldChar w:fldCharType="begin"/>
        </w:r>
        <w:r>
          <w:rPr>
            <w:noProof/>
            <w:webHidden/>
          </w:rPr>
          <w:instrText xml:space="preserve"> PAGEREF _Toc26338286 \h </w:instrText>
        </w:r>
        <w:r>
          <w:rPr>
            <w:noProof/>
            <w:webHidden/>
          </w:rPr>
        </w:r>
        <w:r>
          <w:rPr>
            <w:noProof/>
            <w:webHidden/>
          </w:rPr>
          <w:fldChar w:fldCharType="separate"/>
        </w:r>
        <w:r>
          <w:rPr>
            <w:noProof/>
            <w:webHidden/>
          </w:rPr>
          <w:t>6</w:t>
        </w:r>
        <w:r>
          <w:rPr>
            <w:noProof/>
            <w:webHidden/>
          </w:rPr>
          <w:fldChar w:fldCharType="end"/>
        </w:r>
      </w:hyperlink>
    </w:p>
    <w:p w14:paraId="288CAA41" w14:textId="25724DFF"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87" w:history="1">
        <w:r w:rsidRPr="007140B7">
          <w:rPr>
            <w:rStyle w:val="Hyperlink"/>
            <w:noProof/>
          </w:rPr>
          <w:t>Figure 3: Graphic Representation on Maximum Pc Covariance in the Conjunction Plane</w:t>
        </w:r>
        <w:r w:rsidRPr="007140B7">
          <w:rPr>
            <w:rStyle w:val="Hyperlink"/>
            <w:noProof/>
            <w:vertAlign w:val="superscript"/>
          </w:rPr>
          <w:t>ii</w:t>
        </w:r>
        <w:r>
          <w:rPr>
            <w:noProof/>
            <w:webHidden/>
          </w:rPr>
          <w:tab/>
        </w:r>
        <w:r>
          <w:rPr>
            <w:noProof/>
            <w:webHidden/>
          </w:rPr>
          <w:fldChar w:fldCharType="begin"/>
        </w:r>
        <w:r>
          <w:rPr>
            <w:noProof/>
            <w:webHidden/>
          </w:rPr>
          <w:instrText xml:space="preserve"> PAGEREF _Toc26338287 \h </w:instrText>
        </w:r>
        <w:r>
          <w:rPr>
            <w:noProof/>
            <w:webHidden/>
          </w:rPr>
        </w:r>
        <w:r>
          <w:rPr>
            <w:noProof/>
            <w:webHidden/>
          </w:rPr>
          <w:fldChar w:fldCharType="separate"/>
        </w:r>
        <w:r>
          <w:rPr>
            <w:noProof/>
            <w:webHidden/>
          </w:rPr>
          <w:t>9</w:t>
        </w:r>
        <w:r>
          <w:rPr>
            <w:noProof/>
            <w:webHidden/>
          </w:rPr>
          <w:fldChar w:fldCharType="end"/>
        </w:r>
      </w:hyperlink>
    </w:p>
    <w:p w14:paraId="376C4081" w14:textId="46F918D4"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88" w:history="1">
        <w:r w:rsidRPr="007140B7">
          <w:rPr>
            <w:rStyle w:val="Hyperlink"/>
            <w:noProof/>
          </w:rPr>
          <w:t>Figure 4: Comparison of Frisbee’s Approximation to the Integrated Maximum Probability of Collision for Frisbee’s Example.</w:t>
        </w:r>
        <w:r>
          <w:rPr>
            <w:noProof/>
            <w:webHidden/>
          </w:rPr>
          <w:tab/>
        </w:r>
        <w:r>
          <w:rPr>
            <w:noProof/>
            <w:webHidden/>
          </w:rPr>
          <w:fldChar w:fldCharType="begin"/>
        </w:r>
        <w:r>
          <w:rPr>
            <w:noProof/>
            <w:webHidden/>
          </w:rPr>
          <w:instrText xml:space="preserve"> PAGEREF _Toc26338288 \h </w:instrText>
        </w:r>
        <w:r>
          <w:rPr>
            <w:noProof/>
            <w:webHidden/>
          </w:rPr>
        </w:r>
        <w:r>
          <w:rPr>
            <w:noProof/>
            <w:webHidden/>
          </w:rPr>
          <w:fldChar w:fldCharType="separate"/>
        </w:r>
        <w:r>
          <w:rPr>
            <w:noProof/>
            <w:webHidden/>
          </w:rPr>
          <w:t>11</w:t>
        </w:r>
        <w:r>
          <w:rPr>
            <w:noProof/>
            <w:webHidden/>
          </w:rPr>
          <w:fldChar w:fldCharType="end"/>
        </w:r>
      </w:hyperlink>
    </w:p>
    <w:p w14:paraId="4EF353E1" w14:textId="41FE1B69"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89" w:history="1">
        <w:r w:rsidRPr="007140B7">
          <w:rPr>
            <w:rStyle w:val="Hyperlink"/>
            <w:noProof/>
          </w:rPr>
          <w:t>Figure 5: Comparison of Frisbee’s Approximation to the Integrated Maximum Probability of Collision for Collision with a Pc = 4.20E-01.</w:t>
        </w:r>
        <w:r>
          <w:rPr>
            <w:noProof/>
            <w:webHidden/>
          </w:rPr>
          <w:tab/>
        </w:r>
        <w:r>
          <w:rPr>
            <w:noProof/>
            <w:webHidden/>
          </w:rPr>
          <w:fldChar w:fldCharType="begin"/>
        </w:r>
        <w:r>
          <w:rPr>
            <w:noProof/>
            <w:webHidden/>
          </w:rPr>
          <w:instrText xml:space="preserve"> PAGEREF _Toc26338289 \h </w:instrText>
        </w:r>
        <w:r>
          <w:rPr>
            <w:noProof/>
            <w:webHidden/>
          </w:rPr>
        </w:r>
        <w:r>
          <w:rPr>
            <w:noProof/>
            <w:webHidden/>
          </w:rPr>
          <w:fldChar w:fldCharType="separate"/>
        </w:r>
        <w:r>
          <w:rPr>
            <w:noProof/>
            <w:webHidden/>
          </w:rPr>
          <w:t>12</w:t>
        </w:r>
        <w:r>
          <w:rPr>
            <w:noProof/>
            <w:webHidden/>
          </w:rPr>
          <w:fldChar w:fldCharType="end"/>
        </w:r>
      </w:hyperlink>
    </w:p>
    <w:p w14:paraId="04F125D8" w14:textId="4B1867FE" w:rsidR="00CC770B" w:rsidRPr="009D7F1C" w:rsidRDefault="00CC770B" w:rsidP="00CC770B">
      <w:pPr>
        <w:tabs>
          <w:tab w:val="right" w:leader="dot" w:pos="10710"/>
        </w:tabs>
        <w:rPr>
          <w:rFonts w:ascii="Arial" w:hAnsi="Arial" w:cs="Arial"/>
          <w:sz w:val="32"/>
          <w:szCs w:val="32"/>
        </w:rPr>
      </w:pPr>
      <w:r w:rsidRPr="00B76CCD">
        <w:rPr>
          <w:rFonts w:ascii="Arial" w:hAnsi="Arial" w:cs="Arial"/>
        </w:rPr>
        <w:fldChar w:fldCharType="end"/>
      </w:r>
      <w:r w:rsidRPr="009D7F1C">
        <w:rPr>
          <w:rFonts w:ascii="Arial" w:hAnsi="Arial" w:cs="Arial"/>
          <w:b/>
          <w:sz w:val="32"/>
          <w:szCs w:val="32"/>
        </w:rPr>
        <w:t>List of Tables</w:t>
      </w:r>
    </w:p>
    <w:p w14:paraId="019DE04C" w14:textId="3898FAED" w:rsidR="00565F8B" w:rsidRDefault="00CC770B">
      <w:pPr>
        <w:pStyle w:val="TableofFigures"/>
        <w:tabs>
          <w:tab w:val="right" w:leader="dot" w:pos="10790"/>
        </w:tabs>
        <w:rPr>
          <w:rFonts w:asciiTheme="minorHAnsi" w:eastAsiaTheme="minorEastAsia" w:hAnsiTheme="minorHAnsi" w:cstheme="minorBidi"/>
          <w:bCs w:val="0"/>
          <w:noProof/>
          <w:color w:val="auto"/>
          <w:sz w:val="22"/>
          <w:szCs w:val="22"/>
        </w:rPr>
      </w:pPr>
      <w:r w:rsidRPr="00B76CCD">
        <w:rPr>
          <w:rFonts w:cs="Arial"/>
          <w:noProof/>
        </w:rPr>
        <w:fldChar w:fldCharType="begin"/>
      </w:r>
      <w:r w:rsidRPr="00B76CCD">
        <w:rPr>
          <w:rFonts w:cs="Arial"/>
          <w:noProof/>
        </w:rPr>
        <w:instrText xml:space="preserve"> TOC \h \z \c "Table" </w:instrText>
      </w:r>
      <w:r w:rsidRPr="00B76CCD">
        <w:rPr>
          <w:rFonts w:cs="Arial"/>
          <w:noProof/>
        </w:rPr>
        <w:fldChar w:fldCharType="separate"/>
      </w:r>
      <w:hyperlink w:anchor="_Toc26338290" w:history="1">
        <w:r w:rsidR="00565F8B" w:rsidRPr="00925CF7">
          <w:rPr>
            <w:rStyle w:val="Hyperlink"/>
            <w:noProof/>
          </w:rPr>
          <w:t>Table 1: Dilution Region Maximum Probability of Collision Routine Input Parameters</w:t>
        </w:r>
        <w:r w:rsidR="00565F8B">
          <w:rPr>
            <w:noProof/>
            <w:webHidden/>
          </w:rPr>
          <w:tab/>
        </w:r>
        <w:r w:rsidR="00565F8B">
          <w:rPr>
            <w:noProof/>
            <w:webHidden/>
          </w:rPr>
          <w:fldChar w:fldCharType="begin"/>
        </w:r>
        <w:r w:rsidR="00565F8B">
          <w:rPr>
            <w:noProof/>
            <w:webHidden/>
          </w:rPr>
          <w:instrText xml:space="preserve"> PAGEREF _Toc26338290 \h </w:instrText>
        </w:r>
        <w:r w:rsidR="00565F8B">
          <w:rPr>
            <w:noProof/>
            <w:webHidden/>
          </w:rPr>
        </w:r>
        <w:r w:rsidR="00565F8B">
          <w:rPr>
            <w:noProof/>
            <w:webHidden/>
          </w:rPr>
          <w:fldChar w:fldCharType="separate"/>
        </w:r>
        <w:r w:rsidR="00565F8B">
          <w:rPr>
            <w:noProof/>
            <w:webHidden/>
          </w:rPr>
          <w:t>6</w:t>
        </w:r>
        <w:r w:rsidR="00565F8B">
          <w:rPr>
            <w:noProof/>
            <w:webHidden/>
          </w:rPr>
          <w:fldChar w:fldCharType="end"/>
        </w:r>
      </w:hyperlink>
    </w:p>
    <w:p w14:paraId="20B281F4" w14:textId="2610D408"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91" w:history="1">
        <w:r w:rsidRPr="00925CF7">
          <w:rPr>
            <w:rStyle w:val="Hyperlink"/>
            <w:noProof/>
          </w:rPr>
          <w:t>Table 2: Dilution Region Maximum Probability of Collision Routine Output Parameters</w:t>
        </w:r>
        <w:r>
          <w:rPr>
            <w:noProof/>
            <w:webHidden/>
          </w:rPr>
          <w:tab/>
        </w:r>
        <w:r>
          <w:rPr>
            <w:noProof/>
            <w:webHidden/>
          </w:rPr>
          <w:fldChar w:fldCharType="begin"/>
        </w:r>
        <w:r>
          <w:rPr>
            <w:noProof/>
            <w:webHidden/>
          </w:rPr>
          <w:instrText xml:space="preserve"> PAGEREF _Toc26338291 \h </w:instrText>
        </w:r>
        <w:r>
          <w:rPr>
            <w:noProof/>
            <w:webHidden/>
          </w:rPr>
        </w:r>
        <w:r>
          <w:rPr>
            <w:noProof/>
            <w:webHidden/>
          </w:rPr>
          <w:fldChar w:fldCharType="separate"/>
        </w:r>
        <w:r>
          <w:rPr>
            <w:noProof/>
            <w:webHidden/>
          </w:rPr>
          <w:t>7</w:t>
        </w:r>
        <w:r>
          <w:rPr>
            <w:noProof/>
            <w:webHidden/>
          </w:rPr>
          <w:fldChar w:fldCharType="end"/>
        </w:r>
      </w:hyperlink>
    </w:p>
    <w:p w14:paraId="7B3025E9" w14:textId="64F73867"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92" w:history="1">
        <w:r w:rsidRPr="00925CF7">
          <w:rPr>
            <w:rStyle w:val="Hyperlink"/>
            <w:noProof/>
          </w:rPr>
          <w:t>Table 3: 2D Probability of Collision Foster Function Unit Test Cases</w:t>
        </w:r>
        <w:r>
          <w:rPr>
            <w:noProof/>
            <w:webHidden/>
          </w:rPr>
          <w:tab/>
        </w:r>
        <w:r>
          <w:rPr>
            <w:noProof/>
            <w:webHidden/>
          </w:rPr>
          <w:fldChar w:fldCharType="begin"/>
        </w:r>
        <w:r>
          <w:rPr>
            <w:noProof/>
            <w:webHidden/>
          </w:rPr>
          <w:instrText xml:space="preserve"> PAGEREF _Toc26338292 \h </w:instrText>
        </w:r>
        <w:r>
          <w:rPr>
            <w:noProof/>
            <w:webHidden/>
          </w:rPr>
        </w:r>
        <w:r>
          <w:rPr>
            <w:noProof/>
            <w:webHidden/>
          </w:rPr>
          <w:fldChar w:fldCharType="separate"/>
        </w:r>
        <w:r>
          <w:rPr>
            <w:noProof/>
            <w:webHidden/>
          </w:rPr>
          <w:t>8</w:t>
        </w:r>
        <w:r>
          <w:rPr>
            <w:noProof/>
            <w:webHidden/>
          </w:rPr>
          <w:fldChar w:fldCharType="end"/>
        </w:r>
      </w:hyperlink>
    </w:p>
    <w:p w14:paraId="012B50CD" w14:textId="636680C7"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93" w:history="1">
        <w:r w:rsidRPr="00925CF7">
          <w:rPr>
            <w:rStyle w:val="Hyperlink"/>
            <w:noProof/>
          </w:rPr>
          <w:t>Table 4: Maximum 2D Probability of Collision Routine Input Parameters</w:t>
        </w:r>
        <w:r>
          <w:rPr>
            <w:noProof/>
            <w:webHidden/>
          </w:rPr>
          <w:tab/>
        </w:r>
        <w:r>
          <w:rPr>
            <w:noProof/>
            <w:webHidden/>
          </w:rPr>
          <w:fldChar w:fldCharType="begin"/>
        </w:r>
        <w:r>
          <w:rPr>
            <w:noProof/>
            <w:webHidden/>
          </w:rPr>
          <w:instrText xml:space="preserve"> PAGEREF _Toc26338293 \h </w:instrText>
        </w:r>
        <w:r>
          <w:rPr>
            <w:noProof/>
            <w:webHidden/>
          </w:rPr>
        </w:r>
        <w:r>
          <w:rPr>
            <w:noProof/>
            <w:webHidden/>
          </w:rPr>
          <w:fldChar w:fldCharType="separate"/>
        </w:r>
        <w:r>
          <w:rPr>
            <w:noProof/>
            <w:webHidden/>
          </w:rPr>
          <w:t>13</w:t>
        </w:r>
        <w:r>
          <w:rPr>
            <w:noProof/>
            <w:webHidden/>
          </w:rPr>
          <w:fldChar w:fldCharType="end"/>
        </w:r>
      </w:hyperlink>
    </w:p>
    <w:p w14:paraId="75C7689D" w14:textId="1BBED0CD"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94" w:history="1">
        <w:r w:rsidRPr="00925CF7">
          <w:rPr>
            <w:rStyle w:val="Hyperlink"/>
            <w:noProof/>
          </w:rPr>
          <w:t>Table 5: Maximum 2D Probability of Collision Routine Output Parameters</w:t>
        </w:r>
        <w:r>
          <w:rPr>
            <w:noProof/>
            <w:webHidden/>
          </w:rPr>
          <w:tab/>
        </w:r>
        <w:r>
          <w:rPr>
            <w:noProof/>
            <w:webHidden/>
          </w:rPr>
          <w:fldChar w:fldCharType="begin"/>
        </w:r>
        <w:r>
          <w:rPr>
            <w:noProof/>
            <w:webHidden/>
          </w:rPr>
          <w:instrText xml:space="preserve"> PAGEREF _Toc26338294 \h </w:instrText>
        </w:r>
        <w:r>
          <w:rPr>
            <w:noProof/>
            <w:webHidden/>
          </w:rPr>
        </w:r>
        <w:r>
          <w:rPr>
            <w:noProof/>
            <w:webHidden/>
          </w:rPr>
          <w:fldChar w:fldCharType="separate"/>
        </w:r>
        <w:r>
          <w:rPr>
            <w:noProof/>
            <w:webHidden/>
          </w:rPr>
          <w:t>14</w:t>
        </w:r>
        <w:r>
          <w:rPr>
            <w:noProof/>
            <w:webHidden/>
          </w:rPr>
          <w:fldChar w:fldCharType="end"/>
        </w:r>
      </w:hyperlink>
    </w:p>
    <w:p w14:paraId="7E054C50" w14:textId="6AA7832B" w:rsidR="00565F8B" w:rsidRDefault="00565F8B">
      <w:pPr>
        <w:pStyle w:val="TableofFigures"/>
        <w:tabs>
          <w:tab w:val="right" w:leader="dot" w:pos="10790"/>
        </w:tabs>
        <w:rPr>
          <w:rFonts w:asciiTheme="minorHAnsi" w:eastAsiaTheme="minorEastAsia" w:hAnsiTheme="minorHAnsi" w:cstheme="minorBidi"/>
          <w:bCs w:val="0"/>
          <w:noProof/>
          <w:color w:val="auto"/>
          <w:sz w:val="22"/>
          <w:szCs w:val="22"/>
        </w:rPr>
      </w:pPr>
      <w:hyperlink w:anchor="_Toc26338295" w:history="1">
        <w:r w:rsidRPr="00925CF7">
          <w:rPr>
            <w:rStyle w:val="Hyperlink"/>
            <w:noProof/>
          </w:rPr>
          <w:t>Table 6: Maximum 2D Probability of Collision UnIt Test Cases</w:t>
        </w:r>
        <w:r>
          <w:rPr>
            <w:noProof/>
            <w:webHidden/>
          </w:rPr>
          <w:tab/>
        </w:r>
        <w:r>
          <w:rPr>
            <w:noProof/>
            <w:webHidden/>
          </w:rPr>
          <w:fldChar w:fldCharType="begin"/>
        </w:r>
        <w:r>
          <w:rPr>
            <w:noProof/>
            <w:webHidden/>
          </w:rPr>
          <w:instrText xml:space="preserve"> PAGEREF _Toc26338295 \h </w:instrText>
        </w:r>
        <w:r>
          <w:rPr>
            <w:noProof/>
            <w:webHidden/>
          </w:rPr>
        </w:r>
        <w:r>
          <w:rPr>
            <w:noProof/>
            <w:webHidden/>
          </w:rPr>
          <w:fldChar w:fldCharType="separate"/>
        </w:r>
        <w:r>
          <w:rPr>
            <w:noProof/>
            <w:webHidden/>
          </w:rPr>
          <w:t>14</w:t>
        </w:r>
        <w:r>
          <w:rPr>
            <w:noProof/>
            <w:webHidden/>
          </w:rPr>
          <w:fldChar w:fldCharType="end"/>
        </w:r>
      </w:hyperlink>
    </w:p>
    <w:p w14:paraId="3A6BC7B1" w14:textId="06EE5E22" w:rsidR="00CC770B" w:rsidRPr="00B76CCD" w:rsidRDefault="00CC770B" w:rsidP="00CC770B">
      <w:pPr>
        <w:pStyle w:val="TableofFigures"/>
        <w:tabs>
          <w:tab w:val="right" w:leader="dot" w:pos="10710"/>
        </w:tabs>
        <w:spacing w:before="0" w:line="288" w:lineRule="auto"/>
        <w:rPr>
          <w:rFonts w:cs="Arial"/>
          <w:noProof/>
        </w:rPr>
        <w:sectPr w:rsidR="00CC770B" w:rsidRPr="00B76CCD" w:rsidSect="00EC29B9">
          <w:footerReference w:type="default" r:id="rId9"/>
          <w:pgSz w:w="12240" w:h="15840" w:code="1"/>
          <w:pgMar w:top="720" w:right="720" w:bottom="720" w:left="720" w:header="720" w:footer="214" w:gutter="0"/>
          <w:pgNumType w:fmt="lowerRoman" w:start="1"/>
          <w:cols w:space="720"/>
          <w:titlePg/>
          <w:docGrid w:linePitch="360"/>
        </w:sectPr>
      </w:pPr>
      <w:r w:rsidRPr="00B76CCD">
        <w:rPr>
          <w:rFonts w:cs="Arial"/>
          <w:noProof/>
        </w:rPr>
        <w:fldChar w:fldCharType="end"/>
      </w:r>
    </w:p>
    <w:p w14:paraId="38C9673B" w14:textId="77777777" w:rsidR="00CC770B" w:rsidRDefault="00CC770B" w:rsidP="00470478">
      <w:pPr>
        <w:pStyle w:val="Heading1"/>
      </w:pPr>
      <w:bookmarkStart w:id="6" w:name="_Toc26336539"/>
      <w:bookmarkStart w:id="7" w:name="_Toc26338278"/>
      <w:bookmarkEnd w:id="3"/>
      <w:bookmarkEnd w:id="2"/>
      <w:r>
        <w:lastRenderedPageBreak/>
        <w:t>Maximum 2D Probability of Collision Calculation</w:t>
      </w:r>
      <w:bookmarkEnd w:id="6"/>
      <w:bookmarkEnd w:id="7"/>
    </w:p>
    <w:p w14:paraId="218A0652" w14:textId="77777777" w:rsidR="00CC770B" w:rsidRDefault="00CC770B" w:rsidP="00CC770B">
      <w:pPr>
        <w:jc w:val="both"/>
      </w:pPr>
      <w:r>
        <w:t xml:space="preserve">In the conjunction assessment community, there is sustained interest in determining not only the current probability of collision, but also the maximum probability of collision.  This is due to the probability of collision having a possibility of producing a false sense of security for occasions when the conjunction </w:t>
      </w:r>
      <w:proofErr w:type="gramStart"/>
      <w:r>
        <w:t>is not truly well characterized</w:t>
      </w:r>
      <w:proofErr w:type="gramEnd"/>
      <w:r>
        <w:t xml:space="preserve">.  In this </w:t>
      </w:r>
      <w:proofErr w:type="gramStart"/>
      <w:r>
        <w:t>section</w:t>
      </w:r>
      <w:proofErr w:type="gramEnd"/>
      <w:r>
        <w:t xml:space="preserve"> two methods are examined for determining the maximum probability of collision: </w:t>
      </w:r>
    </w:p>
    <w:p w14:paraId="472140FE" w14:textId="77777777" w:rsidR="00CC770B" w:rsidRDefault="00CC770B" w:rsidP="00CC770B">
      <w:pPr>
        <w:jc w:val="both"/>
      </w:pPr>
      <w:r>
        <w:t xml:space="preserve">First, when the orbital position uncertainties are high, the reported probability of collision may be low due to the sheer dilution of the combined covariance matrices. In this </w:t>
      </w:r>
      <w:proofErr w:type="gramStart"/>
      <w:r>
        <w:t>case</w:t>
      </w:r>
      <w:proofErr w:type="gramEnd"/>
      <w:r>
        <w:t xml:space="preserve"> the Pc is referred to as diluted and may understate the collision risk.</w:t>
      </w:r>
    </w:p>
    <w:p w14:paraId="61C73BDE" w14:textId="77777777" w:rsidR="00CC770B" w:rsidRPr="00C90F40" w:rsidRDefault="00CC770B" w:rsidP="00CC770B">
      <w:pPr>
        <w:jc w:val="both"/>
      </w:pPr>
      <w:r>
        <w:t xml:space="preserve">Second, if covariance data is unavailable for a specific object, no assumptions </w:t>
      </w:r>
      <w:proofErr w:type="gramStart"/>
      <w:r>
        <w:t>may be made</w:t>
      </w:r>
      <w:proofErr w:type="gramEnd"/>
      <w:r>
        <w:t xml:space="preserve"> about the object’s covariance, so there is an alternative measure of maximum probability of collision based on having no knowledge of one of the object’s covariance matrix.</w:t>
      </w:r>
    </w:p>
    <w:p w14:paraId="3350AD8F" w14:textId="77777777" w:rsidR="00CC770B" w:rsidRDefault="00CC770B" w:rsidP="00470478">
      <w:pPr>
        <w:pStyle w:val="Heading2"/>
      </w:pPr>
      <w:bookmarkStart w:id="8" w:name="_Toc26338279"/>
      <w:r>
        <w:t>Dilution Region Assessment of Maximum Probability of Collision – Mathematical Formulas</w:t>
      </w:r>
      <w:bookmarkEnd w:id="8"/>
    </w:p>
    <w:p w14:paraId="391F0EBB" w14:textId="4E6A2526" w:rsidR="00CC770B" w:rsidRPr="00DE491C" w:rsidRDefault="00CC770B" w:rsidP="00CC770B">
      <w:pPr>
        <w:jc w:val="both"/>
      </w:pPr>
      <w:proofErr w:type="spellStart"/>
      <w:r>
        <w:t>Hejduk</w:t>
      </w:r>
      <w:proofErr w:type="spellEnd"/>
      <w:r>
        <w:rPr>
          <w:rStyle w:val="EndnoteReference"/>
        </w:rPr>
        <w:endnoteReference w:id="1"/>
      </w:r>
      <w:r>
        <w:t xml:space="preserve"> outlines the method used to determine the dilution status and relevant maximum Pc when a conjunction is in the dilution region and builds on earlier bodies of work.  The dilution effect </w:t>
      </w:r>
      <w:proofErr w:type="gramStart"/>
      <w:r>
        <w:t>can be inferred</w:t>
      </w:r>
      <w:proofErr w:type="gramEnd"/>
      <w:r>
        <w:t xml:space="preserve"> from </w:t>
      </w:r>
      <w:r>
        <w:fldChar w:fldCharType="begin"/>
      </w:r>
      <w:r>
        <w:instrText xml:space="preserve"> REF _Ref23889823 \h </w:instrText>
      </w:r>
      <w:r>
        <w:fldChar w:fldCharType="separate"/>
      </w:r>
      <w:r w:rsidR="00565F8B">
        <w:t xml:space="preserve">Figure </w:t>
      </w:r>
      <w:r w:rsidR="00565F8B">
        <w:rPr>
          <w:noProof/>
        </w:rPr>
        <w:t>1</w:t>
      </w:r>
      <w:r>
        <w:fldChar w:fldCharType="end"/>
      </w:r>
      <w:r>
        <w:t xml:space="preserve"> where for a given HBR, there will be a particular joint covariance size that will maximize the amount of covariance probability density that falls within that HBR and thus will similarly maximize the calculated Pc.  Because such a Pc maximum exists, growing or shrinking the covariance from this value will produce smaller Pc values.</w:t>
      </w:r>
    </w:p>
    <w:p w14:paraId="7784F638" w14:textId="77777777" w:rsidR="00CC770B" w:rsidRDefault="00CC770B" w:rsidP="00CC770B">
      <w:pPr>
        <w:keepNext/>
        <w:jc w:val="center"/>
      </w:pPr>
      <w:r>
        <w:rPr>
          <w:noProof/>
        </w:rPr>
        <w:lastRenderedPageBreak/>
        <w:drawing>
          <wp:inline distT="0" distB="0" distL="0" distR="0" wp14:anchorId="0ED85E95" wp14:editId="1DB12896">
            <wp:extent cx="4876800" cy="3691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91255"/>
                    </a:xfrm>
                    <a:prstGeom prst="rect">
                      <a:avLst/>
                    </a:prstGeom>
                    <a:noFill/>
                    <a:ln>
                      <a:noFill/>
                    </a:ln>
                  </pic:spPr>
                </pic:pic>
              </a:graphicData>
            </a:graphic>
          </wp:inline>
        </w:drawing>
      </w:r>
    </w:p>
    <w:p w14:paraId="42E6BDD3" w14:textId="6FE5F5EE" w:rsidR="00CC770B" w:rsidRDefault="00CC770B" w:rsidP="00CC770B">
      <w:pPr>
        <w:pStyle w:val="Caption"/>
      </w:pPr>
      <w:bookmarkStart w:id="9" w:name="_Ref23889823"/>
      <w:bookmarkStart w:id="10" w:name="_Toc26336544"/>
      <w:bookmarkStart w:id="11" w:name="_Toc26338285"/>
      <w:r>
        <w:t xml:space="preserve">Figure </w:t>
      </w:r>
      <w:r>
        <w:fldChar w:fldCharType="begin"/>
      </w:r>
      <w:r>
        <w:instrText xml:space="preserve"> SEQ Figure \* ARABIC </w:instrText>
      </w:r>
      <w:r>
        <w:fldChar w:fldCharType="separate"/>
      </w:r>
      <w:r w:rsidR="00565F8B">
        <w:rPr>
          <w:noProof/>
        </w:rPr>
        <w:t>1</w:t>
      </w:r>
      <w:r>
        <w:rPr>
          <w:noProof/>
        </w:rPr>
        <w:fldChar w:fldCharType="end"/>
      </w:r>
      <w:bookmarkEnd w:id="9"/>
      <w:r>
        <w:t>: Conjunction-Plane rendering of 2-D Pc Calculation</w:t>
      </w:r>
      <w:bookmarkEnd w:id="10"/>
      <w:bookmarkEnd w:id="11"/>
    </w:p>
    <w:p w14:paraId="290D2EAE" w14:textId="0D9B5F01" w:rsidR="00CC770B" w:rsidRDefault="00CC770B" w:rsidP="00CC770B">
      <w:pPr>
        <w:jc w:val="both"/>
      </w:pPr>
      <w:r>
        <w:t xml:space="preserve">This </w:t>
      </w:r>
      <w:proofErr w:type="gramStart"/>
      <w:r>
        <w:t>can also be observed</w:t>
      </w:r>
      <w:proofErr w:type="gramEnd"/>
      <w:r>
        <w:t xml:space="preserve"> in </w:t>
      </w:r>
      <w:r>
        <w:fldChar w:fldCharType="begin"/>
      </w:r>
      <w:r>
        <w:instrText xml:space="preserve"> REF _Ref23905595 \h </w:instrText>
      </w:r>
      <w:r>
        <w:fldChar w:fldCharType="separate"/>
      </w:r>
      <w:r w:rsidR="00565F8B">
        <w:t xml:space="preserve">Figure </w:t>
      </w:r>
      <w:r w:rsidR="00565F8B">
        <w:rPr>
          <w:noProof/>
        </w:rPr>
        <w:t>2</w:t>
      </w:r>
      <w:r>
        <w:fldChar w:fldCharType="end"/>
      </w:r>
      <w:r>
        <w:t xml:space="preserve">, which demonstrates that as a covariance matrix expands, the Pc either grows in the robust region, or decreases in the dilution region.  To assess for a given CDM whether a conjunction is in the dilution region or not, either the primary covariance, the secondary covariance, or the combined covariance matrix is scaled and assessed vs the initial Pc estimate.  By scaling the covariance matrices individually, each object </w:t>
      </w:r>
      <w:proofErr w:type="gramStart"/>
      <w:r>
        <w:t>can be assessed</w:t>
      </w:r>
      <w:proofErr w:type="gramEnd"/>
      <w:r>
        <w:t xml:space="preserve"> for whether or not it is in the dilution region by examining the first derivative of Pc with respect to a linear scaling factor of one of the input covariance matrices.</w:t>
      </w:r>
    </w:p>
    <w:p w14:paraId="79C499AE" w14:textId="77777777" w:rsidR="00CC770B" w:rsidRPr="00C40AA1" w:rsidRDefault="00CC770B" w:rsidP="00CC770B">
      <w:pPr>
        <w:jc w:val="both"/>
        <w:rPr>
          <w:rFonts w:eastAsiaTheme="minorEastAsia"/>
        </w:rPr>
      </w:pPr>
      <m:oMathPara>
        <m:oMath>
          <m:f>
            <m:fPr>
              <m:ctrlPr>
                <w:rPr>
                  <w:rFonts w:ascii="Cambria Math" w:hAnsi="Cambria Math"/>
                  <w:i/>
                </w:rPr>
              </m:ctrlPr>
            </m:fPr>
            <m:num>
              <m:r>
                <w:rPr>
                  <w:rFonts w:ascii="Cambria Math" w:hAnsi="Cambria Math"/>
                </w:rPr>
                <m:t>∂Pc</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pri</m:t>
                  </m:r>
                </m:sub>
              </m:sSub>
            </m:den>
          </m:f>
          <m:r>
            <w:rPr>
              <w:rFonts w:ascii="Cambria Math" w:hAnsi="Cambria Math"/>
            </w:rPr>
            <m:t xml:space="preserve">&gt;1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 xml:space="preserve"> Primary Object in Robust Region</m:t>
          </m:r>
          <m:r>
            <m:rPr>
              <m:sty m:val="p"/>
            </m:rPr>
            <w:rPr>
              <w:rFonts w:ascii="Cambria Math" w:hAnsi="Cambria Math"/>
            </w:rPr>
            <w:br/>
          </m:r>
        </m:oMath>
        <m:oMath>
          <m:f>
            <m:fPr>
              <m:ctrlPr>
                <w:rPr>
                  <w:rFonts w:ascii="Cambria Math" w:hAnsi="Cambria Math"/>
                  <w:i/>
                </w:rPr>
              </m:ctrlPr>
            </m:fPr>
            <m:num>
              <m:r>
                <w:rPr>
                  <w:rFonts w:ascii="Cambria Math" w:hAnsi="Cambria Math"/>
                </w:rPr>
                <m:t>∂Pc</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pri</m:t>
                  </m:r>
                </m:sub>
              </m:sSub>
            </m:den>
          </m:f>
          <m:r>
            <w:rPr>
              <w:rFonts w:ascii="Cambria Math" w:hAnsi="Cambria Math"/>
            </w:rPr>
            <m:t>&lt;1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eastAsiaTheme="minorEastAsia" w:hAnsi="Cambria Math"/>
            </w:rPr>
            <m:t xml:space="preserve"> </m:t>
          </m:r>
          <m:r>
            <w:rPr>
              <w:rFonts w:ascii="Cambria Math" w:hAnsi="Cambria Math"/>
            </w:rPr>
            <m:t>Primary Object in Dilution Region</m:t>
          </m:r>
          <m:r>
            <m:rPr>
              <m:sty m:val="p"/>
            </m:rPr>
            <w:rPr>
              <w:rFonts w:ascii="Cambria Math" w:hAnsi="Cambria Math"/>
            </w:rPr>
            <w:br/>
          </m:r>
        </m:oMath>
        <m:oMath>
          <m:f>
            <m:fPr>
              <m:ctrlPr>
                <w:rPr>
                  <w:rFonts w:ascii="Cambria Math" w:hAnsi="Cambria Math"/>
                  <w:i/>
                </w:rPr>
              </m:ctrlPr>
            </m:fPr>
            <m:num>
              <m:r>
                <w:rPr>
                  <w:rFonts w:ascii="Cambria Math" w:hAnsi="Cambria Math"/>
                </w:rPr>
                <m:t>∂Pc</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sec</m:t>
                  </m:r>
                </m:sub>
              </m:sSub>
            </m:den>
          </m:f>
          <m:r>
            <w:rPr>
              <w:rFonts w:ascii="Cambria Math" w:hAnsi="Cambria Math"/>
            </w:rPr>
            <m:t>&gt;1</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hAnsi="Cambria Math"/>
                    </w:rPr>
                    <m:t>yields</m:t>
                  </m:r>
                </m:e>
              </m:groupChr>
            </m:e>
          </m:box>
          <m:r>
            <w:rPr>
              <w:rFonts w:ascii="Cambria Math" w:hAnsi="Cambria Math"/>
            </w:rPr>
            <m:t>Secondary Object in Robust Region</m:t>
          </m:r>
          <m:r>
            <m:rPr>
              <m:sty m:val="p"/>
            </m:rPr>
            <w:rPr>
              <w:rFonts w:ascii="Cambria Math" w:hAnsi="Cambria Math"/>
            </w:rPr>
            <w:br/>
          </m:r>
        </m:oMath>
        <m:oMath>
          <m:f>
            <m:fPr>
              <m:ctrlPr>
                <w:rPr>
                  <w:rFonts w:ascii="Cambria Math" w:hAnsi="Cambria Math"/>
                  <w:i/>
                </w:rPr>
              </m:ctrlPr>
            </m:fPr>
            <m:num>
              <m:r>
                <w:rPr>
                  <w:rFonts w:ascii="Cambria Math" w:hAnsi="Cambria Math"/>
                </w:rPr>
                <m:t>∂Pc</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sec</m:t>
                  </m:r>
                </m:sub>
              </m:sSub>
            </m:den>
          </m:f>
          <m:r>
            <w:rPr>
              <w:rFonts w:ascii="Cambria Math" w:hAnsi="Cambria Math"/>
            </w:rPr>
            <m:t>&lt;1</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yields</m:t>
                  </m:r>
                </m:e>
              </m:groupChr>
            </m:e>
          </m:box>
          <m:r>
            <w:rPr>
              <w:rFonts w:ascii="Cambria Math" w:hAnsi="Cambria Math"/>
            </w:rPr>
            <m:t xml:space="preserve"> Secondary Object in Dilution Region</m:t>
          </m:r>
        </m:oMath>
      </m:oMathPara>
    </w:p>
    <w:p w14:paraId="0648AB90" w14:textId="77777777" w:rsidR="00CC770B" w:rsidRDefault="00CC770B" w:rsidP="00CC770B">
      <w:pPr>
        <w:jc w:val="both"/>
        <w:rPr>
          <w:rFonts w:eastAsiaTheme="minorEastAsia"/>
        </w:rPr>
      </w:pPr>
      <w:r>
        <w:rPr>
          <w:rFonts w:eastAsiaTheme="minorEastAsia"/>
        </w:rPr>
        <w:t xml:space="preserve">When these first derivatives are equal to </w:t>
      </w:r>
      <w:proofErr w:type="gramStart"/>
      <w:r>
        <w:rPr>
          <w:rFonts w:eastAsiaTheme="minorEastAsia"/>
        </w:rPr>
        <w:t>0</w:t>
      </w:r>
      <w:proofErr w:type="gramEnd"/>
      <w:r>
        <w:rPr>
          <w:rFonts w:eastAsiaTheme="minorEastAsia"/>
        </w:rPr>
        <w:t xml:space="preserve">, the maximum Pc with regards to the input object dilution has been reached.  This is determined via an iterative process until convergence </w:t>
      </w:r>
      <w:proofErr w:type="gramStart"/>
      <w:r>
        <w:rPr>
          <w:rFonts w:eastAsiaTheme="minorEastAsia"/>
        </w:rPr>
        <w:t>is attained</w:t>
      </w:r>
      <w:proofErr w:type="gramEnd"/>
      <w:r>
        <w:rPr>
          <w:rFonts w:eastAsiaTheme="minorEastAsia"/>
        </w:rPr>
        <w:t xml:space="preserve"> by examining a span of scaled covariance matrices and refining this span until the maximum Pc is determined.  As covariance matrices do not generally grow with data updates, if an object is in the robust region, the maximum Pc </w:t>
      </w:r>
      <w:proofErr w:type="gramStart"/>
      <w:r>
        <w:rPr>
          <w:rFonts w:eastAsiaTheme="minorEastAsia"/>
        </w:rPr>
        <w:t>is reported</w:t>
      </w:r>
      <w:proofErr w:type="gramEnd"/>
      <w:r>
        <w:rPr>
          <w:rFonts w:eastAsiaTheme="minorEastAsia"/>
        </w:rPr>
        <w:t xml:space="preserve"> as the Pc for the input CDM.  </w:t>
      </w:r>
    </w:p>
    <w:p w14:paraId="2CEA76D3" w14:textId="77777777" w:rsidR="00CC770B" w:rsidRDefault="00CC770B" w:rsidP="00CC770B">
      <w:pPr>
        <w:jc w:val="both"/>
      </w:pPr>
      <m:oMathPara>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=max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input</m:t>
                        </m:r>
                      </m:sub>
                    </m:sSub>
                  </m:e>
                </m:mr>
                <m:mr>
                  <m:e>
                    <m:sSub>
                      <m:sSubPr>
                        <m:ctrlPr>
                          <w:rPr>
                            <w:rFonts w:ascii="Cambria Math" w:hAnsi="Cambria Math"/>
                            <w:i/>
                          </w:rPr>
                        </m:ctrlPr>
                      </m:sSubPr>
                      <m:e>
                        <m:r>
                          <w:rPr>
                            <w:rFonts w:ascii="Cambria Math" w:hAnsi="Cambria Math"/>
                          </w:rPr>
                          <m:t>Pc</m:t>
                        </m:r>
                      </m:e>
                      <m:sub>
                        <m:r>
                          <w:rPr>
                            <w:rFonts w:ascii="Cambria Math" w:hAnsi="Cambria Math"/>
                          </w:rPr>
                          <m:t>max</m:t>
                        </m:r>
                      </m:sub>
                    </m:sSub>
                    <m:r>
                      <w:rPr>
                        <w:rFonts w:ascii="Cambria Math" w:hAnsi="Cambria Math"/>
                      </w:rPr>
                      <m:t>(Primary Dilution)</m:t>
                    </m:r>
                  </m:e>
                </m:mr>
                <m:mr>
                  <m:e>
                    <m:sSub>
                      <m:sSubPr>
                        <m:ctrlPr>
                          <w:rPr>
                            <w:rFonts w:ascii="Cambria Math" w:hAnsi="Cambria Math"/>
                            <w:i/>
                          </w:rPr>
                        </m:ctrlPr>
                      </m:sSubPr>
                      <m:e>
                        <m:r>
                          <w:rPr>
                            <w:rFonts w:ascii="Cambria Math" w:hAnsi="Cambria Math"/>
                          </w:rPr>
                          <m:t>Pc</m:t>
                        </m:r>
                      </m:e>
                      <m:sub>
                        <m:r>
                          <w:rPr>
                            <w:rFonts w:ascii="Cambria Math" w:hAnsi="Cambria Math"/>
                          </w:rPr>
                          <m:t>max</m:t>
                        </m:r>
                      </m:sub>
                    </m:sSub>
                    <m:r>
                      <w:rPr>
                        <w:rFonts w:ascii="Cambria Math" w:hAnsi="Cambria Math"/>
                      </w:rPr>
                      <m:t>(Secondary Dilution)</m:t>
                    </m:r>
                  </m:e>
                </m:mr>
              </m:m>
            </m:e>
          </m:d>
        </m:oMath>
      </m:oMathPara>
    </w:p>
    <w:p w14:paraId="39DD4961" w14:textId="77777777" w:rsidR="00CC770B" w:rsidRDefault="00CC770B" w:rsidP="00CC770B">
      <w:pPr>
        <w:jc w:val="both"/>
      </w:pPr>
    </w:p>
    <w:p w14:paraId="7954E813" w14:textId="77777777" w:rsidR="00CC770B" w:rsidRPr="00C40AA1" w:rsidRDefault="00CC770B" w:rsidP="00CC770B">
      <w:pPr>
        <w:jc w:val="both"/>
        <w:rPr>
          <w:rFonts w:eastAsiaTheme="minorEastAsia"/>
        </w:rPr>
      </w:pPr>
      <m:oMathPara>
        <m:oMath>
          <m:r>
            <w:rPr>
              <w:rFonts w:ascii="Cambria Math" w:hAnsi="Cambria Math"/>
            </w:rPr>
            <m:t xml:space="preserve"> </m:t>
          </m:r>
        </m:oMath>
      </m:oMathPara>
    </w:p>
    <w:p w14:paraId="495818F0" w14:textId="77777777" w:rsidR="00CC770B" w:rsidRPr="00C40AA1" w:rsidRDefault="00CC770B" w:rsidP="00CC770B">
      <w:pPr>
        <w:jc w:val="both"/>
        <w:rPr>
          <w:rFonts w:eastAsiaTheme="minorEastAsia"/>
        </w:rPr>
      </w:pPr>
    </w:p>
    <w:p w14:paraId="53C188BA" w14:textId="77777777" w:rsidR="00CC770B" w:rsidRDefault="00CC770B" w:rsidP="00CC770B">
      <w:pPr>
        <w:keepNext/>
        <w:jc w:val="center"/>
      </w:pPr>
      <w:r>
        <w:rPr>
          <w:noProof/>
        </w:rPr>
        <w:drawing>
          <wp:inline distT="0" distB="0" distL="0" distR="0" wp14:anchorId="306ECDA6" wp14:editId="25D413E7">
            <wp:extent cx="4707255" cy="3691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255" cy="3691255"/>
                    </a:xfrm>
                    <a:prstGeom prst="rect">
                      <a:avLst/>
                    </a:prstGeom>
                    <a:noFill/>
                    <a:ln>
                      <a:noFill/>
                    </a:ln>
                  </pic:spPr>
                </pic:pic>
              </a:graphicData>
            </a:graphic>
          </wp:inline>
        </w:drawing>
      </w:r>
    </w:p>
    <w:p w14:paraId="42A723BB" w14:textId="0E85436A" w:rsidR="00CC770B" w:rsidRPr="00E818C2" w:rsidRDefault="00CC770B" w:rsidP="00CC770B">
      <w:pPr>
        <w:pStyle w:val="Caption"/>
      </w:pPr>
      <w:bookmarkStart w:id="12" w:name="_Ref23905595"/>
      <w:bookmarkStart w:id="13" w:name="_Toc26336545"/>
      <w:bookmarkStart w:id="14" w:name="_Toc26338286"/>
      <w:r>
        <w:t xml:space="preserve">Figure </w:t>
      </w:r>
      <w:r>
        <w:fldChar w:fldCharType="begin"/>
      </w:r>
      <w:r>
        <w:instrText xml:space="preserve"> SEQ Figure \* ARABIC </w:instrText>
      </w:r>
      <w:r>
        <w:fldChar w:fldCharType="separate"/>
      </w:r>
      <w:r w:rsidR="00565F8B">
        <w:rPr>
          <w:noProof/>
        </w:rPr>
        <w:t>2</w:t>
      </w:r>
      <w:r>
        <w:rPr>
          <w:noProof/>
        </w:rPr>
        <w:fldChar w:fldCharType="end"/>
      </w:r>
      <w:bookmarkEnd w:id="12"/>
      <w:r>
        <w:t>: Pc vs the Ratio of Covariance Size to Miss Distance</w:t>
      </w:r>
      <w:bookmarkEnd w:id="13"/>
      <w:bookmarkEnd w:id="14"/>
    </w:p>
    <w:p w14:paraId="2112A6CF" w14:textId="77777777" w:rsidR="00CC770B" w:rsidRDefault="00CC770B" w:rsidP="00470478">
      <w:pPr>
        <w:pStyle w:val="Heading2"/>
      </w:pPr>
      <w:bookmarkStart w:id="15" w:name="_Toc26338280"/>
      <w:r>
        <w:t>Dilution Region Assessment of Maximum Probability of Collision – Source Code Description</w:t>
      </w:r>
      <w:bookmarkEnd w:id="15"/>
    </w:p>
    <w:p w14:paraId="63961FED" w14:textId="77777777" w:rsidR="00CC770B" w:rsidRDefault="00CC770B" w:rsidP="00CC770B">
      <w:pPr>
        <w:pStyle w:val="BodyText"/>
      </w:pPr>
      <w:r>
        <w:t>The primary function contained within the SDK used for estimating the maximum 2D Probability of Collision of a close approach event with regards to dilution region assessment is the:</w:t>
      </w:r>
    </w:p>
    <w:p w14:paraId="1153A0F1" w14:textId="77777777" w:rsidR="00CC770B" w:rsidRDefault="00CC770B" w:rsidP="00CC770B">
      <w:pPr>
        <w:pStyle w:val="BodyText"/>
      </w:pPr>
      <w:r>
        <w:tab/>
      </w:r>
      <w:proofErr w:type="spellStart"/>
      <w:r>
        <w:t>DilutionMaxPc.m</w:t>
      </w:r>
      <w:proofErr w:type="spellEnd"/>
    </w:p>
    <w:p w14:paraId="5051E8DC" w14:textId="77777777" w:rsidR="00CC770B" w:rsidRDefault="00CC770B" w:rsidP="00CC770B">
      <w:pPr>
        <w:pStyle w:val="BodyText"/>
      </w:pPr>
      <w:proofErr w:type="gramStart"/>
      <w:r>
        <w:t>routine</w:t>
      </w:r>
      <w:proofErr w:type="gramEnd"/>
      <w:r>
        <w:t>, which estimates the maximum probability of collision using the process above.</w:t>
      </w:r>
    </w:p>
    <w:p w14:paraId="715F194F" w14:textId="77777777" w:rsidR="00CC770B" w:rsidRDefault="00CC770B" w:rsidP="00CC770B">
      <w:pPr>
        <w:pStyle w:val="BodyText"/>
      </w:pPr>
      <w:r>
        <w:t>As inputs, the routine accepts the following:</w:t>
      </w:r>
    </w:p>
    <w:p w14:paraId="685AE049" w14:textId="592CA034" w:rsidR="00CC770B" w:rsidRPr="008203BF" w:rsidRDefault="00CC770B" w:rsidP="00CC770B">
      <w:pPr>
        <w:pStyle w:val="Caption"/>
      </w:pPr>
      <w:bookmarkStart w:id="16" w:name="_Toc26336581"/>
      <w:bookmarkStart w:id="17" w:name="_Toc26338290"/>
      <w:r w:rsidRPr="008203BF">
        <w:t xml:space="preserve">Table </w:t>
      </w:r>
      <w:r>
        <w:rPr>
          <w:noProof/>
        </w:rPr>
        <w:fldChar w:fldCharType="begin"/>
      </w:r>
      <w:r>
        <w:rPr>
          <w:noProof/>
        </w:rPr>
        <w:instrText xml:space="preserve"> SEQ Table \* ARABIC </w:instrText>
      </w:r>
      <w:r>
        <w:rPr>
          <w:noProof/>
        </w:rPr>
        <w:fldChar w:fldCharType="separate"/>
      </w:r>
      <w:r w:rsidR="00565F8B">
        <w:rPr>
          <w:noProof/>
        </w:rPr>
        <w:t>1</w:t>
      </w:r>
      <w:r>
        <w:rPr>
          <w:noProof/>
        </w:rPr>
        <w:fldChar w:fldCharType="end"/>
      </w:r>
      <w:r w:rsidRPr="008203BF">
        <w:t xml:space="preserve">: </w:t>
      </w:r>
      <w:r>
        <w:t>Dilution Region Maximum Probability of Collision</w:t>
      </w:r>
      <w:r w:rsidRPr="008203BF">
        <w:t xml:space="preserve"> Routine Input Parameters</w:t>
      </w:r>
      <w:bookmarkEnd w:id="16"/>
      <w:bookmarkEnd w:id="1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C770B" w:rsidRPr="009542E8" w14:paraId="2C70BFB0" w14:textId="77777777" w:rsidTr="00BC109E">
        <w:trPr>
          <w:jc w:val="center"/>
        </w:trPr>
        <w:tc>
          <w:tcPr>
            <w:tcW w:w="2335" w:type="dxa"/>
            <w:shd w:val="clear" w:color="auto" w:fill="D9D9D9"/>
          </w:tcPr>
          <w:p w14:paraId="015B42A4" w14:textId="77777777" w:rsidR="00CC770B" w:rsidRPr="009542E8" w:rsidRDefault="00CC770B" w:rsidP="00BC109E">
            <w:pPr>
              <w:pStyle w:val="BodyText"/>
            </w:pPr>
            <w:r w:rsidRPr="009542E8">
              <w:t>Input Variable</w:t>
            </w:r>
          </w:p>
        </w:tc>
        <w:tc>
          <w:tcPr>
            <w:tcW w:w="7015" w:type="dxa"/>
            <w:shd w:val="clear" w:color="auto" w:fill="D9D9D9"/>
          </w:tcPr>
          <w:p w14:paraId="25183332" w14:textId="77777777" w:rsidR="00CC770B" w:rsidRPr="009542E8" w:rsidRDefault="00CC770B" w:rsidP="00BC109E">
            <w:pPr>
              <w:pStyle w:val="BodyText"/>
            </w:pPr>
            <w:r w:rsidRPr="009542E8">
              <w:t>Definition</w:t>
            </w:r>
          </w:p>
        </w:tc>
      </w:tr>
      <w:tr w:rsidR="00CC770B" w:rsidRPr="009542E8" w14:paraId="790AE830" w14:textId="77777777" w:rsidTr="00BC109E">
        <w:trPr>
          <w:jc w:val="center"/>
        </w:trPr>
        <w:tc>
          <w:tcPr>
            <w:tcW w:w="2335" w:type="dxa"/>
            <w:shd w:val="clear" w:color="auto" w:fill="auto"/>
          </w:tcPr>
          <w:p w14:paraId="7C767C97" w14:textId="77777777" w:rsidR="00CC770B" w:rsidRPr="009542E8" w:rsidRDefault="00CC770B" w:rsidP="00BC109E">
            <w:pPr>
              <w:pStyle w:val="BodyText"/>
            </w:pPr>
            <w:r w:rsidRPr="009542E8">
              <w:t>r1</w:t>
            </w:r>
          </w:p>
        </w:tc>
        <w:tc>
          <w:tcPr>
            <w:tcW w:w="7015" w:type="dxa"/>
            <w:shd w:val="clear" w:color="auto" w:fill="auto"/>
          </w:tcPr>
          <w:p w14:paraId="6896B782" w14:textId="77777777" w:rsidR="00CC770B" w:rsidRPr="009542E8" w:rsidRDefault="00CC770B" w:rsidP="00BC109E">
            <w:pPr>
              <w:pStyle w:val="BodyText"/>
            </w:pPr>
            <w:r w:rsidRPr="009542E8">
              <w:t>[3X1] ECI Position Vector of the Primary Object (meters)</w:t>
            </w:r>
          </w:p>
        </w:tc>
      </w:tr>
      <w:tr w:rsidR="00CC770B" w:rsidRPr="009542E8" w14:paraId="15F0753A" w14:textId="77777777" w:rsidTr="00BC109E">
        <w:trPr>
          <w:jc w:val="center"/>
        </w:trPr>
        <w:tc>
          <w:tcPr>
            <w:tcW w:w="2335" w:type="dxa"/>
            <w:tcBorders>
              <w:bottom w:val="single" w:sz="4" w:space="0" w:color="auto"/>
            </w:tcBorders>
            <w:shd w:val="clear" w:color="auto" w:fill="auto"/>
          </w:tcPr>
          <w:p w14:paraId="327A8435" w14:textId="77777777" w:rsidR="00CC770B" w:rsidRPr="009542E8" w:rsidRDefault="00CC770B" w:rsidP="00BC109E">
            <w:pPr>
              <w:pStyle w:val="BodyText"/>
            </w:pPr>
            <w:r w:rsidRPr="009542E8">
              <w:lastRenderedPageBreak/>
              <w:t>v1</w:t>
            </w:r>
          </w:p>
        </w:tc>
        <w:tc>
          <w:tcPr>
            <w:tcW w:w="7015" w:type="dxa"/>
            <w:tcBorders>
              <w:bottom w:val="single" w:sz="4" w:space="0" w:color="auto"/>
            </w:tcBorders>
            <w:shd w:val="clear" w:color="auto" w:fill="auto"/>
          </w:tcPr>
          <w:p w14:paraId="212EA804" w14:textId="77777777" w:rsidR="00CC770B" w:rsidRPr="009542E8" w:rsidRDefault="00CC770B" w:rsidP="00BC109E">
            <w:pPr>
              <w:pStyle w:val="BodyText"/>
            </w:pPr>
            <w:r w:rsidRPr="009542E8">
              <w:t>[3X1] ECI Velocity Vector of the Primary Object (meters/second)</w:t>
            </w:r>
          </w:p>
        </w:tc>
      </w:tr>
      <w:tr w:rsidR="00CC770B" w:rsidRPr="009542E8" w14:paraId="3BDDDBA4" w14:textId="77777777" w:rsidTr="00BC109E">
        <w:trPr>
          <w:jc w:val="center"/>
        </w:trPr>
        <w:tc>
          <w:tcPr>
            <w:tcW w:w="2335" w:type="dxa"/>
            <w:shd w:val="clear" w:color="auto" w:fill="auto"/>
          </w:tcPr>
          <w:p w14:paraId="44CDE865" w14:textId="77777777" w:rsidR="00CC770B" w:rsidRPr="009542E8" w:rsidRDefault="00CC770B" w:rsidP="00BC109E">
            <w:pPr>
              <w:pStyle w:val="BodyText"/>
            </w:pPr>
            <w:r w:rsidRPr="009542E8">
              <w:t>cov1</w:t>
            </w:r>
          </w:p>
        </w:tc>
        <w:tc>
          <w:tcPr>
            <w:tcW w:w="7015" w:type="dxa"/>
            <w:shd w:val="clear" w:color="auto" w:fill="auto"/>
          </w:tcPr>
          <w:p w14:paraId="2A59389E" w14:textId="77777777" w:rsidR="00CC770B" w:rsidRPr="009542E8" w:rsidRDefault="00CC770B" w:rsidP="00BC109E">
            <w:pPr>
              <w:pStyle w:val="BodyText"/>
            </w:pPr>
            <w:r w:rsidRPr="009542E8">
              <w:t>[6X6] Primary State covariance matrix corresponding to input primary object reference frame</w:t>
            </w:r>
          </w:p>
        </w:tc>
      </w:tr>
      <w:tr w:rsidR="00CC770B" w:rsidRPr="009542E8" w14:paraId="14E23610" w14:textId="77777777" w:rsidTr="00BC109E">
        <w:trPr>
          <w:jc w:val="center"/>
        </w:trPr>
        <w:tc>
          <w:tcPr>
            <w:tcW w:w="2335" w:type="dxa"/>
            <w:tcBorders>
              <w:bottom w:val="single" w:sz="4" w:space="0" w:color="auto"/>
            </w:tcBorders>
            <w:shd w:val="clear" w:color="auto" w:fill="auto"/>
          </w:tcPr>
          <w:p w14:paraId="493FFF0A" w14:textId="77777777" w:rsidR="00CC770B" w:rsidRPr="009542E8" w:rsidRDefault="00CC770B" w:rsidP="00BC109E">
            <w:pPr>
              <w:pStyle w:val="BodyText"/>
            </w:pPr>
            <w:r w:rsidRPr="009542E8">
              <w:t>r2</w:t>
            </w:r>
          </w:p>
        </w:tc>
        <w:tc>
          <w:tcPr>
            <w:tcW w:w="7015" w:type="dxa"/>
            <w:tcBorders>
              <w:bottom w:val="single" w:sz="4" w:space="0" w:color="auto"/>
            </w:tcBorders>
            <w:shd w:val="clear" w:color="auto" w:fill="auto"/>
          </w:tcPr>
          <w:p w14:paraId="37280204" w14:textId="77777777" w:rsidR="00CC770B" w:rsidRPr="009542E8" w:rsidRDefault="00CC770B" w:rsidP="00BC109E">
            <w:pPr>
              <w:pStyle w:val="BodyText"/>
            </w:pPr>
            <w:r w:rsidRPr="009542E8">
              <w:t>[3X1] ECI Position Vector of the Secondary Object (meters)</w:t>
            </w:r>
          </w:p>
        </w:tc>
      </w:tr>
      <w:tr w:rsidR="00CC770B" w:rsidRPr="009542E8" w14:paraId="4CAC5DCA" w14:textId="77777777" w:rsidTr="00BC109E">
        <w:trPr>
          <w:jc w:val="center"/>
        </w:trPr>
        <w:tc>
          <w:tcPr>
            <w:tcW w:w="2335" w:type="dxa"/>
            <w:tcBorders>
              <w:bottom w:val="single" w:sz="4" w:space="0" w:color="auto"/>
            </w:tcBorders>
            <w:shd w:val="clear" w:color="auto" w:fill="auto"/>
          </w:tcPr>
          <w:p w14:paraId="4540B8C9" w14:textId="77777777" w:rsidR="00CC770B" w:rsidRPr="009542E8" w:rsidRDefault="00CC770B" w:rsidP="00BC109E">
            <w:pPr>
              <w:pStyle w:val="BodyText"/>
            </w:pPr>
            <w:r w:rsidRPr="009542E8">
              <w:t>v2</w:t>
            </w:r>
          </w:p>
        </w:tc>
        <w:tc>
          <w:tcPr>
            <w:tcW w:w="7015" w:type="dxa"/>
            <w:tcBorders>
              <w:bottom w:val="single" w:sz="4" w:space="0" w:color="auto"/>
            </w:tcBorders>
            <w:shd w:val="clear" w:color="auto" w:fill="auto"/>
          </w:tcPr>
          <w:p w14:paraId="5EFDE0F7" w14:textId="77777777" w:rsidR="00CC770B" w:rsidRPr="009542E8" w:rsidRDefault="00CC770B" w:rsidP="00BC109E">
            <w:pPr>
              <w:pStyle w:val="BodyText"/>
            </w:pPr>
            <w:r w:rsidRPr="009542E8">
              <w:t>[3X1] ECI Velocity Vector of the Secondary Object (meters/second)</w:t>
            </w:r>
          </w:p>
        </w:tc>
      </w:tr>
      <w:tr w:rsidR="00CC770B" w:rsidRPr="009542E8" w14:paraId="072936A5" w14:textId="77777777" w:rsidTr="00BC109E">
        <w:trPr>
          <w:jc w:val="center"/>
        </w:trPr>
        <w:tc>
          <w:tcPr>
            <w:tcW w:w="2335" w:type="dxa"/>
            <w:shd w:val="clear" w:color="auto" w:fill="auto"/>
          </w:tcPr>
          <w:p w14:paraId="0B96E41B" w14:textId="77777777" w:rsidR="00CC770B" w:rsidRPr="009542E8" w:rsidRDefault="00CC770B" w:rsidP="00BC109E">
            <w:pPr>
              <w:pStyle w:val="BodyText"/>
            </w:pPr>
            <w:r w:rsidRPr="009542E8">
              <w:t>cov2</w:t>
            </w:r>
          </w:p>
        </w:tc>
        <w:tc>
          <w:tcPr>
            <w:tcW w:w="7015" w:type="dxa"/>
            <w:shd w:val="clear" w:color="auto" w:fill="auto"/>
          </w:tcPr>
          <w:p w14:paraId="36B98B7E" w14:textId="77777777" w:rsidR="00CC770B" w:rsidRPr="009542E8" w:rsidRDefault="00CC770B" w:rsidP="00BC109E">
            <w:pPr>
              <w:pStyle w:val="BodyText"/>
            </w:pPr>
            <w:r w:rsidRPr="009542E8">
              <w:t>[6X6] Secondary State covariance matrix corresponding to input primary object reference frame</w:t>
            </w:r>
          </w:p>
        </w:tc>
      </w:tr>
      <w:tr w:rsidR="00CC770B" w:rsidRPr="009542E8" w14:paraId="2C606DEC" w14:textId="77777777" w:rsidTr="00BC109E">
        <w:trPr>
          <w:jc w:val="center"/>
        </w:trPr>
        <w:tc>
          <w:tcPr>
            <w:tcW w:w="2335" w:type="dxa"/>
            <w:shd w:val="clear" w:color="auto" w:fill="auto"/>
          </w:tcPr>
          <w:p w14:paraId="5322118F" w14:textId="77777777" w:rsidR="00CC770B" w:rsidRPr="009542E8" w:rsidRDefault="00CC770B" w:rsidP="00BC109E">
            <w:pPr>
              <w:pStyle w:val="BodyText"/>
            </w:pPr>
            <w:r w:rsidRPr="009542E8">
              <w:t>HBR</w:t>
            </w:r>
          </w:p>
        </w:tc>
        <w:tc>
          <w:tcPr>
            <w:tcW w:w="7015" w:type="dxa"/>
            <w:shd w:val="clear" w:color="auto" w:fill="auto"/>
          </w:tcPr>
          <w:p w14:paraId="5D088EF0" w14:textId="77777777" w:rsidR="00CC770B" w:rsidRPr="009542E8" w:rsidRDefault="00CC770B" w:rsidP="00BC109E">
            <w:pPr>
              <w:pStyle w:val="BodyText"/>
            </w:pPr>
            <w:r w:rsidRPr="009542E8">
              <w:t>Combined hard body radius or exclusion zone of the two objects (m)</w:t>
            </w:r>
          </w:p>
        </w:tc>
      </w:tr>
      <w:tr w:rsidR="00CC770B" w:rsidRPr="009542E8" w14:paraId="72BE8963" w14:textId="77777777" w:rsidTr="00BC109E">
        <w:trPr>
          <w:jc w:val="center"/>
        </w:trPr>
        <w:tc>
          <w:tcPr>
            <w:tcW w:w="2335" w:type="dxa"/>
            <w:tcBorders>
              <w:bottom w:val="single" w:sz="4" w:space="0" w:color="auto"/>
            </w:tcBorders>
            <w:shd w:val="clear" w:color="auto" w:fill="auto"/>
          </w:tcPr>
          <w:p w14:paraId="0A65BD52" w14:textId="77777777" w:rsidR="00CC770B" w:rsidRPr="009542E8" w:rsidRDefault="00CC770B" w:rsidP="00BC109E">
            <w:pPr>
              <w:pStyle w:val="BodyText"/>
            </w:pPr>
            <w:proofErr w:type="spellStart"/>
            <w:r>
              <w:t>params</w:t>
            </w:r>
            <w:proofErr w:type="spellEnd"/>
          </w:p>
        </w:tc>
        <w:tc>
          <w:tcPr>
            <w:tcW w:w="7015" w:type="dxa"/>
            <w:tcBorders>
              <w:bottom w:val="single" w:sz="4" w:space="0" w:color="auto"/>
            </w:tcBorders>
            <w:shd w:val="clear" w:color="auto" w:fill="auto"/>
          </w:tcPr>
          <w:p w14:paraId="7C1CAA4F" w14:textId="77777777" w:rsidR="00CC770B" w:rsidRPr="009542E8" w:rsidRDefault="00CC770B" w:rsidP="00BC109E">
            <w:pPr>
              <w:pStyle w:val="BodyText"/>
            </w:pPr>
            <w:r>
              <w:t xml:space="preserve">Run parameters for </w:t>
            </w:r>
            <w:proofErr w:type="spellStart"/>
            <w:r>
              <w:t>subfunction</w:t>
            </w:r>
            <w:proofErr w:type="spellEnd"/>
            <w:r>
              <w:t xml:space="preserve"> “</w:t>
            </w:r>
            <w:proofErr w:type="spellStart"/>
            <w:r>
              <w:t>PcDilution.m</w:t>
            </w:r>
            <w:proofErr w:type="spellEnd"/>
            <w:r>
              <w:t>” (optional)</w:t>
            </w:r>
          </w:p>
        </w:tc>
      </w:tr>
    </w:tbl>
    <w:p w14:paraId="12A9A25D" w14:textId="77777777" w:rsidR="00CC770B" w:rsidRDefault="00CC770B" w:rsidP="00CC770B">
      <w:pPr>
        <w:pStyle w:val="BodyText"/>
      </w:pPr>
    </w:p>
    <w:p w14:paraId="10C685F5" w14:textId="77777777" w:rsidR="00CC770B" w:rsidRDefault="00CC770B" w:rsidP="00CC770B">
      <w:pPr>
        <w:pStyle w:val="BodyText"/>
      </w:pPr>
      <w:r>
        <w:t>The maximum 2D Probability of Collision routine outputs the following:</w:t>
      </w:r>
    </w:p>
    <w:p w14:paraId="2B0DB603" w14:textId="47FF1234" w:rsidR="00CC770B" w:rsidRDefault="00CC770B" w:rsidP="00CC770B">
      <w:pPr>
        <w:pStyle w:val="Caption"/>
      </w:pPr>
      <w:bookmarkStart w:id="18" w:name="_Toc26336582"/>
      <w:bookmarkStart w:id="19" w:name="_Toc26338291"/>
      <w:r>
        <w:t xml:space="preserve">Table </w:t>
      </w:r>
      <w:r>
        <w:rPr>
          <w:noProof/>
        </w:rPr>
        <w:fldChar w:fldCharType="begin"/>
      </w:r>
      <w:r>
        <w:rPr>
          <w:noProof/>
        </w:rPr>
        <w:instrText xml:space="preserve"> SEQ Table \* ARABIC </w:instrText>
      </w:r>
      <w:r>
        <w:rPr>
          <w:noProof/>
        </w:rPr>
        <w:fldChar w:fldCharType="separate"/>
      </w:r>
      <w:r w:rsidR="00565F8B">
        <w:rPr>
          <w:noProof/>
        </w:rPr>
        <w:t>2</w:t>
      </w:r>
      <w:r>
        <w:rPr>
          <w:noProof/>
        </w:rPr>
        <w:fldChar w:fldCharType="end"/>
      </w:r>
      <w:r w:rsidRPr="00AD2FDD">
        <w:rPr>
          <w:noProof/>
        </w:rPr>
        <w:t xml:space="preserve">: </w:t>
      </w:r>
      <w:r>
        <w:t>Dilution Region Maximum Probability of Collision</w:t>
      </w:r>
      <w:r w:rsidRPr="008203BF">
        <w:t xml:space="preserve"> </w:t>
      </w:r>
      <w:r w:rsidRPr="00AD2FDD">
        <w:rPr>
          <w:noProof/>
        </w:rPr>
        <w:t xml:space="preserve">Routine </w:t>
      </w:r>
      <w:r>
        <w:rPr>
          <w:noProof/>
        </w:rPr>
        <w:t>Output</w:t>
      </w:r>
      <w:r w:rsidRPr="00AD2FDD">
        <w:rPr>
          <w:noProof/>
        </w:rPr>
        <w:t xml:space="preserve"> Parameters</w:t>
      </w:r>
      <w:bookmarkEnd w:id="18"/>
      <w:bookmarkEnd w:id="19"/>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C770B" w:rsidRPr="009542E8" w14:paraId="41881E33" w14:textId="77777777" w:rsidTr="00BC109E">
        <w:trPr>
          <w:jc w:val="center"/>
        </w:trPr>
        <w:tc>
          <w:tcPr>
            <w:tcW w:w="2335" w:type="dxa"/>
            <w:shd w:val="clear" w:color="auto" w:fill="D9D9D9"/>
          </w:tcPr>
          <w:p w14:paraId="480C58CC" w14:textId="77777777" w:rsidR="00CC770B" w:rsidRPr="009542E8" w:rsidRDefault="00CC770B" w:rsidP="00BC109E">
            <w:pPr>
              <w:pStyle w:val="BodyText"/>
            </w:pPr>
            <w:r w:rsidRPr="009542E8">
              <w:t>Output Variable</w:t>
            </w:r>
          </w:p>
        </w:tc>
        <w:tc>
          <w:tcPr>
            <w:tcW w:w="7015" w:type="dxa"/>
            <w:shd w:val="clear" w:color="auto" w:fill="D9D9D9"/>
          </w:tcPr>
          <w:p w14:paraId="1CB75D6F" w14:textId="77777777" w:rsidR="00CC770B" w:rsidRPr="009542E8" w:rsidRDefault="00CC770B" w:rsidP="00BC109E">
            <w:pPr>
              <w:pStyle w:val="BodyText"/>
            </w:pPr>
            <w:r w:rsidRPr="009542E8">
              <w:t>Definition</w:t>
            </w:r>
          </w:p>
        </w:tc>
      </w:tr>
      <w:tr w:rsidR="00CC770B" w:rsidRPr="009542E8" w14:paraId="5A7A7BFB" w14:textId="77777777" w:rsidTr="00BC109E">
        <w:trPr>
          <w:jc w:val="center"/>
        </w:trPr>
        <w:tc>
          <w:tcPr>
            <w:tcW w:w="2335" w:type="dxa"/>
            <w:shd w:val="clear" w:color="auto" w:fill="auto"/>
          </w:tcPr>
          <w:p w14:paraId="1DFB712E" w14:textId="77777777" w:rsidR="00CC770B" w:rsidRPr="009542E8" w:rsidRDefault="00CC770B" w:rsidP="00BC109E">
            <w:pPr>
              <w:pStyle w:val="BodyText"/>
            </w:pPr>
            <w:proofErr w:type="spellStart"/>
            <w:r w:rsidRPr="009542E8">
              <w:t>Pc</w:t>
            </w:r>
            <w:r>
              <w:t>Max</w:t>
            </w:r>
            <w:proofErr w:type="spellEnd"/>
          </w:p>
        </w:tc>
        <w:tc>
          <w:tcPr>
            <w:tcW w:w="7015" w:type="dxa"/>
            <w:shd w:val="clear" w:color="auto" w:fill="auto"/>
          </w:tcPr>
          <w:p w14:paraId="5231C5B4" w14:textId="77777777" w:rsidR="00CC770B" w:rsidRPr="009542E8" w:rsidRDefault="00CC770B" w:rsidP="00BC109E">
            <w:pPr>
              <w:pStyle w:val="BodyText"/>
            </w:pPr>
            <w:r>
              <w:t>Maximum probability of collision value from combined primary and secondary object covariance scaling Pc-dilution analysis</w:t>
            </w:r>
          </w:p>
        </w:tc>
      </w:tr>
      <w:tr w:rsidR="00CC770B" w:rsidRPr="009542E8" w14:paraId="1E9E8FD7" w14:textId="77777777" w:rsidTr="00BC109E">
        <w:trPr>
          <w:jc w:val="center"/>
        </w:trPr>
        <w:tc>
          <w:tcPr>
            <w:tcW w:w="2335" w:type="dxa"/>
            <w:tcBorders>
              <w:bottom w:val="single" w:sz="4" w:space="0" w:color="auto"/>
            </w:tcBorders>
            <w:shd w:val="clear" w:color="auto" w:fill="auto"/>
          </w:tcPr>
          <w:p w14:paraId="27F3341C" w14:textId="77777777" w:rsidR="00CC770B" w:rsidRPr="009542E8" w:rsidRDefault="00CC770B" w:rsidP="00BC109E">
            <w:pPr>
              <w:pStyle w:val="BodyText"/>
            </w:pPr>
            <w:r>
              <w:t>Diluted</w:t>
            </w:r>
          </w:p>
        </w:tc>
        <w:tc>
          <w:tcPr>
            <w:tcW w:w="7015" w:type="dxa"/>
            <w:tcBorders>
              <w:bottom w:val="single" w:sz="4" w:space="0" w:color="auto"/>
            </w:tcBorders>
            <w:shd w:val="clear" w:color="auto" w:fill="auto"/>
          </w:tcPr>
          <w:p w14:paraId="3822ED8A" w14:textId="77777777" w:rsidR="00CC770B" w:rsidRDefault="00CC770B" w:rsidP="00BC109E">
            <w:pPr>
              <w:pStyle w:val="BodyText"/>
            </w:pPr>
            <w:r>
              <w:t>Integer indicating if the either the primary or secondary object is in the dilution region:</w:t>
            </w:r>
          </w:p>
          <w:p w14:paraId="2EFF9908" w14:textId="77777777" w:rsidR="00CC770B" w:rsidRPr="009542E8" w:rsidRDefault="00CC770B" w:rsidP="00BC109E">
            <w:pPr>
              <w:pStyle w:val="BodyText"/>
            </w:pPr>
            <w:r w:rsidRPr="00133F10">
              <w:t>Diluted =  0 =&gt; No dilution for either case</w:t>
            </w:r>
            <w:r>
              <w:br/>
            </w:r>
            <w:r w:rsidRPr="00133F10">
              <w:t>Diluted =  1 =&gt; Secondary dilution but no primary dilution</w:t>
            </w:r>
            <w:r>
              <w:br/>
            </w:r>
            <w:r w:rsidRPr="00133F10">
              <w:t>Diluted = 10 =&gt; Primary dilution but no secondary dilution</w:t>
            </w:r>
            <w:r>
              <w:br/>
            </w:r>
            <w:r w:rsidRPr="00133F10">
              <w:t>Diluted = 11 =&gt; Primary dilution and secondary dilution</w:t>
            </w:r>
          </w:p>
        </w:tc>
      </w:tr>
      <w:tr w:rsidR="00CC770B" w:rsidRPr="009542E8" w14:paraId="0DD1BBDF" w14:textId="77777777" w:rsidTr="00BC109E">
        <w:trPr>
          <w:jc w:val="center"/>
        </w:trPr>
        <w:tc>
          <w:tcPr>
            <w:tcW w:w="2335" w:type="dxa"/>
            <w:tcBorders>
              <w:bottom w:val="single" w:sz="4" w:space="0" w:color="auto"/>
            </w:tcBorders>
            <w:shd w:val="clear" w:color="auto" w:fill="auto"/>
          </w:tcPr>
          <w:p w14:paraId="4400ECF8" w14:textId="77777777" w:rsidR="00CC770B" w:rsidRPr="009542E8" w:rsidRDefault="00CC770B" w:rsidP="00BC109E">
            <w:pPr>
              <w:pStyle w:val="BodyText"/>
            </w:pPr>
            <w:proofErr w:type="spellStart"/>
            <w:r>
              <w:t>Pri</w:t>
            </w:r>
            <w:proofErr w:type="spellEnd"/>
          </w:p>
        </w:tc>
        <w:tc>
          <w:tcPr>
            <w:tcW w:w="7015" w:type="dxa"/>
            <w:tcBorders>
              <w:bottom w:val="single" w:sz="4" w:space="0" w:color="auto"/>
            </w:tcBorders>
            <w:shd w:val="clear" w:color="auto" w:fill="auto"/>
          </w:tcPr>
          <w:p w14:paraId="728FB2F8" w14:textId="77777777" w:rsidR="00CC770B" w:rsidRPr="009542E8" w:rsidRDefault="00CC770B" w:rsidP="00BC109E">
            <w:pPr>
              <w:pStyle w:val="BodyText"/>
            </w:pPr>
            <w:r w:rsidRPr="00133F10">
              <w:t>Structure holding the primary   Pc-dilution analysis results</w:t>
            </w:r>
          </w:p>
        </w:tc>
      </w:tr>
      <w:tr w:rsidR="00CC770B" w:rsidRPr="009542E8" w14:paraId="4EDE08DF" w14:textId="77777777" w:rsidTr="00BC109E">
        <w:trPr>
          <w:jc w:val="center"/>
        </w:trPr>
        <w:tc>
          <w:tcPr>
            <w:tcW w:w="2335" w:type="dxa"/>
            <w:tcBorders>
              <w:bottom w:val="single" w:sz="4" w:space="0" w:color="auto"/>
            </w:tcBorders>
            <w:shd w:val="clear" w:color="auto" w:fill="auto"/>
          </w:tcPr>
          <w:p w14:paraId="42212384" w14:textId="77777777" w:rsidR="00CC770B" w:rsidRPr="009542E8" w:rsidRDefault="00CC770B" w:rsidP="00BC109E">
            <w:pPr>
              <w:pStyle w:val="BodyText"/>
            </w:pPr>
            <w:r>
              <w:t>Sec</w:t>
            </w:r>
          </w:p>
        </w:tc>
        <w:tc>
          <w:tcPr>
            <w:tcW w:w="7015" w:type="dxa"/>
            <w:tcBorders>
              <w:bottom w:val="single" w:sz="4" w:space="0" w:color="auto"/>
            </w:tcBorders>
            <w:shd w:val="clear" w:color="auto" w:fill="auto"/>
          </w:tcPr>
          <w:p w14:paraId="0C5C6010" w14:textId="77777777" w:rsidR="00CC770B" w:rsidRPr="009542E8" w:rsidRDefault="00CC770B" w:rsidP="00BC109E">
            <w:pPr>
              <w:pStyle w:val="BodyText"/>
            </w:pPr>
            <w:r w:rsidRPr="00133F10">
              <w:t>Structure holding the secondary Pc-dilution analysis results</w:t>
            </w:r>
          </w:p>
        </w:tc>
      </w:tr>
    </w:tbl>
    <w:p w14:paraId="370742A8" w14:textId="77777777" w:rsidR="00CC770B" w:rsidRDefault="00CC770B" w:rsidP="00CC770B">
      <w:pPr>
        <w:pStyle w:val="BodyText"/>
      </w:pPr>
    </w:p>
    <w:p w14:paraId="2C94F33C" w14:textId="77777777" w:rsidR="00CC770B" w:rsidRDefault="00CC770B" w:rsidP="00CC770B">
      <w:pPr>
        <w:pStyle w:val="BodyText"/>
      </w:pPr>
      <w:r>
        <w:lastRenderedPageBreak/>
        <w:t>Validation cases for this algorithm are contained within the unit test suite for the SDK at:</w:t>
      </w:r>
    </w:p>
    <w:p w14:paraId="69441438" w14:textId="75762FB6" w:rsidR="00CC770B" w:rsidRDefault="00CC770B" w:rsidP="00CC770B">
      <w:pPr>
        <w:pStyle w:val="BodyText"/>
      </w:pPr>
      <w:r>
        <w:t>..\</w:t>
      </w:r>
      <w:r w:rsidRPr="0077064E">
        <w:t>SDK\UnitTest\</w:t>
      </w:r>
      <w:r>
        <w:t>ProbabilityOfCollisionCode\</w:t>
      </w:r>
      <w:r w:rsidR="00470478">
        <w:t>DilutionMaxPc</w:t>
      </w:r>
      <w:r w:rsidRPr="0077064E">
        <w:t>_UnitTest</w:t>
      </w:r>
      <w:r>
        <w:t>.m</w:t>
      </w:r>
    </w:p>
    <w:p w14:paraId="73C896DC" w14:textId="77777777" w:rsidR="00CC770B" w:rsidRDefault="00CC770B" w:rsidP="00CC770B">
      <w:pPr>
        <w:pStyle w:val="BodyText"/>
      </w:pPr>
      <w:r>
        <w:t xml:space="preserve">These test cases </w:t>
      </w:r>
      <w:proofErr w:type="gramStart"/>
      <w:r>
        <w:t>were developed</w:t>
      </w:r>
      <w:proofErr w:type="gramEnd"/>
      <w:r>
        <w:t xml:space="preserve"> using previously existing test cases developed by </w:t>
      </w:r>
      <w:proofErr w:type="spellStart"/>
      <w:r>
        <w:t>Omitron</w:t>
      </w:r>
      <w:proofErr w:type="spellEnd"/>
      <w:r>
        <w:t xml:space="preserve"> to test specific stressing cases observed operationally.</w:t>
      </w:r>
    </w:p>
    <w:p w14:paraId="7150730D" w14:textId="13A013E9" w:rsidR="00CC770B" w:rsidRDefault="00CC770B" w:rsidP="00CC770B">
      <w:pPr>
        <w:pStyle w:val="Caption"/>
      </w:pPr>
      <w:bookmarkStart w:id="20" w:name="_Toc26336583"/>
      <w:bookmarkStart w:id="21" w:name="_Toc26338292"/>
      <w:r>
        <w:t xml:space="preserve">Table </w:t>
      </w:r>
      <w:r>
        <w:rPr>
          <w:noProof/>
        </w:rPr>
        <w:fldChar w:fldCharType="begin"/>
      </w:r>
      <w:r>
        <w:rPr>
          <w:noProof/>
        </w:rPr>
        <w:instrText xml:space="preserve"> SEQ Table \* ARABIC </w:instrText>
      </w:r>
      <w:r>
        <w:rPr>
          <w:noProof/>
        </w:rPr>
        <w:fldChar w:fldCharType="separate"/>
      </w:r>
      <w:r w:rsidR="00565F8B">
        <w:rPr>
          <w:noProof/>
        </w:rPr>
        <w:t>3</w:t>
      </w:r>
      <w:r>
        <w:rPr>
          <w:noProof/>
        </w:rPr>
        <w:fldChar w:fldCharType="end"/>
      </w:r>
      <w:r w:rsidRPr="00036BEC">
        <w:rPr>
          <w:noProof/>
        </w:rPr>
        <w:t xml:space="preserve">: 2D Probability of Collision </w:t>
      </w:r>
      <w:r>
        <w:rPr>
          <w:noProof/>
        </w:rPr>
        <w:t>Foster Function Unit Test Cases</w:t>
      </w:r>
      <w:bookmarkEnd w:id="20"/>
      <w:bookmarkEnd w:id="2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C770B" w:rsidRPr="009542E8" w14:paraId="1ABF6591" w14:textId="77777777" w:rsidTr="00BC109E">
        <w:trPr>
          <w:jc w:val="center"/>
        </w:trPr>
        <w:tc>
          <w:tcPr>
            <w:tcW w:w="2335" w:type="dxa"/>
            <w:shd w:val="clear" w:color="auto" w:fill="D9D9D9"/>
          </w:tcPr>
          <w:p w14:paraId="365AA0C0" w14:textId="77777777" w:rsidR="00CC770B" w:rsidRPr="009542E8" w:rsidRDefault="00CC770B" w:rsidP="00BC109E">
            <w:pPr>
              <w:pStyle w:val="BodyText"/>
            </w:pPr>
            <w:r w:rsidRPr="009542E8">
              <w:t>Test ID</w:t>
            </w:r>
          </w:p>
        </w:tc>
        <w:tc>
          <w:tcPr>
            <w:tcW w:w="7015" w:type="dxa"/>
            <w:shd w:val="clear" w:color="auto" w:fill="D9D9D9"/>
          </w:tcPr>
          <w:p w14:paraId="4DD5B64C" w14:textId="77777777" w:rsidR="00CC770B" w:rsidRPr="009542E8" w:rsidRDefault="00CC770B" w:rsidP="00BC109E">
            <w:pPr>
              <w:pStyle w:val="BodyText"/>
            </w:pPr>
            <w:r w:rsidRPr="009542E8">
              <w:t>Description</w:t>
            </w:r>
          </w:p>
        </w:tc>
      </w:tr>
      <w:tr w:rsidR="00CC770B" w:rsidRPr="009542E8" w14:paraId="5C632838" w14:textId="77777777" w:rsidTr="00BC109E">
        <w:trPr>
          <w:jc w:val="center"/>
        </w:trPr>
        <w:tc>
          <w:tcPr>
            <w:tcW w:w="2335" w:type="dxa"/>
            <w:shd w:val="clear" w:color="auto" w:fill="auto"/>
          </w:tcPr>
          <w:p w14:paraId="3BA82AFE" w14:textId="77777777" w:rsidR="00CC770B" w:rsidRPr="009542E8" w:rsidRDefault="00CC770B" w:rsidP="00BC109E">
            <w:pPr>
              <w:pStyle w:val="BodyText"/>
            </w:pPr>
            <w:r>
              <w:t>test01</w:t>
            </w:r>
          </w:p>
        </w:tc>
        <w:tc>
          <w:tcPr>
            <w:tcW w:w="7015" w:type="dxa"/>
            <w:shd w:val="clear" w:color="auto" w:fill="auto"/>
          </w:tcPr>
          <w:p w14:paraId="3D861868" w14:textId="77777777" w:rsidR="00CC770B" w:rsidRPr="009542E8" w:rsidRDefault="00CC770B" w:rsidP="00BC109E">
            <w:pPr>
              <w:pStyle w:val="BodyText"/>
            </w:pPr>
            <w:r>
              <w:t>Operational close approach event with maximum estimated probability of collision from selected subset of events using original hard body radius of 20 meters.</w:t>
            </w:r>
          </w:p>
        </w:tc>
      </w:tr>
      <w:tr w:rsidR="00CC770B" w:rsidRPr="009542E8" w14:paraId="5180BB54" w14:textId="77777777" w:rsidTr="00BC109E">
        <w:trPr>
          <w:jc w:val="center"/>
        </w:trPr>
        <w:tc>
          <w:tcPr>
            <w:tcW w:w="2335" w:type="dxa"/>
            <w:tcBorders>
              <w:bottom w:val="single" w:sz="4" w:space="0" w:color="auto"/>
            </w:tcBorders>
            <w:shd w:val="clear" w:color="auto" w:fill="auto"/>
          </w:tcPr>
          <w:p w14:paraId="630ACF66" w14:textId="77777777" w:rsidR="00CC770B" w:rsidRPr="009542E8" w:rsidRDefault="00CC770B" w:rsidP="00BC109E">
            <w:pPr>
              <w:pStyle w:val="BodyText"/>
            </w:pPr>
            <w:r>
              <w:t>test02</w:t>
            </w:r>
          </w:p>
        </w:tc>
        <w:tc>
          <w:tcPr>
            <w:tcW w:w="7015" w:type="dxa"/>
            <w:tcBorders>
              <w:bottom w:val="single" w:sz="4" w:space="0" w:color="auto"/>
            </w:tcBorders>
            <w:shd w:val="clear" w:color="auto" w:fill="auto"/>
          </w:tcPr>
          <w:p w14:paraId="30C35AD7" w14:textId="77777777" w:rsidR="00CC770B" w:rsidRPr="009542E8" w:rsidRDefault="00CC770B" w:rsidP="00BC109E">
            <w:pPr>
              <w:pStyle w:val="BodyText"/>
            </w:pPr>
            <w:r>
              <w:t>Operational close approach event with maximum secondary object radial position uncertainty from selected subset of events using a modified hard body radius of 100 meters for more rapid testing.</w:t>
            </w:r>
          </w:p>
        </w:tc>
      </w:tr>
      <w:tr w:rsidR="00CC770B" w:rsidRPr="009542E8" w14:paraId="63F41802" w14:textId="77777777" w:rsidTr="00BC109E">
        <w:trPr>
          <w:jc w:val="center"/>
        </w:trPr>
        <w:tc>
          <w:tcPr>
            <w:tcW w:w="2335" w:type="dxa"/>
            <w:tcBorders>
              <w:bottom w:val="single" w:sz="4" w:space="0" w:color="auto"/>
            </w:tcBorders>
            <w:shd w:val="clear" w:color="auto" w:fill="auto"/>
          </w:tcPr>
          <w:p w14:paraId="529F5B75" w14:textId="77777777" w:rsidR="00CC770B" w:rsidRPr="009542E8" w:rsidRDefault="00CC770B" w:rsidP="00BC109E">
            <w:pPr>
              <w:pStyle w:val="BodyText"/>
            </w:pPr>
            <w:r>
              <w:t>test03</w:t>
            </w:r>
          </w:p>
        </w:tc>
        <w:tc>
          <w:tcPr>
            <w:tcW w:w="7015" w:type="dxa"/>
            <w:tcBorders>
              <w:bottom w:val="single" w:sz="4" w:space="0" w:color="auto"/>
            </w:tcBorders>
            <w:shd w:val="clear" w:color="auto" w:fill="auto"/>
          </w:tcPr>
          <w:p w14:paraId="46847E75" w14:textId="77777777" w:rsidR="00CC770B" w:rsidRPr="009542E8" w:rsidRDefault="00CC770B" w:rsidP="00BC109E">
            <w:pPr>
              <w:pStyle w:val="BodyText"/>
            </w:pPr>
            <w:r>
              <w:t xml:space="preserve">Operational close approach event with maximum secondary </w:t>
            </w:r>
            <w:proofErr w:type="gramStart"/>
            <w:r>
              <w:t xml:space="preserve">object </w:t>
            </w:r>
            <w:proofErr w:type="spellStart"/>
            <w:r>
              <w:t>intrack</w:t>
            </w:r>
            <w:proofErr w:type="spellEnd"/>
            <w:r>
              <w:t xml:space="preserve"> position uncertainty</w:t>
            </w:r>
            <w:proofErr w:type="gramEnd"/>
            <w:r>
              <w:t xml:space="preserve"> from selected subset of events using a modified hard body radius of 100 meters for more rapid testing.</w:t>
            </w:r>
          </w:p>
        </w:tc>
      </w:tr>
      <w:tr w:rsidR="00CC770B" w:rsidRPr="009542E8" w14:paraId="1B02791E" w14:textId="77777777" w:rsidTr="00BC109E">
        <w:trPr>
          <w:jc w:val="center"/>
        </w:trPr>
        <w:tc>
          <w:tcPr>
            <w:tcW w:w="2335" w:type="dxa"/>
            <w:tcBorders>
              <w:bottom w:val="single" w:sz="4" w:space="0" w:color="auto"/>
            </w:tcBorders>
            <w:shd w:val="clear" w:color="auto" w:fill="auto"/>
          </w:tcPr>
          <w:p w14:paraId="2649E5D6" w14:textId="77777777" w:rsidR="00CC770B" w:rsidRPr="009542E8" w:rsidRDefault="00CC770B" w:rsidP="00BC109E">
            <w:pPr>
              <w:pStyle w:val="BodyText"/>
            </w:pPr>
            <w:r>
              <w:t>test04</w:t>
            </w:r>
          </w:p>
        </w:tc>
        <w:tc>
          <w:tcPr>
            <w:tcW w:w="7015" w:type="dxa"/>
            <w:tcBorders>
              <w:bottom w:val="single" w:sz="4" w:space="0" w:color="auto"/>
            </w:tcBorders>
            <w:shd w:val="clear" w:color="auto" w:fill="auto"/>
          </w:tcPr>
          <w:p w14:paraId="7C0305CD" w14:textId="77777777" w:rsidR="00CC770B" w:rsidRPr="009542E8" w:rsidRDefault="00CC770B" w:rsidP="00BC109E">
            <w:pPr>
              <w:pStyle w:val="BodyText"/>
            </w:pPr>
            <w:r>
              <w:t xml:space="preserve">Operational close approach event with maximum secondary </w:t>
            </w:r>
            <w:proofErr w:type="gramStart"/>
            <w:r>
              <w:t xml:space="preserve">object </w:t>
            </w:r>
            <w:proofErr w:type="spellStart"/>
            <w:r>
              <w:t>crosstrack</w:t>
            </w:r>
            <w:proofErr w:type="spellEnd"/>
            <w:r>
              <w:t xml:space="preserve"> position uncertainty</w:t>
            </w:r>
            <w:proofErr w:type="gramEnd"/>
            <w:r>
              <w:t xml:space="preserve"> from selected subset of events using a modified hard body radius of 100 meters for more rapid testing.</w:t>
            </w:r>
          </w:p>
        </w:tc>
      </w:tr>
      <w:tr w:rsidR="00CC770B" w:rsidRPr="009542E8" w14:paraId="720BAAF2" w14:textId="77777777" w:rsidTr="00BC109E">
        <w:trPr>
          <w:jc w:val="center"/>
        </w:trPr>
        <w:tc>
          <w:tcPr>
            <w:tcW w:w="2335" w:type="dxa"/>
            <w:tcBorders>
              <w:bottom w:val="single" w:sz="4" w:space="0" w:color="auto"/>
            </w:tcBorders>
            <w:shd w:val="clear" w:color="auto" w:fill="auto"/>
          </w:tcPr>
          <w:p w14:paraId="48ED4040" w14:textId="77777777" w:rsidR="00CC770B" w:rsidRPr="009542E8" w:rsidRDefault="00CC770B" w:rsidP="00BC109E">
            <w:pPr>
              <w:pStyle w:val="BodyText"/>
            </w:pPr>
            <w:r>
              <w:t>test05</w:t>
            </w:r>
          </w:p>
        </w:tc>
        <w:tc>
          <w:tcPr>
            <w:tcW w:w="7015" w:type="dxa"/>
            <w:tcBorders>
              <w:bottom w:val="single" w:sz="4" w:space="0" w:color="auto"/>
            </w:tcBorders>
            <w:shd w:val="clear" w:color="auto" w:fill="auto"/>
          </w:tcPr>
          <w:p w14:paraId="50C6B49C" w14:textId="77777777" w:rsidR="00CC770B" w:rsidRPr="009542E8" w:rsidRDefault="00CC770B" w:rsidP="00BC109E">
            <w:pPr>
              <w:pStyle w:val="BodyText"/>
            </w:pPr>
            <w:r>
              <w:t>Operational close approach event with minimum miss distance from selected subset of events using a modified hard body radius of 20 meters for more rapid testing.</w:t>
            </w:r>
          </w:p>
        </w:tc>
      </w:tr>
      <w:tr w:rsidR="00CC770B" w:rsidRPr="009542E8" w14:paraId="11B2ADD2" w14:textId="77777777" w:rsidTr="00BC109E">
        <w:trPr>
          <w:jc w:val="center"/>
        </w:trPr>
        <w:tc>
          <w:tcPr>
            <w:tcW w:w="2335" w:type="dxa"/>
            <w:tcBorders>
              <w:bottom w:val="single" w:sz="4" w:space="0" w:color="auto"/>
            </w:tcBorders>
            <w:shd w:val="clear" w:color="auto" w:fill="auto"/>
          </w:tcPr>
          <w:p w14:paraId="44AA03CB" w14:textId="77777777" w:rsidR="00CC770B" w:rsidRPr="009542E8" w:rsidRDefault="00CC770B" w:rsidP="00BC109E">
            <w:pPr>
              <w:pStyle w:val="BodyText"/>
            </w:pPr>
            <w:r>
              <w:t>test06</w:t>
            </w:r>
          </w:p>
        </w:tc>
        <w:tc>
          <w:tcPr>
            <w:tcW w:w="7015" w:type="dxa"/>
            <w:tcBorders>
              <w:bottom w:val="single" w:sz="4" w:space="0" w:color="auto"/>
            </w:tcBorders>
            <w:shd w:val="clear" w:color="auto" w:fill="auto"/>
          </w:tcPr>
          <w:p w14:paraId="49606294" w14:textId="77777777" w:rsidR="00CC770B" w:rsidRPr="009542E8" w:rsidRDefault="00CC770B" w:rsidP="00BC109E">
            <w:pPr>
              <w:pStyle w:val="BodyText"/>
            </w:pPr>
            <w:r>
              <w:t>Operational close approach event with minimum relative velocity from selected subset of events using original hard body radius of 20 meters.</w:t>
            </w:r>
          </w:p>
        </w:tc>
      </w:tr>
    </w:tbl>
    <w:p w14:paraId="0EC313E7" w14:textId="77777777" w:rsidR="00CC770B" w:rsidRDefault="00CC770B" w:rsidP="00470478">
      <w:pPr>
        <w:pStyle w:val="Heading2"/>
      </w:pPr>
      <w:bookmarkStart w:id="22" w:name="_Toc26338281"/>
      <w:r>
        <w:t>Frisbee’s Method of Determining Maximum 2D Probability of Collision – Mathematical Formulas</w:t>
      </w:r>
      <w:bookmarkEnd w:id="22"/>
    </w:p>
    <w:p w14:paraId="6CDF4AC0" w14:textId="49CF57E2" w:rsidR="00CC770B" w:rsidRDefault="00CC770B" w:rsidP="00CC770B">
      <w:pPr>
        <w:jc w:val="both"/>
        <w:rPr>
          <w:rFonts w:cs="Arial"/>
          <w:szCs w:val="24"/>
        </w:rPr>
      </w:pPr>
      <w:r>
        <w:rPr>
          <w:rFonts w:cs="Arial"/>
          <w:szCs w:val="24"/>
        </w:rPr>
        <w:t>Frisbee 2015</w:t>
      </w:r>
      <w:bookmarkStart w:id="23" w:name="_Ref511050353"/>
      <w:r>
        <w:rPr>
          <w:rStyle w:val="EndnoteReference"/>
          <w:rFonts w:cs="Arial"/>
          <w:szCs w:val="24"/>
        </w:rPr>
        <w:endnoteReference w:id="2"/>
      </w:r>
      <w:bookmarkEnd w:id="23"/>
      <w:r>
        <w:rPr>
          <w:rFonts w:cs="Arial"/>
          <w:szCs w:val="24"/>
        </w:rPr>
        <w:t xml:space="preserve"> proposed a method by which the maximum possible probability of collision could be determined for a close approach event for which only one object has position uncertainty information.  This is of particular use in determining whether an encounter may be of risk to an asset, as the maximum probability of collision may be below an actionable threshold.  To determine the maximum probability of collision, the covariance ellipsoid of the object possessing a covariance matrix </w:t>
      </w:r>
      <w:proofErr w:type="gramStart"/>
      <w:r>
        <w:rPr>
          <w:rFonts w:cs="Arial"/>
          <w:szCs w:val="24"/>
        </w:rPr>
        <w:t xml:space="preserve">is mapped to the conjunction plane and distended so that the </w:t>
      </w:r>
      <w:proofErr w:type="spellStart"/>
      <w:r>
        <w:rPr>
          <w:rFonts w:cs="Arial"/>
          <w:szCs w:val="24"/>
        </w:rPr>
        <w:t>Mahalanobis</w:t>
      </w:r>
      <w:proofErr w:type="spellEnd"/>
      <w:r>
        <w:rPr>
          <w:rFonts w:cs="Arial"/>
          <w:szCs w:val="24"/>
        </w:rPr>
        <w:t xml:space="preserve"> distance between the two </w:t>
      </w:r>
      <w:r>
        <w:rPr>
          <w:rFonts w:cs="Arial"/>
          <w:szCs w:val="24"/>
        </w:rPr>
        <w:lastRenderedPageBreak/>
        <w:t>objects is equal to one</w:t>
      </w:r>
      <w:proofErr w:type="gramEnd"/>
      <w:r>
        <w:rPr>
          <w:rFonts w:cs="Arial"/>
          <w:szCs w:val="24"/>
        </w:rPr>
        <w:t xml:space="preserve">.  To do this, the covariance of the secondary object is oriented along a one dimensional position uncertainty along the miss vector between the two objects. Graphically, this </w:t>
      </w:r>
      <w:proofErr w:type="gramStart"/>
      <w:r>
        <w:rPr>
          <w:rFonts w:cs="Arial"/>
          <w:szCs w:val="24"/>
        </w:rPr>
        <w:t>can be seen</w:t>
      </w:r>
      <w:proofErr w:type="gramEnd"/>
      <w:r>
        <w:rPr>
          <w:rFonts w:cs="Arial"/>
          <w:szCs w:val="24"/>
        </w:rPr>
        <w:t xml:space="preserve"> in </w:t>
      </w:r>
      <w:r w:rsidRPr="003F048F">
        <w:rPr>
          <w:rFonts w:cs="Arial"/>
          <w:szCs w:val="24"/>
        </w:rPr>
        <w:fldChar w:fldCharType="begin"/>
      </w:r>
      <w:r w:rsidRPr="003F048F">
        <w:rPr>
          <w:rFonts w:cs="Arial"/>
          <w:szCs w:val="24"/>
        </w:rPr>
        <w:instrText xml:space="preserve"> REF _Ref511052284 \h </w:instrText>
      </w:r>
      <w:r>
        <w:rPr>
          <w:rFonts w:cs="Arial"/>
          <w:szCs w:val="24"/>
        </w:rPr>
        <w:instrText xml:space="preserve"> \* MERGEFORMAT </w:instrText>
      </w:r>
      <w:r w:rsidRPr="003F048F">
        <w:rPr>
          <w:rFonts w:cs="Arial"/>
          <w:szCs w:val="24"/>
        </w:rPr>
      </w:r>
      <w:r w:rsidRPr="003F048F">
        <w:rPr>
          <w:rFonts w:cs="Arial"/>
          <w:szCs w:val="24"/>
        </w:rPr>
        <w:fldChar w:fldCharType="separate"/>
      </w:r>
      <w:r w:rsidR="00565F8B" w:rsidRPr="00565F8B">
        <w:rPr>
          <w:rFonts w:cs="Arial"/>
        </w:rPr>
        <w:t xml:space="preserve">Figure </w:t>
      </w:r>
      <w:r w:rsidR="00565F8B" w:rsidRPr="00565F8B">
        <w:rPr>
          <w:rFonts w:cs="Arial"/>
          <w:noProof/>
        </w:rPr>
        <w:t>3</w:t>
      </w:r>
      <w:r w:rsidRPr="003F048F">
        <w:rPr>
          <w:rFonts w:cs="Arial"/>
          <w:szCs w:val="24"/>
        </w:rPr>
        <w:fldChar w:fldCharType="end"/>
      </w:r>
      <w:r w:rsidRPr="003F048F">
        <w:rPr>
          <w:rFonts w:cs="Arial"/>
          <w:szCs w:val="24"/>
        </w:rPr>
        <w:t>:</w:t>
      </w:r>
    </w:p>
    <w:p w14:paraId="4D438CAE" w14:textId="77777777" w:rsidR="00CC770B" w:rsidRDefault="00CC770B" w:rsidP="00CC770B">
      <w:pPr>
        <w:keepNext/>
        <w:jc w:val="center"/>
      </w:pPr>
      <w:r>
        <w:rPr>
          <w:noProof/>
        </w:rPr>
        <w:drawing>
          <wp:inline distT="0" distB="0" distL="0" distR="0" wp14:anchorId="540C3A0B" wp14:editId="741B8984">
            <wp:extent cx="53416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7478" t="21471" r="10245" b="27499"/>
                    <a:stretch>
                      <a:fillRect/>
                    </a:stretch>
                  </pic:blipFill>
                  <pic:spPr bwMode="auto">
                    <a:xfrm>
                      <a:off x="0" y="0"/>
                      <a:ext cx="5341620" cy="2407920"/>
                    </a:xfrm>
                    <a:prstGeom prst="rect">
                      <a:avLst/>
                    </a:prstGeom>
                    <a:noFill/>
                    <a:ln>
                      <a:noFill/>
                    </a:ln>
                  </pic:spPr>
                </pic:pic>
              </a:graphicData>
            </a:graphic>
          </wp:inline>
        </w:drawing>
      </w:r>
    </w:p>
    <w:p w14:paraId="3378BC77" w14:textId="5AE972C1" w:rsidR="00CC770B" w:rsidRDefault="00CC770B" w:rsidP="00CC770B">
      <w:pPr>
        <w:pStyle w:val="Caption"/>
        <w:rPr>
          <w:rFonts w:cs="Arial"/>
          <w:szCs w:val="24"/>
        </w:rPr>
      </w:pPr>
      <w:bookmarkStart w:id="24" w:name="_Ref511052284"/>
      <w:bookmarkStart w:id="25" w:name="_Toc26336546"/>
      <w:bookmarkStart w:id="26" w:name="_Toc26338287"/>
      <w:r>
        <w:t xml:space="preserve">Figure </w:t>
      </w:r>
      <w:r>
        <w:rPr>
          <w:noProof/>
        </w:rPr>
        <w:fldChar w:fldCharType="begin"/>
      </w:r>
      <w:r>
        <w:rPr>
          <w:noProof/>
        </w:rPr>
        <w:instrText xml:space="preserve"> SEQ Figure \* ARABIC </w:instrText>
      </w:r>
      <w:r>
        <w:rPr>
          <w:noProof/>
        </w:rPr>
        <w:fldChar w:fldCharType="separate"/>
      </w:r>
      <w:r w:rsidR="00565F8B">
        <w:rPr>
          <w:noProof/>
        </w:rPr>
        <w:t>3</w:t>
      </w:r>
      <w:r>
        <w:rPr>
          <w:noProof/>
        </w:rPr>
        <w:fldChar w:fldCharType="end"/>
      </w:r>
      <w:bookmarkEnd w:id="24"/>
      <w:r>
        <w:t xml:space="preserve">: Graphic Representation on Maximum Pc Covariance in the Conjunction </w:t>
      </w:r>
      <w:proofErr w:type="spellStart"/>
      <w:r>
        <w:t>Plane</w:t>
      </w:r>
      <w:r w:rsidRPr="003F048F">
        <w:rPr>
          <w:vertAlign w:val="superscript"/>
        </w:rPr>
        <w:fldChar w:fldCharType="begin"/>
      </w:r>
      <w:r w:rsidRPr="003F048F">
        <w:rPr>
          <w:vertAlign w:val="superscript"/>
        </w:rPr>
        <w:instrText xml:space="preserve"> NOTEREF _Ref511050353 \h  \* MERGEFORMAT </w:instrText>
      </w:r>
      <w:r w:rsidRPr="003F048F">
        <w:rPr>
          <w:vertAlign w:val="superscript"/>
        </w:rPr>
      </w:r>
      <w:r w:rsidRPr="003F048F">
        <w:rPr>
          <w:vertAlign w:val="superscript"/>
        </w:rPr>
        <w:fldChar w:fldCharType="separate"/>
      </w:r>
      <w:r w:rsidR="00565F8B">
        <w:rPr>
          <w:vertAlign w:val="superscript"/>
        </w:rPr>
        <w:t>ii</w:t>
      </w:r>
      <w:bookmarkEnd w:id="25"/>
      <w:bookmarkEnd w:id="26"/>
      <w:proofErr w:type="spellEnd"/>
      <w:r w:rsidRPr="003F048F">
        <w:rPr>
          <w:vertAlign w:val="superscript"/>
        </w:rPr>
        <w:fldChar w:fldCharType="end"/>
      </w:r>
    </w:p>
    <w:p w14:paraId="39E2DF1F" w14:textId="77777777" w:rsidR="00CC770B" w:rsidRPr="004D445D" w:rsidRDefault="00CC770B" w:rsidP="00CC770B">
      <w:pPr>
        <w:jc w:val="both"/>
        <w:rPr>
          <w:rFonts w:eastAsiaTheme="minorEastAsia" w:cs="Arial"/>
          <w:szCs w:val="24"/>
        </w:rPr>
      </w:pPr>
      <w:r>
        <w:rPr>
          <w:rFonts w:cs="Arial"/>
          <w:szCs w:val="24"/>
        </w:rPr>
        <w:t>Since this unknown uncertainty resulting in maximum probability of collision is oriented along the miss vector, it may be characterized using a constant in conjunction with the relative miss vector</w:t>
      </w:r>
      <w:proofErr w:type="gramStart"/>
      <w:r>
        <w:rPr>
          <w:rFonts w:cs="Arial"/>
          <w:szCs w:val="24"/>
        </w:rPr>
        <w:t xml:space="preserve">, </w:t>
      </w:r>
      <w:proofErr w:type="gramEnd"/>
      <m:oMath>
        <m:sSub>
          <m:sSubPr>
            <m:ctrlPr>
              <w:rPr>
                <w:rFonts w:ascii="Cambria Math" w:hAnsi="Cambria Math" w:cs="Arial"/>
                <w:b/>
                <w:i/>
                <w:szCs w:val="24"/>
              </w:rPr>
            </m:ctrlPr>
          </m:sSubPr>
          <m:e>
            <m:r>
              <m:rPr>
                <m:sty m:val="bi"/>
              </m:rPr>
              <w:rPr>
                <w:rFonts w:ascii="Cambria Math" w:hAnsi="Cambria Math" w:cs="Arial"/>
                <w:szCs w:val="24"/>
              </w:rPr>
              <m:t>u</m:t>
            </m:r>
          </m:e>
          <m:sub>
            <m:r>
              <m:rPr>
                <m:sty m:val="bi"/>
              </m:rPr>
              <w:rPr>
                <w:rFonts w:ascii="Cambria Math" w:hAnsi="Cambria Math" w:cs="Arial"/>
                <w:szCs w:val="24"/>
              </w:rPr>
              <m:t>rel</m:t>
            </m:r>
          </m:sub>
        </m:sSub>
      </m:oMath>
      <w:r>
        <w:rPr>
          <w:rFonts w:eastAsiaTheme="minorEastAsia" w:cs="Arial"/>
          <w:b/>
          <w:szCs w:val="24"/>
        </w:rPr>
        <w:t xml:space="preserve">, </w:t>
      </w:r>
      <w:r>
        <w:rPr>
          <w:rFonts w:eastAsiaTheme="minorEastAsia" w:cs="Arial"/>
          <w:szCs w:val="24"/>
        </w:rPr>
        <w:t>which is the unit vector of the miss geometry in the conjunction plane.</w:t>
      </w:r>
    </w:p>
    <w:p w14:paraId="4F968373" w14:textId="77777777" w:rsidR="00CC770B" w:rsidRPr="00A62C97" w:rsidRDefault="00CC770B" w:rsidP="00CC770B">
      <w:pPr>
        <w:jc w:val="both"/>
        <w:rPr>
          <w:rFonts w:eastAsiaTheme="minorEastAsia" w:cs="Arial"/>
          <w:b/>
          <w:szCs w:val="24"/>
        </w:rPr>
      </w:pPr>
      <m:oMathPara>
        <m:oMath>
          <m:sSub>
            <m:sSubPr>
              <m:ctrlPr>
                <w:rPr>
                  <w:rFonts w:ascii="Cambria Math" w:eastAsiaTheme="minorEastAsia" w:hAnsi="Cambria Math" w:cs="Arial"/>
                  <w:b/>
                  <w:i/>
                  <w:szCs w:val="24"/>
                </w:rPr>
              </m:ctrlPr>
            </m:sSubPr>
            <m:e>
              <m:r>
                <m:rPr>
                  <m:sty m:val="bi"/>
                </m:rPr>
                <w:rPr>
                  <w:rFonts w:ascii="Cambria Math" w:eastAsiaTheme="minorEastAsia" w:hAnsi="Cambria Math" w:cs="Arial"/>
                  <w:szCs w:val="24"/>
                </w:rPr>
                <m:t>C</m:t>
              </m:r>
            </m:e>
            <m:sub>
              <m:r>
                <m:rPr>
                  <m:sty m:val="bi"/>
                </m:rPr>
                <w:rPr>
                  <w:rFonts w:ascii="Cambria Math" w:eastAsiaTheme="minorEastAsia" w:hAnsi="Cambria Math" w:cs="Arial"/>
                  <w:szCs w:val="24"/>
                </w:rPr>
                <m:t>unknown</m:t>
              </m:r>
            </m:sub>
          </m:sSub>
          <m:r>
            <m:rPr>
              <m:sty m:val="bi"/>
            </m:rPr>
            <w:rPr>
              <w:rFonts w:ascii="Cambria Math" w:eastAsiaTheme="minorEastAsia" w:hAnsi="Cambria Math" w:cs="Arial"/>
              <w:szCs w:val="24"/>
            </w:rPr>
            <m:t>=</m:t>
          </m:r>
          <m:sSub>
            <m:sSubPr>
              <m:ctrlPr>
                <w:rPr>
                  <w:rFonts w:ascii="Cambria Math" w:eastAsiaTheme="minorEastAsia" w:hAnsi="Cambria Math" w:cs="Arial"/>
                  <w:b/>
                  <w:i/>
                  <w:szCs w:val="24"/>
                </w:rPr>
              </m:ctrlPr>
            </m:sSubPr>
            <m:e>
              <m:r>
                <m:rPr>
                  <m:sty m:val="bi"/>
                </m:rPr>
                <w:rPr>
                  <w:rFonts w:ascii="Cambria Math" w:eastAsiaTheme="minorEastAsia" w:hAnsi="Cambria Math" w:cs="Arial"/>
                  <w:szCs w:val="24"/>
                </w:rPr>
                <m:t>V</m:t>
              </m:r>
            </m:e>
            <m:sub>
              <m:r>
                <m:rPr>
                  <m:sty m:val="bi"/>
                </m:rPr>
                <w:rPr>
                  <w:rFonts w:ascii="Cambria Math" w:eastAsiaTheme="minorEastAsia" w:hAnsi="Cambria Math" w:cs="Arial"/>
                  <w:szCs w:val="24"/>
                </w:rPr>
                <m:t>r</m:t>
              </m:r>
            </m:sub>
          </m:sSub>
          <m:sSub>
            <m:sSubPr>
              <m:ctrlPr>
                <w:rPr>
                  <w:rFonts w:ascii="Cambria Math" w:eastAsiaTheme="minorEastAsia" w:hAnsi="Cambria Math" w:cs="Arial"/>
                  <w:b/>
                  <w:i/>
                  <w:szCs w:val="24"/>
                </w:rPr>
              </m:ctrlPr>
            </m:sSubPr>
            <m:e>
              <m:r>
                <m:rPr>
                  <m:sty m:val="bi"/>
                </m:rPr>
                <w:rPr>
                  <w:rFonts w:ascii="Cambria Math" w:eastAsiaTheme="minorEastAsia" w:hAnsi="Cambria Math" w:cs="Arial"/>
                  <w:szCs w:val="24"/>
                </w:rPr>
                <m:t>u</m:t>
              </m:r>
            </m:e>
            <m:sub>
              <m:r>
                <m:rPr>
                  <m:sty m:val="bi"/>
                </m:rPr>
                <w:rPr>
                  <w:rFonts w:ascii="Cambria Math" w:eastAsiaTheme="minorEastAsia" w:hAnsi="Cambria Math" w:cs="Arial"/>
                  <w:szCs w:val="24"/>
                </w:rPr>
                <m:t>rel</m:t>
              </m:r>
            </m:sub>
          </m:sSub>
          <m:sSubSup>
            <m:sSubSupPr>
              <m:ctrlPr>
                <w:rPr>
                  <w:rFonts w:ascii="Cambria Math" w:eastAsiaTheme="minorEastAsia" w:hAnsi="Cambria Math" w:cs="Arial"/>
                  <w:b/>
                  <w:i/>
                  <w:szCs w:val="24"/>
                </w:rPr>
              </m:ctrlPr>
            </m:sSubSupPr>
            <m:e>
              <m:r>
                <m:rPr>
                  <m:sty m:val="bi"/>
                </m:rPr>
                <w:rPr>
                  <w:rFonts w:ascii="Cambria Math" w:eastAsiaTheme="minorEastAsia" w:hAnsi="Cambria Math" w:cs="Arial"/>
                  <w:szCs w:val="24"/>
                </w:rPr>
                <m:t>u</m:t>
              </m:r>
            </m:e>
            <m:sub>
              <m:r>
                <m:rPr>
                  <m:sty m:val="bi"/>
                </m:rPr>
                <w:rPr>
                  <w:rFonts w:ascii="Cambria Math" w:eastAsiaTheme="minorEastAsia" w:hAnsi="Cambria Math" w:cs="Arial"/>
                  <w:szCs w:val="24"/>
                </w:rPr>
                <m:t>rel</m:t>
              </m:r>
            </m:sub>
            <m:sup>
              <m:r>
                <m:rPr>
                  <m:sty m:val="bi"/>
                </m:rPr>
                <w:rPr>
                  <w:rFonts w:ascii="Cambria Math" w:eastAsiaTheme="minorEastAsia" w:hAnsi="Cambria Math" w:cs="Arial"/>
                  <w:szCs w:val="24"/>
                </w:rPr>
                <m:t>T</m:t>
              </m:r>
            </m:sup>
          </m:sSubSup>
        </m:oMath>
      </m:oMathPara>
    </w:p>
    <w:p w14:paraId="5C3DAECA" w14:textId="325C0CE7" w:rsidR="00CC770B" w:rsidRDefault="00CC770B" w:rsidP="00CC770B">
      <w:pPr>
        <w:jc w:val="both"/>
        <w:rPr>
          <w:rFonts w:eastAsiaTheme="minorEastAsia" w:cs="Arial"/>
          <w:szCs w:val="24"/>
        </w:rPr>
      </w:pPr>
      <w:r>
        <w:rPr>
          <w:rFonts w:eastAsiaTheme="minorEastAsia" w:cs="Arial"/>
          <w:szCs w:val="24"/>
        </w:rPr>
        <w:t xml:space="preserve">From Section </w:t>
      </w:r>
      <w:r>
        <w:rPr>
          <w:rFonts w:eastAsiaTheme="minorEastAsia" w:cs="Arial"/>
          <w:szCs w:val="24"/>
        </w:rPr>
        <w:fldChar w:fldCharType="begin"/>
      </w:r>
      <w:r>
        <w:rPr>
          <w:rFonts w:eastAsiaTheme="minorEastAsia" w:cs="Arial"/>
          <w:szCs w:val="24"/>
        </w:rPr>
        <w:instrText xml:space="preserve"> REF _Ref511050278 \r \h </w:instrText>
      </w:r>
      <w:r>
        <w:rPr>
          <w:rFonts w:eastAsiaTheme="minorEastAsia" w:cs="Arial"/>
          <w:szCs w:val="24"/>
        </w:rPr>
        <w:fldChar w:fldCharType="separate"/>
      </w:r>
      <w:r w:rsidR="00565F8B">
        <w:rPr>
          <w:rFonts w:eastAsiaTheme="minorEastAsia" w:cs="Arial"/>
          <w:b/>
          <w:bCs/>
          <w:szCs w:val="24"/>
        </w:rPr>
        <w:t xml:space="preserve">Error! Reference source not </w:t>
      </w:r>
      <w:proofErr w:type="gramStart"/>
      <w:r w:rsidR="00565F8B">
        <w:rPr>
          <w:rFonts w:eastAsiaTheme="minorEastAsia" w:cs="Arial"/>
          <w:b/>
          <w:bCs/>
          <w:szCs w:val="24"/>
        </w:rPr>
        <w:t>found.</w:t>
      </w:r>
      <w:r>
        <w:rPr>
          <w:rFonts w:eastAsiaTheme="minorEastAsia" w:cs="Arial"/>
          <w:szCs w:val="24"/>
        </w:rPr>
        <w:fldChar w:fldCharType="end"/>
      </w:r>
      <w:r>
        <w:rPr>
          <w:rFonts w:eastAsiaTheme="minorEastAsia" w:cs="Arial"/>
          <w:szCs w:val="24"/>
        </w:rPr>
        <w:t>,</w:t>
      </w:r>
      <w:proofErr w:type="gramEnd"/>
      <w:r>
        <w:rPr>
          <w:rFonts w:eastAsiaTheme="minorEastAsia" w:cs="Arial"/>
          <w:szCs w:val="24"/>
        </w:rPr>
        <w:t xml:space="preserve"> we know that the probability of collision may be characterized as:</w:t>
      </w:r>
    </w:p>
    <w:p w14:paraId="45675752" w14:textId="77777777" w:rsidR="00CC770B" w:rsidRPr="007A2C8D" w:rsidRDefault="00CC770B" w:rsidP="00CC770B">
      <w:pPr>
        <w:jc w:val="both"/>
        <w:rPr>
          <w:rFonts w:eastAsiaTheme="minorEastAsia"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C</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2π</m:t>
              </m:r>
              <m:rad>
                <m:radPr>
                  <m:degHide m:val="1"/>
                  <m:ctrlPr>
                    <w:rPr>
                      <w:rFonts w:ascii="Cambria Math" w:hAnsi="Cambria Math" w:cs="Arial"/>
                      <w:i/>
                    </w:rPr>
                  </m:ctrlPr>
                </m:radPr>
                <m:deg/>
                <m:e>
                  <m:d>
                    <m:dPr>
                      <m:begChr m:val="|"/>
                      <m:endChr m:val="|"/>
                      <m:ctrlPr>
                        <w:rPr>
                          <w:rFonts w:ascii="Cambria Math" w:hAnsi="Cambria Math" w:cs="Arial"/>
                          <w:i/>
                        </w:rPr>
                      </m:ctrlPr>
                    </m:dPr>
                    <m:e>
                      <m:r>
                        <m:rPr>
                          <m:sty m:val="bi"/>
                        </m:rPr>
                        <w:rPr>
                          <w:rFonts w:ascii="Cambria Math" w:hAnsi="Cambria Math" w:cs="Arial"/>
                        </w:rPr>
                        <m:t>C</m:t>
                      </m:r>
                    </m:e>
                  </m:d>
                </m:e>
              </m:rad>
            </m:den>
          </m:f>
          <m:nary>
            <m:naryPr>
              <m:limLoc m:val="subSup"/>
              <m:ctrlPr>
                <w:rPr>
                  <w:rFonts w:ascii="Cambria Math" w:hAnsi="Cambria Math" w:cs="Arial"/>
                  <w:i/>
                </w:rPr>
              </m:ctrlPr>
            </m:naryPr>
            <m:sub>
              <m:r>
                <w:rPr>
                  <w:rFonts w:ascii="Cambria Math" w:hAnsi="Cambria Math" w:cs="Arial"/>
                </w:rPr>
                <m:t>⊕</m:t>
              </m:r>
            </m:sub>
            <m:sup/>
            <m:e>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r>
                                <m:rPr>
                                  <m:sty m:val="bi"/>
                                </m:rPr>
                                <w:rPr>
                                  <w:rFonts w:ascii="Cambria Math" w:hAnsi="Cambria Math" w:cs="Arial"/>
                                </w:rPr>
                                <m:t>r</m:t>
                              </m:r>
                            </m:e>
                          </m:acc>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d</m:t>
                              </m:r>
                            </m:sub>
                          </m:sSub>
                        </m:e>
                      </m:d>
                    </m:e>
                    <m:sup>
                      <m:r>
                        <w:rPr>
                          <w:rFonts w:ascii="Cambria Math" w:hAnsi="Cambria Math" w:cs="Arial"/>
                        </w:rPr>
                        <m:t>T</m:t>
                      </m:r>
                    </m:sup>
                  </m:sSup>
                  <m:sSup>
                    <m:sSupPr>
                      <m:ctrlPr>
                        <w:rPr>
                          <w:rFonts w:ascii="Cambria Math" w:hAnsi="Cambria Math" w:cs="Arial"/>
                          <w:i/>
                        </w:rPr>
                      </m:ctrlPr>
                    </m:sSupPr>
                    <m:e>
                      <m:r>
                        <m:rPr>
                          <m:sty m:val="bi"/>
                        </m:rPr>
                        <w:rPr>
                          <w:rFonts w:ascii="Cambria Math" w:hAnsi="Cambria Math" w:cs="Arial"/>
                        </w:rPr>
                        <m:t>C</m:t>
                      </m:r>
                    </m:e>
                    <m:sup>
                      <m:r>
                        <w:rPr>
                          <w:rFonts w:ascii="Cambria Math" w:hAnsi="Cambria Math" w:cs="Arial"/>
                        </w:rPr>
                        <m:t>-1</m:t>
                      </m:r>
                    </m:sup>
                  </m:sSup>
                  <m:d>
                    <m:dPr>
                      <m:ctrlPr>
                        <w:rPr>
                          <w:rFonts w:ascii="Cambria Math" w:hAnsi="Cambria Math" w:cs="Arial"/>
                          <w:i/>
                        </w:rPr>
                      </m:ctrlPr>
                    </m:dPr>
                    <m:e>
                      <m:acc>
                        <m:accPr>
                          <m:chr m:val="⃑"/>
                          <m:ctrlPr>
                            <w:rPr>
                              <w:rFonts w:ascii="Cambria Math" w:hAnsi="Cambria Math" w:cs="Arial"/>
                              <w:b/>
                              <w:i/>
                            </w:rPr>
                          </m:ctrlPr>
                        </m:accPr>
                        <m:e>
                          <m:r>
                            <m:rPr>
                              <m:sty m:val="bi"/>
                            </m:rPr>
                            <w:rPr>
                              <w:rFonts w:ascii="Cambria Math" w:hAnsi="Cambria Math" w:cs="Arial"/>
                            </w:rPr>
                            <m:t>r</m:t>
                          </m:r>
                        </m:e>
                      </m:acc>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d</m:t>
                          </m:r>
                        </m:sub>
                      </m:sSub>
                    </m:e>
                  </m:d>
                </m:sup>
              </m:sSup>
            </m:e>
          </m:nary>
          <m:r>
            <w:rPr>
              <w:rFonts w:ascii="Cambria Math" w:hAnsi="Cambria Math" w:cs="Arial"/>
            </w:rPr>
            <m:t>d</m:t>
          </m:r>
          <m:acc>
            <m:accPr>
              <m:chr m:val="⃗"/>
              <m:ctrlPr>
                <w:rPr>
                  <w:rFonts w:ascii="Cambria Math" w:hAnsi="Cambria Math" w:cs="Arial"/>
                  <w:i/>
                </w:rPr>
              </m:ctrlPr>
            </m:accPr>
            <m:e>
              <m:r>
                <w:rPr>
                  <w:rFonts w:ascii="Cambria Math" w:hAnsi="Cambria Math" w:cs="Arial"/>
                </w:rPr>
                <m:t>r</m:t>
              </m:r>
            </m:e>
          </m:acc>
        </m:oMath>
      </m:oMathPara>
    </w:p>
    <w:p w14:paraId="288DB9C2" w14:textId="77777777" w:rsidR="00CC770B" w:rsidRPr="004D445D" w:rsidRDefault="00CC770B" w:rsidP="00CC770B">
      <w:pPr>
        <w:jc w:val="both"/>
        <w:rPr>
          <w:rFonts w:eastAsiaTheme="minorEastAsia" w:cs="Arial"/>
          <w:b/>
          <w:szCs w:val="24"/>
        </w:rPr>
      </w:pPr>
    </w:p>
    <w:p w14:paraId="601C2091" w14:textId="77777777" w:rsidR="00CC770B" w:rsidRDefault="00CC770B" w:rsidP="00CC770B">
      <w:pPr>
        <w:jc w:val="both"/>
        <w:rPr>
          <w:rFonts w:eastAsiaTheme="minorEastAsia" w:cs="Arial"/>
          <w:szCs w:val="24"/>
        </w:rPr>
      </w:pPr>
      <w:r>
        <w:rPr>
          <w:rFonts w:eastAsiaTheme="minorEastAsia" w:cs="Arial"/>
          <w:szCs w:val="24"/>
        </w:rPr>
        <w:t xml:space="preserve">Where </w:t>
      </w:r>
      <w:r w:rsidRPr="00A62C97">
        <w:rPr>
          <w:rFonts w:eastAsiaTheme="minorEastAsia" w:cs="Arial"/>
          <w:b/>
          <w:i/>
          <w:szCs w:val="24"/>
        </w:rPr>
        <w:t>C</w:t>
      </w:r>
      <w:r>
        <w:rPr>
          <w:rFonts w:eastAsiaTheme="minorEastAsia" w:cs="Arial"/>
          <w:szCs w:val="24"/>
        </w:rPr>
        <w:t xml:space="preserve"> is t</w:t>
      </w:r>
      <w:r w:rsidRPr="00A62C97">
        <w:rPr>
          <w:rFonts w:eastAsiaTheme="minorEastAsia" w:cs="Arial"/>
          <w:szCs w:val="24"/>
        </w:rPr>
        <w:t>he</w:t>
      </w:r>
      <w:r>
        <w:rPr>
          <w:rFonts w:eastAsiaTheme="minorEastAsia" w:cs="Arial"/>
          <w:szCs w:val="24"/>
        </w:rPr>
        <w:t xml:space="preserve"> combined position uncertainty of the two objects for probability of collision calculation, and </w:t>
      </w:r>
      <w:proofErr w:type="gramStart"/>
      <w:r>
        <w:rPr>
          <w:rFonts w:eastAsiaTheme="minorEastAsia" w:cs="Arial"/>
          <w:szCs w:val="24"/>
        </w:rPr>
        <w:t>is characterized</w:t>
      </w:r>
      <w:proofErr w:type="gramEnd"/>
      <w:r>
        <w:rPr>
          <w:rFonts w:eastAsiaTheme="minorEastAsia" w:cs="Arial"/>
          <w:szCs w:val="24"/>
        </w:rPr>
        <w:t xml:space="preserve"> as the sum of the two position </w:t>
      </w:r>
      <w:proofErr w:type="spellStart"/>
      <w:r>
        <w:rPr>
          <w:rFonts w:eastAsiaTheme="minorEastAsia" w:cs="Arial"/>
          <w:szCs w:val="24"/>
        </w:rPr>
        <w:t>covariances</w:t>
      </w:r>
      <w:proofErr w:type="spellEnd"/>
      <w:r>
        <w:rPr>
          <w:rFonts w:eastAsiaTheme="minorEastAsia" w:cs="Arial"/>
          <w:szCs w:val="24"/>
        </w:rPr>
        <w:t xml:space="preserve"> in a common frame.</w:t>
      </w:r>
    </w:p>
    <w:p w14:paraId="321A3364" w14:textId="77777777" w:rsidR="00CC770B" w:rsidRPr="007A2C8D" w:rsidRDefault="00CC770B" w:rsidP="00CC770B">
      <w:pPr>
        <w:jc w:val="both"/>
        <w:rPr>
          <w:rFonts w:eastAsiaTheme="minorEastAsia" w:cs="Arial"/>
          <w:b/>
          <w:szCs w:val="24"/>
        </w:rPr>
      </w:pPr>
      <m:oMathPara>
        <m:oMath>
          <m:r>
            <m:rPr>
              <m:sty m:val="bi"/>
            </m:rPr>
            <w:rPr>
              <w:rFonts w:ascii="Cambria Math" w:eastAsiaTheme="minorEastAsia" w:hAnsi="Cambria Math" w:cs="Arial"/>
              <w:szCs w:val="24"/>
            </w:rPr>
            <m:t>C=</m:t>
          </m:r>
          <m:sSub>
            <m:sSubPr>
              <m:ctrlPr>
                <w:rPr>
                  <w:rFonts w:ascii="Cambria Math" w:eastAsiaTheme="minorEastAsia" w:hAnsi="Cambria Math" w:cs="Arial"/>
                  <w:b/>
                  <w:i/>
                  <w:szCs w:val="24"/>
                </w:rPr>
              </m:ctrlPr>
            </m:sSubPr>
            <m:e>
              <m:r>
                <m:rPr>
                  <m:sty m:val="bi"/>
                </m:rPr>
                <w:rPr>
                  <w:rFonts w:ascii="Cambria Math" w:eastAsiaTheme="minorEastAsia" w:hAnsi="Cambria Math" w:cs="Arial"/>
                  <w:szCs w:val="24"/>
                </w:rPr>
                <m:t>C</m:t>
              </m:r>
            </m:e>
            <m:sub>
              <m:r>
                <m:rPr>
                  <m:sty m:val="bi"/>
                </m:rPr>
                <w:rPr>
                  <w:rFonts w:ascii="Cambria Math" w:eastAsiaTheme="minorEastAsia" w:hAnsi="Cambria Math" w:cs="Arial"/>
                  <w:szCs w:val="24"/>
                </w:rPr>
                <m:t>known</m:t>
              </m:r>
            </m:sub>
          </m:sSub>
          <m:r>
            <m:rPr>
              <m:sty m:val="bi"/>
            </m:rPr>
            <w:rPr>
              <w:rFonts w:ascii="Cambria Math" w:eastAsiaTheme="minorEastAsia" w:hAnsi="Cambria Math" w:cs="Arial"/>
              <w:szCs w:val="24"/>
            </w:rPr>
            <m:t>+</m:t>
          </m:r>
          <m:sSub>
            <m:sSubPr>
              <m:ctrlPr>
                <w:rPr>
                  <w:rFonts w:ascii="Cambria Math" w:eastAsiaTheme="minorEastAsia" w:hAnsi="Cambria Math" w:cs="Arial"/>
                  <w:b/>
                  <w:i/>
                  <w:szCs w:val="24"/>
                </w:rPr>
              </m:ctrlPr>
            </m:sSubPr>
            <m:e>
              <m:r>
                <m:rPr>
                  <m:sty m:val="bi"/>
                </m:rPr>
                <w:rPr>
                  <w:rFonts w:ascii="Cambria Math" w:eastAsiaTheme="minorEastAsia" w:hAnsi="Cambria Math" w:cs="Arial"/>
                  <w:szCs w:val="24"/>
                </w:rPr>
                <m:t>C</m:t>
              </m:r>
            </m:e>
            <m:sub>
              <m:r>
                <m:rPr>
                  <m:sty m:val="bi"/>
                </m:rPr>
                <w:rPr>
                  <w:rFonts w:ascii="Cambria Math" w:eastAsiaTheme="minorEastAsia" w:hAnsi="Cambria Math" w:cs="Arial"/>
                  <w:szCs w:val="24"/>
                </w:rPr>
                <m:t>unknown</m:t>
              </m:r>
            </m:sub>
          </m:sSub>
        </m:oMath>
      </m:oMathPara>
    </w:p>
    <w:p w14:paraId="32325F91" w14:textId="78F7595F" w:rsidR="00CC770B" w:rsidRDefault="00CC770B" w:rsidP="00CC770B">
      <w:pPr>
        <w:jc w:val="both"/>
        <w:rPr>
          <w:rFonts w:eastAsiaTheme="minorEastAsia" w:cs="Arial"/>
        </w:rPr>
      </w:pPr>
      <w:r>
        <w:rPr>
          <w:rFonts w:eastAsiaTheme="minorEastAsia" w:cs="Arial"/>
        </w:rPr>
        <w:t>Frisbee 2015</w:t>
      </w:r>
      <w:r w:rsidRPr="007A2C8D">
        <w:rPr>
          <w:rFonts w:eastAsiaTheme="minorEastAsia" w:cs="Arial"/>
          <w:vertAlign w:val="superscript"/>
        </w:rPr>
        <w:fldChar w:fldCharType="begin"/>
      </w:r>
      <w:r w:rsidRPr="007A2C8D">
        <w:rPr>
          <w:rFonts w:eastAsiaTheme="minorEastAsia" w:cs="Arial"/>
          <w:vertAlign w:val="superscript"/>
        </w:rPr>
        <w:instrText xml:space="preserve"> NOTEREF _Ref511050353 \h </w:instrText>
      </w:r>
      <w:r>
        <w:rPr>
          <w:rFonts w:eastAsiaTheme="minorEastAsia" w:cs="Arial"/>
          <w:vertAlign w:val="superscript"/>
        </w:rPr>
        <w:instrText xml:space="preserve"> \* MERGEFORMAT </w:instrText>
      </w:r>
      <w:r w:rsidRPr="007A2C8D">
        <w:rPr>
          <w:rFonts w:eastAsiaTheme="minorEastAsia" w:cs="Arial"/>
          <w:vertAlign w:val="superscript"/>
        </w:rPr>
      </w:r>
      <w:r w:rsidRPr="007A2C8D">
        <w:rPr>
          <w:rFonts w:eastAsiaTheme="minorEastAsia" w:cs="Arial"/>
          <w:vertAlign w:val="superscript"/>
        </w:rPr>
        <w:fldChar w:fldCharType="separate"/>
      </w:r>
      <w:r w:rsidR="00565F8B">
        <w:rPr>
          <w:rFonts w:eastAsiaTheme="minorEastAsia" w:cs="Arial"/>
          <w:vertAlign w:val="superscript"/>
        </w:rPr>
        <w:t>ii</w:t>
      </w:r>
      <w:r w:rsidRPr="007A2C8D">
        <w:rPr>
          <w:rFonts w:eastAsiaTheme="minorEastAsia" w:cs="Arial"/>
          <w:vertAlign w:val="superscript"/>
        </w:rPr>
        <w:fldChar w:fldCharType="end"/>
      </w:r>
      <w:r>
        <w:rPr>
          <w:rFonts w:eastAsiaTheme="minorEastAsia" w:cs="Arial"/>
        </w:rPr>
        <w:t>, makes an argument for an approximation of the probability of collision calculation assuming that the spatial debris density does not vary over the exclusion zone reducing the two dimensional probability of collision equation to:</w:t>
      </w:r>
    </w:p>
    <w:p w14:paraId="51890827" w14:textId="77777777" w:rsidR="00CC770B" w:rsidRPr="001A4119" w:rsidRDefault="00CC770B" w:rsidP="00CC770B">
      <w:pPr>
        <w:jc w:val="both"/>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≈A</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-0.5</m:t>
                  </m:r>
                  <m:sSubSup>
                    <m:sSubSupPr>
                      <m:ctrlPr>
                        <w:rPr>
                          <w:rFonts w:ascii="Cambria Math" w:eastAsiaTheme="minorEastAsia" w:hAnsi="Cambria Math" w:cs="Arial"/>
                          <w:i/>
                        </w:rPr>
                      </m:ctrlPr>
                    </m:sSubSupPr>
                    <m:e>
                      <m:r>
                        <w:rPr>
                          <w:rFonts w:ascii="Cambria Math" w:eastAsiaTheme="minorEastAsia" w:hAnsi="Cambria Math" w:cs="Arial"/>
                        </w:rPr>
                        <m:t>r</m:t>
                      </m:r>
                    </m:e>
                    <m:sub>
                      <m:r>
                        <w:rPr>
                          <w:rFonts w:ascii="Cambria Math" w:eastAsiaTheme="minorEastAsia" w:hAnsi="Cambria Math" w:cs="Arial"/>
                        </w:rPr>
                        <m:t>rel</m:t>
                      </m:r>
                    </m:sub>
                    <m:sup>
                      <m:r>
                        <w:rPr>
                          <w:rFonts w:ascii="Cambria Math" w:eastAsiaTheme="minorEastAsia" w:hAnsi="Cambria Math" w:cs="Arial"/>
                        </w:rPr>
                        <m:t>T</m:t>
                      </m:r>
                    </m:sup>
                  </m:sSubSup>
                  <m:sSup>
                    <m:sSupPr>
                      <m:ctrlPr>
                        <w:rPr>
                          <w:rFonts w:ascii="Cambria Math" w:eastAsiaTheme="minorEastAsia" w:hAnsi="Cambria Math" w:cs="Arial"/>
                          <w:i/>
                        </w:rPr>
                      </m:ctrlPr>
                    </m:sSupPr>
                    <m:e>
                      <m:r>
                        <w:rPr>
                          <w:rFonts w:ascii="Cambria Math" w:eastAsiaTheme="minorEastAsia" w:hAnsi="Cambria Math" w:cs="Arial"/>
                        </w:rPr>
                        <m:t>C</m:t>
                      </m:r>
                    </m:e>
                    <m:sup>
                      <m:r>
                        <w:rPr>
                          <w:rFonts w:ascii="Cambria Math" w:eastAsiaTheme="minorEastAsia" w:hAnsi="Cambria Math" w:cs="Arial"/>
                        </w:rPr>
                        <m:t>-1</m:t>
                      </m:r>
                    </m:sup>
                  </m:sSup>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rel</m:t>
                      </m:r>
                    </m:sub>
                  </m:sSub>
                </m:sup>
              </m:sSup>
            </m:num>
            <m:den>
              <m:r>
                <w:rPr>
                  <w:rFonts w:ascii="Cambria Math" w:eastAsiaTheme="minorEastAsia" w:hAnsi="Cambria Math" w:cs="Arial"/>
                </w:rPr>
                <m:t>2π</m:t>
              </m:r>
              <m:rad>
                <m:radPr>
                  <m:degHide m:val="1"/>
                  <m:ctrlPr>
                    <w:rPr>
                      <w:rFonts w:ascii="Cambria Math" w:eastAsiaTheme="minorEastAsia" w:hAnsi="Cambria Math" w:cs="Arial"/>
                      <w:i/>
                    </w:rPr>
                  </m:ctrlPr>
                </m:radPr>
                <m:deg/>
                <m:e>
                  <m:r>
                    <w:rPr>
                      <w:rFonts w:ascii="Cambria Math" w:eastAsiaTheme="minorEastAsia" w:hAnsi="Cambria Math" w:cs="Arial"/>
                    </w:rPr>
                    <m:t>C</m:t>
                  </m:r>
                </m:e>
              </m:rad>
            </m:den>
          </m:f>
        </m:oMath>
      </m:oMathPara>
    </w:p>
    <w:p w14:paraId="110AAF24" w14:textId="77777777" w:rsidR="00CC770B" w:rsidRDefault="00CC770B" w:rsidP="00CC770B">
      <w:pPr>
        <w:rPr>
          <w:rFonts w:eastAsiaTheme="minorEastAsia" w:cs="Arial"/>
          <w:szCs w:val="24"/>
        </w:rPr>
      </w:pPr>
      <w:r>
        <w:rPr>
          <w:rFonts w:eastAsiaTheme="minorEastAsia" w:cs="Arial"/>
          <w:szCs w:val="24"/>
        </w:rPr>
        <w:t xml:space="preserve">By differentiating this equation with respect </w:t>
      </w:r>
      <w:proofErr w:type="gramStart"/>
      <w:r>
        <w:rPr>
          <w:rFonts w:eastAsiaTheme="minorEastAsia" w:cs="Arial"/>
          <w:szCs w:val="24"/>
        </w:rPr>
        <w:t xml:space="preserve">to </w:t>
      </w:r>
      <w:proofErr w:type="gramEnd"/>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r</m:t>
            </m:r>
          </m:sub>
        </m:sSub>
      </m:oMath>
      <w:r>
        <w:rPr>
          <w:rFonts w:eastAsiaTheme="minorEastAsia" w:cs="Arial"/>
          <w:szCs w:val="24"/>
        </w:rPr>
        <w:t xml:space="preserve">, it is possible to determine the value of </w:t>
      </w:r>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r</m:t>
            </m:r>
          </m:sub>
        </m:sSub>
      </m:oMath>
      <w:r>
        <w:rPr>
          <w:rFonts w:eastAsiaTheme="minorEastAsia" w:cs="Arial"/>
          <w:szCs w:val="24"/>
        </w:rPr>
        <w:t xml:space="preserve"> which maximizes the probability of collision with respect to the known obje</w:t>
      </w:r>
      <w:proofErr w:type="spellStart"/>
      <w:r>
        <w:rPr>
          <w:rFonts w:eastAsiaTheme="minorEastAsia" w:cs="Arial"/>
          <w:szCs w:val="24"/>
        </w:rPr>
        <w:t>ct</w:t>
      </w:r>
      <w:proofErr w:type="spellEnd"/>
      <w:r>
        <w:rPr>
          <w:rFonts w:eastAsiaTheme="minorEastAsia" w:cs="Arial"/>
          <w:szCs w:val="24"/>
        </w:rPr>
        <w:t xml:space="preserve"> position uncertainty and miss vector.</w:t>
      </w:r>
    </w:p>
    <w:p w14:paraId="61EDABED" w14:textId="77777777" w:rsidR="00CC770B" w:rsidRPr="00D45BD3" w:rsidRDefault="00CC770B" w:rsidP="00CC770B">
      <w:pPr>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r</m:t>
              </m:r>
            </m:sub>
          </m:sSub>
          <m:r>
            <w:rPr>
              <w:rFonts w:ascii="Cambria Math" w:eastAsiaTheme="minorEastAsia" w:hAnsi="Cambria Math" w:cs="Arial"/>
              <w:szCs w:val="24"/>
            </w:rPr>
            <m:t>=</m:t>
          </m:r>
          <m:sSup>
            <m:sSupPr>
              <m:ctrlPr>
                <w:rPr>
                  <w:rFonts w:ascii="Cambria Math" w:eastAsiaTheme="minorEastAsia" w:hAnsi="Cambria Math" w:cs="Arial"/>
                  <w:i/>
                  <w:szCs w:val="24"/>
                </w:rPr>
              </m:ctrlPr>
            </m:sSupPr>
            <m:e>
              <m:d>
                <m:dPr>
                  <m:begChr m:val="|"/>
                  <m:endChr m:val="|"/>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r</m:t>
                      </m:r>
                    </m:e>
                    <m:sub>
                      <m:r>
                        <w:rPr>
                          <w:rFonts w:ascii="Cambria Math" w:eastAsiaTheme="minorEastAsia" w:hAnsi="Cambria Math" w:cs="Arial"/>
                          <w:szCs w:val="24"/>
                        </w:rPr>
                        <m:t>rel</m:t>
                      </m:r>
                    </m:sub>
                  </m:sSub>
                </m:e>
              </m:d>
            </m:e>
            <m:sup>
              <m:r>
                <w:rPr>
                  <w:rFonts w:ascii="Cambria Math" w:eastAsiaTheme="minorEastAsia" w:hAnsi="Cambria Math" w:cs="Arial"/>
                  <w:szCs w:val="24"/>
                </w:rPr>
                <m:t>2</m:t>
              </m:r>
            </m:sup>
          </m:sSup>
          <m:d>
            <m:dPr>
              <m:ctrlPr>
                <w:rPr>
                  <w:rFonts w:ascii="Cambria Math" w:eastAsiaTheme="minorEastAsia" w:hAnsi="Cambria Math" w:cs="Arial"/>
                  <w:i/>
                  <w:szCs w:val="24"/>
                </w:rPr>
              </m:ctrlPr>
            </m:dPr>
            <m:e>
              <m:f>
                <m:fPr>
                  <m:ctrlPr>
                    <w:rPr>
                      <w:rFonts w:ascii="Cambria Math" w:eastAsiaTheme="minorEastAsia" w:hAnsi="Cambria Math" w:cs="Arial"/>
                      <w:i/>
                      <w:szCs w:val="24"/>
                    </w:rPr>
                  </m:ctrlPr>
                </m:fPr>
                <m:num>
                  <m:sSubSup>
                    <m:sSubSupPr>
                      <m:ctrlPr>
                        <w:rPr>
                          <w:rFonts w:ascii="Cambria Math" w:eastAsiaTheme="minorEastAsia" w:hAnsi="Cambria Math" w:cs="Arial"/>
                          <w:i/>
                          <w:szCs w:val="24"/>
                        </w:rPr>
                      </m:ctrlPr>
                    </m:sSubSupPr>
                    <m:e>
                      <m:r>
                        <w:rPr>
                          <w:rFonts w:ascii="Cambria Math" w:eastAsiaTheme="minorEastAsia" w:hAnsi="Cambria Math" w:cs="Arial"/>
                          <w:szCs w:val="24"/>
                        </w:rPr>
                        <m:t>K</m:t>
                      </m:r>
                    </m:e>
                    <m:sub>
                      <m:r>
                        <w:rPr>
                          <w:rFonts w:ascii="Cambria Math" w:eastAsiaTheme="minorEastAsia" w:hAnsi="Cambria Math" w:cs="Arial"/>
                          <w:szCs w:val="24"/>
                        </w:rPr>
                        <m:t>A</m:t>
                      </m:r>
                    </m:sub>
                    <m:sup>
                      <m:r>
                        <w:rPr>
                          <w:rFonts w:ascii="Cambria Math" w:eastAsiaTheme="minorEastAsia" w:hAnsi="Cambria Math" w:cs="Arial"/>
                          <w:szCs w:val="24"/>
                        </w:rPr>
                        <m:t>2</m:t>
                      </m:r>
                    </m:sup>
                  </m:sSubSup>
                  <m:r>
                    <w:rPr>
                      <w:rFonts w:ascii="Cambria Math" w:eastAsiaTheme="minorEastAsia" w:hAnsi="Cambria Math" w:cs="Arial"/>
                      <w:szCs w:val="24"/>
                    </w:rPr>
                    <m:t>-1</m:t>
                  </m:r>
                </m:num>
                <m:den>
                  <m:sSubSup>
                    <m:sSubSupPr>
                      <m:ctrlPr>
                        <w:rPr>
                          <w:rFonts w:ascii="Cambria Math" w:eastAsiaTheme="minorEastAsia" w:hAnsi="Cambria Math" w:cs="Arial"/>
                          <w:i/>
                          <w:szCs w:val="24"/>
                        </w:rPr>
                      </m:ctrlPr>
                    </m:sSubSupPr>
                    <m:e>
                      <m:r>
                        <w:rPr>
                          <w:rFonts w:ascii="Cambria Math" w:eastAsiaTheme="minorEastAsia" w:hAnsi="Cambria Math" w:cs="Arial"/>
                          <w:szCs w:val="24"/>
                        </w:rPr>
                        <m:t>K</m:t>
                      </m:r>
                    </m:e>
                    <m:sub>
                      <m:r>
                        <w:rPr>
                          <w:rFonts w:ascii="Cambria Math" w:eastAsiaTheme="minorEastAsia" w:hAnsi="Cambria Math" w:cs="Arial"/>
                          <w:szCs w:val="24"/>
                        </w:rPr>
                        <m:t>A</m:t>
                      </m:r>
                    </m:sub>
                    <m:sup>
                      <m:r>
                        <w:rPr>
                          <w:rFonts w:ascii="Cambria Math" w:eastAsiaTheme="minorEastAsia" w:hAnsi="Cambria Math" w:cs="Arial"/>
                          <w:szCs w:val="24"/>
                        </w:rPr>
                        <m:t>2</m:t>
                      </m:r>
                    </m:sup>
                  </m:sSubSup>
                </m:den>
              </m:f>
            </m:e>
          </m:d>
        </m:oMath>
      </m:oMathPara>
    </w:p>
    <w:p w14:paraId="75E9979C" w14:textId="77777777" w:rsidR="00CC770B" w:rsidRDefault="00CC770B" w:rsidP="00CC770B">
      <w:pPr>
        <w:rPr>
          <w:rFonts w:eastAsiaTheme="minorEastAsia" w:cs="Arial"/>
          <w:szCs w:val="24"/>
        </w:rPr>
      </w:pPr>
      <w:r>
        <w:rPr>
          <w:rFonts w:eastAsiaTheme="minorEastAsia" w:cs="Arial"/>
          <w:szCs w:val="24"/>
        </w:rPr>
        <w:t>Where:</w:t>
      </w:r>
    </w:p>
    <w:p w14:paraId="1D6A26D2" w14:textId="77777777" w:rsidR="00CC770B" w:rsidRPr="001A4119" w:rsidRDefault="00CC770B" w:rsidP="00CC770B">
      <w:pPr>
        <w:rPr>
          <w:rFonts w:eastAsiaTheme="minorEastAsia" w:cs="Arial"/>
          <w:szCs w:val="24"/>
        </w:rPr>
      </w:pPr>
      <m:oMathPara>
        <m:oMath>
          <m:sSubSup>
            <m:sSubSupPr>
              <m:ctrlPr>
                <w:rPr>
                  <w:rFonts w:ascii="Cambria Math" w:eastAsiaTheme="minorEastAsia" w:hAnsi="Cambria Math" w:cs="Arial"/>
                  <w:i/>
                  <w:szCs w:val="24"/>
                </w:rPr>
              </m:ctrlPr>
            </m:sSubSupPr>
            <m:e>
              <m:r>
                <w:rPr>
                  <w:rFonts w:ascii="Cambria Math" w:eastAsiaTheme="minorEastAsia" w:hAnsi="Cambria Math" w:cs="Arial"/>
                  <w:szCs w:val="24"/>
                </w:rPr>
                <m:t>K</m:t>
              </m:r>
            </m:e>
            <m:sub>
              <m:r>
                <w:rPr>
                  <w:rFonts w:ascii="Cambria Math" w:eastAsiaTheme="minorEastAsia" w:hAnsi="Cambria Math" w:cs="Arial"/>
                  <w:szCs w:val="24"/>
                </w:rPr>
                <m:t>A</m:t>
              </m:r>
            </m:sub>
            <m:sup>
              <m:r>
                <w:rPr>
                  <w:rFonts w:ascii="Cambria Math" w:eastAsiaTheme="minorEastAsia" w:hAnsi="Cambria Math" w:cs="Arial"/>
                  <w:szCs w:val="24"/>
                </w:rPr>
                <m:t>2</m:t>
              </m:r>
            </m:sup>
          </m:sSubSup>
          <m:r>
            <w:rPr>
              <w:rFonts w:ascii="Cambria Math" w:eastAsiaTheme="minorEastAsia" w:hAnsi="Cambria Math" w:cs="Arial"/>
              <w:szCs w:val="24"/>
            </w:rPr>
            <m:t>=</m:t>
          </m:r>
          <m:sSubSup>
            <m:sSubSupPr>
              <m:ctrlPr>
                <w:rPr>
                  <w:rFonts w:ascii="Cambria Math" w:eastAsiaTheme="minorEastAsia" w:hAnsi="Cambria Math" w:cs="Arial"/>
                  <w:i/>
                  <w:szCs w:val="24"/>
                </w:rPr>
              </m:ctrlPr>
            </m:sSubSupPr>
            <m:e>
              <m:r>
                <w:rPr>
                  <w:rFonts w:ascii="Cambria Math" w:eastAsiaTheme="minorEastAsia" w:hAnsi="Cambria Math" w:cs="Arial"/>
                  <w:szCs w:val="24"/>
                </w:rPr>
                <m:t>r</m:t>
              </m:r>
            </m:e>
            <m:sub>
              <m:r>
                <w:rPr>
                  <w:rFonts w:ascii="Cambria Math" w:eastAsiaTheme="minorEastAsia" w:hAnsi="Cambria Math" w:cs="Arial"/>
                  <w:szCs w:val="24"/>
                </w:rPr>
                <m:t>rel</m:t>
              </m:r>
            </m:sub>
            <m:sup>
              <m:r>
                <w:rPr>
                  <w:rFonts w:ascii="Cambria Math" w:eastAsiaTheme="minorEastAsia" w:hAnsi="Cambria Math" w:cs="Arial"/>
                  <w:szCs w:val="24"/>
                </w:rPr>
                <m:t>T</m:t>
              </m:r>
            </m:sup>
          </m:sSubSup>
          <m:sSubSup>
            <m:sSubSupPr>
              <m:ctrlPr>
                <w:rPr>
                  <w:rFonts w:ascii="Cambria Math" w:eastAsiaTheme="minorEastAsia" w:hAnsi="Cambria Math" w:cs="Arial"/>
                  <w:b/>
                  <w:i/>
                  <w:szCs w:val="24"/>
                </w:rPr>
              </m:ctrlPr>
            </m:sSubSupPr>
            <m:e>
              <m:r>
                <m:rPr>
                  <m:sty m:val="bi"/>
                </m:rPr>
                <w:rPr>
                  <w:rFonts w:ascii="Cambria Math" w:eastAsiaTheme="minorEastAsia" w:hAnsi="Cambria Math" w:cs="Arial"/>
                  <w:szCs w:val="24"/>
                </w:rPr>
                <m:t>C</m:t>
              </m:r>
            </m:e>
            <m:sub>
              <m:r>
                <m:rPr>
                  <m:sty m:val="bi"/>
                </m:rPr>
                <w:rPr>
                  <w:rFonts w:ascii="Cambria Math" w:eastAsiaTheme="minorEastAsia" w:hAnsi="Cambria Math" w:cs="Arial"/>
                  <w:szCs w:val="24"/>
                </w:rPr>
                <m:t>known</m:t>
              </m:r>
            </m:sub>
            <m:sup>
              <m:r>
                <m:rPr>
                  <m:sty m:val="bi"/>
                </m:rPr>
                <w:rPr>
                  <w:rFonts w:ascii="Cambria Math" w:eastAsiaTheme="minorEastAsia" w:hAnsi="Cambria Math" w:cs="Arial"/>
                  <w:szCs w:val="24"/>
                </w:rPr>
                <m:t>-1</m:t>
              </m:r>
            </m:sup>
          </m:sSubSup>
          <m:sSub>
            <m:sSubPr>
              <m:ctrlPr>
                <w:rPr>
                  <w:rFonts w:ascii="Cambria Math" w:eastAsiaTheme="minorEastAsia" w:hAnsi="Cambria Math" w:cs="Arial"/>
                  <w:i/>
                  <w:szCs w:val="24"/>
                </w:rPr>
              </m:ctrlPr>
            </m:sSubPr>
            <m:e>
              <m:r>
                <w:rPr>
                  <w:rFonts w:ascii="Cambria Math" w:eastAsiaTheme="minorEastAsia" w:hAnsi="Cambria Math" w:cs="Arial"/>
                  <w:szCs w:val="24"/>
                </w:rPr>
                <m:t>r</m:t>
              </m:r>
            </m:e>
            <m:sub>
              <m:r>
                <w:rPr>
                  <w:rFonts w:ascii="Cambria Math" w:eastAsiaTheme="minorEastAsia" w:hAnsi="Cambria Math" w:cs="Arial"/>
                  <w:szCs w:val="24"/>
                </w:rPr>
                <m:t>rel</m:t>
              </m:r>
            </m:sub>
          </m:sSub>
        </m:oMath>
      </m:oMathPara>
    </w:p>
    <w:p w14:paraId="0C60168A" w14:textId="77777777" w:rsidR="00CC770B" w:rsidRDefault="00CC770B" w:rsidP="00CC770B">
      <w:pPr>
        <w:rPr>
          <w:rFonts w:eastAsiaTheme="minorEastAsia" w:cs="Arial"/>
          <w:szCs w:val="24"/>
        </w:rPr>
      </w:pPr>
      <w:r>
        <w:rPr>
          <w:rFonts w:eastAsiaTheme="minorEastAsia" w:cs="Arial"/>
          <w:szCs w:val="24"/>
        </w:rPr>
        <w:t xml:space="preserve">As stated before, the </w:t>
      </w:r>
      <w:proofErr w:type="spellStart"/>
      <w:r>
        <w:rPr>
          <w:rFonts w:eastAsiaTheme="minorEastAsia" w:cs="Arial"/>
          <w:szCs w:val="24"/>
        </w:rPr>
        <w:t>Mahalanobis</w:t>
      </w:r>
      <w:proofErr w:type="spellEnd"/>
      <w:r>
        <w:rPr>
          <w:rFonts w:eastAsiaTheme="minorEastAsia" w:cs="Arial"/>
          <w:szCs w:val="24"/>
        </w:rPr>
        <w:t xml:space="preserve"> distance of the miss geometry becomes a value of </w:t>
      </w:r>
      <w:proofErr w:type="gramStart"/>
      <w:r>
        <w:rPr>
          <w:rFonts w:eastAsiaTheme="minorEastAsia" w:cs="Arial"/>
          <w:szCs w:val="24"/>
        </w:rPr>
        <w:t>1</w:t>
      </w:r>
      <w:proofErr w:type="gramEnd"/>
      <w:r>
        <w:rPr>
          <w:rFonts w:eastAsiaTheme="minorEastAsia" w:cs="Arial"/>
          <w:szCs w:val="24"/>
        </w:rPr>
        <w:t>, this causes Frisbee’s approximation to reduce to:</w:t>
      </w:r>
    </w:p>
    <w:p w14:paraId="5D4D7436" w14:textId="77777777" w:rsidR="00CC770B" w:rsidRPr="007A2C8D" w:rsidRDefault="00CC770B" w:rsidP="00CC770B">
      <w:pPr>
        <w:rPr>
          <w:rFonts w:eastAsiaTheme="minorEastAsia" w:cs="Arial"/>
          <w:szCs w:val="24"/>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≈A</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-0.5</m:t>
                  </m:r>
                </m:sup>
              </m:sSup>
            </m:num>
            <m:den>
              <m:r>
                <w:rPr>
                  <w:rFonts w:ascii="Cambria Math" w:eastAsiaTheme="minorEastAsia" w:hAnsi="Cambria Math" w:cs="Arial"/>
                </w:rPr>
                <m:t>2π</m:t>
              </m:r>
              <m:rad>
                <m:radPr>
                  <m:degHide m:val="1"/>
                  <m:ctrlPr>
                    <w:rPr>
                      <w:rFonts w:ascii="Cambria Math" w:eastAsiaTheme="minorEastAsia" w:hAnsi="Cambria Math" w:cs="Arial"/>
                      <w:i/>
                    </w:rPr>
                  </m:ctrlPr>
                </m:radPr>
                <m:deg/>
                <m:e>
                  <m:r>
                    <w:rPr>
                      <w:rFonts w:ascii="Cambria Math" w:eastAsiaTheme="minorEastAsia" w:hAnsi="Cambria Math" w:cs="Arial"/>
                    </w:rPr>
                    <m:t>C</m:t>
                  </m:r>
                </m:e>
              </m:rad>
            </m:den>
          </m:f>
        </m:oMath>
      </m:oMathPara>
    </w:p>
    <w:p w14:paraId="7F7031C7" w14:textId="0E93EC82" w:rsidR="00CC770B" w:rsidRDefault="00CC770B" w:rsidP="00CC770B">
      <w:pPr>
        <w:jc w:val="both"/>
        <w:rPr>
          <w:rFonts w:cs="Arial"/>
          <w:szCs w:val="24"/>
        </w:rPr>
      </w:pPr>
      <w:r>
        <w:rPr>
          <w:rFonts w:cs="Arial"/>
          <w:szCs w:val="24"/>
        </w:rPr>
        <w:t xml:space="preserve">Frisbee’s approximation functions simplify the calculation of the maximum probability of collision by removing the integration of the debris spatial density from the probability of collision equation instead opting to multiply the debris spatial density at the time of closest approach by the area of the exclusion zone.  This is effectively </w:t>
      </w:r>
      <w:proofErr w:type="gramStart"/>
      <w:r>
        <w:rPr>
          <w:rFonts w:cs="Arial"/>
          <w:szCs w:val="24"/>
        </w:rPr>
        <w:t>making the assumption</w:t>
      </w:r>
      <w:proofErr w:type="gramEnd"/>
      <w:r>
        <w:rPr>
          <w:rFonts w:cs="Arial"/>
          <w:szCs w:val="24"/>
        </w:rPr>
        <w:t xml:space="preserve"> that the debris spatial density is constant over the entire cross-sectional area of the exclusion zone.  This causes the approximation to tend to overestimate the actual probability of collision, and </w:t>
      </w:r>
      <w:proofErr w:type="gramStart"/>
      <w:r>
        <w:rPr>
          <w:rFonts w:cs="Arial"/>
          <w:szCs w:val="24"/>
        </w:rPr>
        <w:t>can be seen</w:t>
      </w:r>
      <w:proofErr w:type="gramEnd"/>
      <w:r>
        <w:rPr>
          <w:rFonts w:cs="Arial"/>
          <w:szCs w:val="24"/>
        </w:rPr>
        <w:t xml:space="preserve"> in </w:t>
      </w:r>
      <w:r w:rsidRPr="00B8400E">
        <w:rPr>
          <w:rFonts w:cs="Arial"/>
          <w:szCs w:val="24"/>
        </w:rPr>
        <w:fldChar w:fldCharType="begin"/>
      </w:r>
      <w:r w:rsidRPr="00B8400E">
        <w:rPr>
          <w:rFonts w:cs="Arial"/>
          <w:szCs w:val="24"/>
        </w:rPr>
        <w:instrText xml:space="preserve"> REF _Ref510183854 \h </w:instrText>
      </w:r>
      <w:r>
        <w:rPr>
          <w:rFonts w:cs="Arial"/>
          <w:szCs w:val="24"/>
        </w:rPr>
        <w:instrText xml:space="preserve"> \* MERGEFORMAT </w:instrText>
      </w:r>
      <w:r w:rsidRPr="00B8400E">
        <w:rPr>
          <w:rFonts w:cs="Arial"/>
          <w:szCs w:val="24"/>
        </w:rPr>
      </w:r>
      <w:r w:rsidRPr="00B8400E">
        <w:rPr>
          <w:rFonts w:cs="Arial"/>
          <w:szCs w:val="24"/>
        </w:rPr>
        <w:fldChar w:fldCharType="separate"/>
      </w:r>
      <w:r w:rsidR="00565F8B" w:rsidRPr="00565F8B">
        <w:rPr>
          <w:rFonts w:cs="Arial"/>
        </w:rPr>
        <w:t xml:space="preserve">Figure </w:t>
      </w:r>
      <w:r w:rsidR="00565F8B" w:rsidRPr="00565F8B">
        <w:rPr>
          <w:rFonts w:cs="Arial"/>
          <w:noProof/>
        </w:rPr>
        <w:t>4</w:t>
      </w:r>
      <w:r w:rsidRPr="00B8400E">
        <w:rPr>
          <w:rFonts w:cs="Arial"/>
          <w:szCs w:val="24"/>
        </w:rPr>
        <w:fldChar w:fldCharType="end"/>
      </w:r>
      <w:r w:rsidRPr="00B8400E">
        <w:rPr>
          <w:rFonts w:cs="Arial"/>
          <w:szCs w:val="24"/>
        </w:rPr>
        <w:t xml:space="preserve"> </w:t>
      </w:r>
      <w:r>
        <w:rPr>
          <w:rFonts w:cs="Arial"/>
          <w:szCs w:val="24"/>
        </w:rPr>
        <w:t>where the example event from Frisbee’s paper is analyzed for a varying array of hard body radii.</w:t>
      </w:r>
    </w:p>
    <w:p w14:paraId="0E328A4B" w14:textId="77777777" w:rsidR="00CC770B" w:rsidRDefault="00CC770B" w:rsidP="00CC770B">
      <w:pPr>
        <w:keepNext/>
        <w:jc w:val="center"/>
      </w:pPr>
      <w:r>
        <w:rPr>
          <w:rFonts w:cs="Arial"/>
          <w:noProof/>
          <w:szCs w:val="24"/>
        </w:rPr>
        <w:lastRenderedPageBreak/>
        <w:drawing>
          <wp:inline distT="0" distB="0" distL="0" distR="0" wp14:anchorId="5F777EC5" wp14:editId="0647221D">
            <wp:extent cx="4572000" cy="5767251"/>
            <wp:effectExtent l="0" t="0" r="0" b="5080"/>
            <wp:docPr id="4" name="Picture 4" descr="E:\SDK\NonDistributionCode\SingleCovarianceComparisonFigures\Frisb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Frisbee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43F02168" w14:textId="4F2F21F0" w:rsidR="00CC770B" w:rsidRDefault="00CC770B" w:rsidP="00CC770B">
      <w:pPr>
        <w:pStyle w:val="Caption"/>
        <w:rPr>
          <w:rFonts w:cs="Arial"/>
          <w:szCs w:val="24"/>
        </w:rPr>
      </w:pPr>
      <w:bookmarkStart w:id="27" w:name="_Ref510183854"/>
      <w:bookmarkStart w:id="28" w:name="_Toc26336547"/>
      <w:bookmarkStart w:id="29" w:name="_Toc26338288"/>
      <w:r>
        <w:t xml:space="preserve">Figure </w:t>
      </w:r>
      <w:r>
        <w:rPr>
          <w:noProof/>
        </w:rPr>
        <w:fldChar w:fldCharType="begin"/>
      </w:r>
      <w:r>
        <w:rPr>
          <w:noProof/>
        </w:rPr>
        <w:instrText xml:space="preserve"> SEQ Figure \* ARABIC </w:instrText>
      </w:r>
      <w:r>
        <w:rPr>
          <w:noProof/>
        </w:rPr>
        <w:fldChar w:fldCharType="separate"/>
      </w:r>
      <w:r w:rsidR="00565F8B">
        <w:rPr>
          <w:noProof/>
        </w:rPr>
        <w:t>4</w:t>
      </w:r>
      <w:r>
        <w:rPr>
          <w:noProof/>
        </w:rPr>
        <w:fldChar w:fldCharType="end"/>
      </w:r>
      <w:bookmarkEnd w:id="27"/>
      <w:r>
        <w:t>: Comparison of Frisbee’s Approximation to the Integrated Maximum Probability of Collision for Frisbee’s Example.</w:t>
      </w:r>
      <w:bookmarkEnd w:id="28"/>
      <w:bookmarkEnd w:id="29"/>
    </w:p>
    <w:p w14:paraId="6E3E7B87" w14:textId="77777777" w:rsidR="00CC770B" w:rsidRDefault="00CC770B" w:rsidP="00CC770B">
      <w:pPr>
        <w:jc w:val="both"/>
        <w:rPr>
          <w:rFonts w:cs="Arial"/>
          <w:szCs w:val="24"/>
        </w:rPr>
      </w:pPr>
    </w:p>
    <w:p w14:paraId="6E15E7B2" w14:textId="77777777" w:rsidR="00CC770B" w:rsidRDefault="00CC770B" w:rsidP="00CC770B">
      <w:pPr>
        <w:jc w:val="both"/>
        <w:rPr>
          <w:rFonts w:cs="Arial"/>
          <w:szCs w:val="24"/>
        </w:rPr>
      </w:pPr>
      <w:r>
        <w:rPr>
          <w:rFonts w:cs="Arial"/>
          <w:szCs w:val="24"/>
        </w:rPr>
        <w:t>In Frisbee’s manufactured example close approach, the difference between the maximum probability of collision approximation and the full integration differs by only a few percent even as the input hard body radius approaches an upper limit defined by the ISS station size.</w:t>
      </w:r>
    </w:p>
    <w:p w14:paraId="59668908" w14:textId="59EA0598" w:rsidR="00CC770B" w:rsidRDefault="00CC770B" w:rsidP="00CC770B">
      <w:pPr>
        <w:jc w:val="both"/>
        <w:rPr>
          <w:rFonts w:cs="Arial"/>
          <w:szCs w:val="24"/>
        </w:rPr>
      </w:pPr>
      <w:r>
        <w:rPr>
          <w:rFonts w:cs="Arial"/>
          <w:szCs w:val="24"/>
        </w:rPr>
        <w:t xml:space="preserve">While the assumption that the debris spatial density is invariant over the exclusion zone is a valid one that causes only minor variations when the exclusion radius is small in respect to the combined position uncertainty bounds of the event, this assumption becomes less valid as the exclusion zone increases in size. Particularly with respect to the combined position uncertainty bounds.  </w:t>
      </w:r>
      <w:r w:rsidRPr="00B8400E">
        <w:rPr>
          <w:rFonts w:cs="Arial"/>
          <w:szCs w:val="24"/>
        </w:rPr>
        <w:t xml:space="preserve">In </w:t>
      </w:r>
      <w:r w:rsidRPr="00B8400E">
        <w:rPr>
          <w:rFonts w:cs="Arial"/>
          <w:szCs w:val="24"/>
        </w:rPr>
        <w:fldChar w:fldCharType="begin"/>
      </w:r>
      <w:r w:rsidRPr="00B8400E">
        <w:rPr>
          <w:rFonts w:cs="Arial"/>
          <w:szCs w:val="24"/>
        </w:rPr>
        <w:instrText xml:space="preserve"> REF _Ref510184080 \h </w:instrText>
      </w:r>
      <w:r>
        <w:rPr>
          <w:rFonts w:cs="Arial"/>
          <w:szCs w:val="24"/>
        </w:rPr>
        <w:instrText xml:space="preserve"> \* MERGEFORMAT </w:instrText>
      </w:r>
      <w:r w:rsidRPr="00B8400E">
        <w:rPr>
          <w:rFonts w:cs="Arial"/>
          <w:szCs w:val="24"/>
        </w:rPr>
      </w:r>
      <w:r w:rsidRPr="00B8400E">
        <w:rPr>
          <w:rFonts w:cs="Arial"/>
          <w:szCs w:val="24"/>
        </w:rPr>
        <w:fldChar w:fldCharType="separate"/>
      </w:r>
      <w:r w:rsidR="00565F8B" w:rsidRPr="00565F8B">
        <w:rPr>
          <w:rFonts w:cs="Arial"/>
        </w:rPr>
        <w:t xml:space="preserve">Figure </w:t>
      </w:r>
      <w:r w:rsidR="00565F8B" w:rsidRPr="00565F8B">
        <w:rPr>
          <w:rFonts w:cs="Arial"/>
          <w:noProof/>
        </w:rPr>
        <w:t>5</w:t>
      </w:r>
      <w:r w:rsidRPr="00B8400E">
        <w:rPr>
          <w:rFonts w:cs="Arial"/>
          <w:szCs w:val="24"/>
        </w:rPr>
        <w:fldChar w:fldCharType="end"/>
      </w:r>
      <w:r>
        <w:rPr>
          <w:rFonts w:cs="Arial"/>
          <w:szCs w:val="24"/>
        </w:rPr>
        <w:t xml:space="preserve">, an extreme operational example </w:t>
      </w:r>
      <w:proofErr w:type="gramStart"/>
      <w:r>
        <w:rPr>
          <w:rFonts w:cs="Arial"/>
          <w:szCs w:val="24"/>
        </w:rPr>
        <w:t>is analyzed</w:t>
      </w:r>
      <w:proofErr w:type="gramEnd"/>
      <w:r>
        <w:rPr>
          <w:rFonts w:cs="Arial"/>
          <w:szCs w:val="24"/>
        </w:rPr>
        <w:t xml:space="preserve"> with varying hard body radii, and Frisbee’s approximation begins to give answers that no longer make physical sense as the approximated probability of </w:t>
      </w:r>
      <w:r>
        <w:rPr>
          <w:rFonts w:cs="Arial"/>
          <w:szCs w:val="24"/>
        </w:rPr>
        <w:lastRenderedPageBreak/>
        <w:t xml:space="preserve">collision exceeds a value of unity.  For this reason, </w:t>
      </w:r>
      <w:proofErr w:type="spellStart"/>
      <w:r>
        <w:rPr>
          <w:rFonts w:cs="Arial"/>
          <w:szCs w:val="24"/>
        </w:rPr>
        <w:t>Omitron</w:t>
      </w:r>
      <w:proofErr w:type="spellEnd"/>
      <w:r>
        <w:rPr>
          <w:rFonts w:cs="Arial"/>
          <w:szCs w:val="24"/>
        </w:rPr>
        <w:t xml:space="preserve"> has coded its output probability of collision to reflect the debris spatial density as integrated over the entire exclusion zone instead of using the approximation.</w:t>
      </w:r>
    </w:p>
    <w:p w14:paraId="4DA3CB00" w14:textId="77777777" w:rsidR="00CC770B" w:rsidRDefault="00CC770B" w:rsidP="00CC770B">
      <w:pPr>
        <w:jc w:val="both"/>
        <w:rPr>
          <w:rFonts w:cs="Arial"/>
          <w:szCs w:val="24"/>
        </w:rPr>
      </w:pPr>
      <w:r>
        <w:rPr>
          <w:rFonts w:cs="Arial"/>
          <w:szCs w:val="24"/>
        </w:rPr>
        <w:t>This will give operators a better measure of the maximum probability of collision and the outputs will be more robust in that they will not give non-</w:t>
      </w:r>
      <w:proofErr w:type="spellStart"/>
      <w:r>
        <w:rPr>
          <w:rFonts w:cs="Arial"/>
          <w:szCs w:val="24"/>
        </w:rPr>
        <w:t>sensical</w:t>
      </w:r>
      <w:proofErr w:type="spellEnd"/>
      <w:r>
        <w:rPr>
          <w:rFonts w:cs="Arial"/>
          <w:szCs w:val="24"/>
        </w:rPr>
        <w:t xml:space="preserve"> results under specific conditions.</w:t>
      </w:r>
    </w:p>
    <w:p w14:paraId="1FAFA9B3" w14:textId="77777777" w:rsidR="00CC770B" w:rsidRDefault="00CC770B" w:rsidP="00CC770B">
      <w:pPr>
        <w:keepNext/>
        <w:jc w:val="center"/>
      </w:pPr>
      <w:r>
        <w:rPr>
          <w:rFonts w:cs="Arial"/>
          <w:noProof/>
          <w:szCs w:val="24"/>
        </w:rPr>
        <w:drawing>
          <wp:inline distT="0" distB="0" distL="0" distR="0" wp14:anchorId="71F45E24" wp14:editId="46CC8057">
            <wp:extent cx="4572000" cy="5767251"/>
            <wp:effectExtent l="0" t="0" r="0" b="5080"/>
            <wp:docPr id="7" name="Picture 7" descr="E:\SDK\NonDistributionCode\SingleCovarianceComparisonFigures\WorstCas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WorstCas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310E04AE" w14:textId="01B1C3D0" w:rsidR="00CC770B" w:rsidRDefault="00CC770B" w:rsidP="00CC770B">
      <w:pPr>
        <w:pStyle w:val="Caption"/>
      </w:pPr>
      <w:bookmarkStart w:id="30" w:name="_Ref510184080"/>
      <w:bookmarkStart w:id="31" w:name="_Toc26336548"/>
      <w:bookmarkStart w:id="32" w:name="_Toc26338289"/>
      <w:r>
        <w:t xml:space="preserve">Figure </w:t>
      </w:r>
      <w:r>
        <w:rPr>
          <w:noProof/>
        </w:rPr>
        <w:fldChar w:fldCharType="begin"/>
      </w:r>
      <w:r>
        <w:rPr>
          <w:noProof/>
        </w:rPr>
        <w:instrText xml:space="preserve"> SEQ Figure \* ARABIC </w:instrText>
      </w:r>
      <w:r>
        <w:rPr>
          <w:noProof/>
        </w:rPr>
        <w:fldChar w:fldCharType="separate"/>
      </w:r>
      <w:r w:rsidR="00565F8B">
        <w:rPr>
          <w:noProof/>
        </w:rPr>
        <w:t>5</w:t>
      </w:r>
      <w:r>
        <w:rPr>
          <w:noProof/>
        </w:rPr>
        <w:fldChar w:fldCharType="end"/>
      </w:r>
      <w:bookmarkEnd w:id="30"/>
      <w:r>
        <w:t xml:space="preserve">: </w:t>
      </w:r>
      <w:r w:rsidRPr="00507659">
        <w:t xml:space="preserve">Comparison of Frisbee’s Approximation to the Integrated Maximum Probability of Collision for </w:t>
      </w:r>
      <w:r>
        <w:t>Collision with a Pc = 4.20E-01</w:t>
      </w:r>
      <w:r w:rsidRPr="00507659">
        <w:t>.</w:t>
      </w:r>
      <w:bookmarkEnd w:id="31"/>
      <w:bookmarkEnd w:id="32"/>
    </w:p>
    <w:p w14:paraId="01D65A16" w14:textId="77777777" w:rsidR="00CC770B" w:rsidRDefault="00CC770B" w:rsidP="00CC770B">
      <w:pPr>
        <w:jc w:val="center"/>
        <w:rPr>
          <w:rFonts w:cs="Arial"/>
          <w:szCs w:val="24"/>
        </w:rPr>
      </w:pPr>
    </w:p>
    <w:p w14:paraId="174AAD6D" w14:textId="77777777" w:rsidR="00CC770B" w:rsidRPr="00563198" w:rsidRDefault="00CC770B" w:rsidP="00CC770B">
      <w:pPr>
        <w:jc w:val="both"/>
        <w:rPr>
          <w:rFonts w:cs="Arial"/>
          <w:szCs w:val="24"/>
        </w:rPr>
      </w:pPr>
    </w:p>
    <w:p w14:paraId="26EBE141" w14:textId="77777777" w:rsidR="00CC770B" w:rsidRDefault="00CC770B" w:rsidP="00470478">
      <w:pPr>
        <w:pStyle w:val="Heading2"/>
      </w:pPr>
      <w:bookmarkStart w:id="33" w:name="_Toc26338282"/>
      <w:r>
        <w:lastRenderedPageBreak/>
        <w:t>Frisbee’s Method of Determining Maximum 2D Probability of Collision – Source Code Description</w:t>
      </w:r>
      <w:bookmarkEnd w:id="33"/>
    </w:p>
    <w:p w14:paraId="422D3D00" w14:textId="77777777" w:rsidR="00CC770B" w:rsidRDefault="00CC770B" w:rsidP="00CC770B">
      <w:pPr>
        <w:pStyle w:val="BodyText"/>
      </w:pPr>
      <w:r>
        <w:t>The primary function contained within the SDK used for estimating the maximum 2D Probability of Collision of a close approach event is the:</w:t>
      </w:r>
    </w:p>
    <w:p w14:paraId="5C8A004A" w14:textId="77777777" w:rsidR="00CC770B" w:rsidRDefault="00CC770B" w:rsidP="00CC770B">
      <w:pPr>
        <w:pStyle w:val="BodyText"/>
      </w:pPr>
      <w:r>
        <w:tab/>
      </w:r>
      <w:proofErr w:type="spellStart"/>
      <w:r>
        <w:t>FrisbeeMaxPc.m</w:t>
      </w:r>
      <w:proofErr w:type="spellEnd"/>
    </w:p>
    <w:p w14:paraId="353A082D" w14:textId="77777777" w:rsidR="00CC770B" w:rsidRDefault="00CC770B" w:rsidP="00CC770B">
      <w:pPr>
        <w:pStyle w:val="BodyText"/>
      </w:pPr>
      <w:proofErr w:type="gramStart"/>
      <w:r>
        <w:t>routine</w:t>
      </w:r>
      <w:proofErr w:type="gramEnd"/>
      <w:r>
        <w:t>, which estimates the probability of collision using the formula above.</w:t>
      </w:r>
    </w:p>
    <w:p w14:paraId="0E587267" w14:textId="77777777" w:rsidR="00CC770B" w:rsidRPr="002948FF" w:rsidRDefault="00CC770B" w:rsidP="00CC770B"/>
    <w:p w14:paraId="72299AE7" w14:textId="77777777" w:rsidR="00CC770B" w:rsidRDefault="00CC770B" w:rsidP="00CC770B">
      <w:pPr>
        <w:pStyle w:val="BodyText"/>
      </w:pPr>
      <w:r>
        <w:t>As inputs, the routine accepts the following:</w:t>
      </w:r>
    </w:p>
    <w:p w14:paraId="412886AE" w14:textId="7356AF7C" w:rsidR="00CC770B" w:rsidRPr="008203BF" w:rsidRDefault="00CC770B" w:rsidP="00CC770B">
      <w:pPr>
        <w:pStyle w:val="Caption"/>
      </w:pPr>
      <w:bookmarkStart w:id="34" w:name="_Toc26336584"/>
      <w:bookmarkStart w:id="35" w:name="_Toc26338293"/>
      <w:r w:rsidRPr="008203BF">
        <w:t xml:space="preserve">Table </w:t>
      </w:r>
      <w:r>
        <w:rPr>
          <w:noProof/>
        </w:rPr>
        <w:fldChar w:fldCharType="begin"/>
      </w:r>
      <w:r>
        <w:rPr>
          <w:noProof/>
        </w:rPr>
        <w:instrText xml:space="preserve"> SEQ Table \* ARABIC </w:instrText>
      </w:r>
      <w:r>
        <w:rPr>
          <w:noProof/>
        </w:rPr>
        <w:fldChar w:fldCharType="separate"/>
      </w:r>
      <w:r w:rsidR="00565F8B">
        <w:rPr>
          <w:noProof/>
        </w:rPr>
        <w:t>4</w:t>
      </w:r>
      <w:r>
        <w:rPr>
          <w:noProof/>
        </w:rPr>
        <w:fldChar w:fldCharType="end"/>
      </w:r>
      <w:r w:rsidRPr="008203BF">
        <w:t xml:space="preserve">: </w:t>
      </w:r>
      <w:r>
        <w:t>Maximum 2D Probability of Collision</w:t>
      </w:r>
      <w:r w:rsidRPr="008203BF">
        <w:t xml:space="preserve"> Routine Input Parameters</w:t>
      </w:r>
      <w:bookmarkEnd w:id="34"/>
      <w:bookmarkEnd w:id="35"/>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14:paraId="58D4348C" w14:textId="77777777" w:rsidTr="00BC109E">
        <w:trPr>
          <w:jc w:val="center"/>
        </w:trPr>
        <w:tc>
          <w:tcPr>
            <w:tcW w:w="2335" w:type="dxa"/>
            <w:shd w:val="clear" w:color="auto" w:fill="D9D9D9" w:themeFill="background1" w:themeFillShade="D9"/>
          </w:tcPr>
          <w:p w14:paraId="4AC3974E" w14:textId="77777777" w:rsidR="00CC770B" w:rsidRDefault="00CC770B" w:rsidP="00BC109E">
            <w:pPr>
              <w:pStyle w:val="BodyText"/>
            </w:pPr>
            <w:r>
              <w:t>Input Variable</w:t>
            </w:r>
          </w:p>
        </w:tc>
        <w:tc>
          <w:tcPr>
            <w:tcW w:w="7015" w:type="dxa"/>
            <w:shd w:val="clear" w:color="auto" w:fill="D9D9D9" w:themeFill="background1" w:themeFillShade="D9"/>
          </w:tcPr>
          <w:p w14:paraId="4C9059DC" w14:textId="77777777" w:rsidR="00CC770B" w:rsidRDefault="00CC770B" w:rsidP="00BC109E">
            <w:pPr>
              <w:pStyle w:val="BodyText"/>
            </w:pPr>
            <w:r>
              <w:t>Definition</w:t>
            </w:r>
          </w:p>
        </w:tc>
      </w:tr>
      <w:tr w:rsidR="00CC770B" w14:paraId="462CFAB8" w14:textId="77777777" w:rsidTr="00BC109E">
        <w:trPr>
          <w:jc w:val="center"/>
        </w:trPr>
        <w:tc>
          <w:tcPr>
            <w:tcW w:w="2335" w:type="dxa"/>
          </w:tcPr>
          <w:p w14:paraId="5FF0C0B7" w14:textId="77777777" w:rsidR="00CC770B" w:rsidRDefault="00CC770B" w:rsidP="00BC109E">
            <w:pPr>
              <w:pStyle w:val="BodyText"/>
            </w:pPr>
            <w:r>
              <w:t>r1</w:t>
            </w:r>
          </w:p>
        </w:tc>
        <w:tc>
          <w:tcPr>
            <w:tcW w:w="7015" w:type="dxa"/>
          </w:tcPr>
          <w:p w14:paraId="321E0EDD" w14:textId="77777777" w:rsidR="00CC770B" w:rsidRDefault="00CC770B" w:rsidP="00BC109E">
            <w:pPr>
              <w:pStyle w:val="BodyText"/>
            </w:pPr>
            <w:r>
              <w:t>[3X1] ECI Position Vector of the Primary Object (meters)</w:t>
            </w:r>
          </w:p>
        </w:tc>
      </w:tr>
      <w:tr w:rsidR="00CC770B" w14:paraId="36425DB6" w14:textId="77777777" w:rsidTr="00BC109E">
        <w:trPr>
          <w:jc w:val="center"/>
        </w:trPr>
        <w:tc>
          <w:tcPr>
            <w:tcW w:w="2335" w:type="dxa"/>
            <w:tcBorders>
              <w:bottom w:val="single" w:sz="4" w:space="0" w:color="auto"/>
            </w:tcBorders>
          </w:tcPr>
          <w:p w14:paraId="469B34CB" w14:textId="77777777" w:rsidR="00CC770B" w:rsidRDefault="00CC770B" w:rsidP="00BC109E">
            <w:pPr>
              <w:pStyle w:val="BodyText"/>
            </w:pPr>
            <w:r>
              <w:t>v1</w:t>
            </w:r>
          </w:p>
        </w:tc>
        <w:tc>
          <w:tcPr>
            <w:tcW w:w="7015" w:type="dxa"/>
            <w:tcBorders>
              <w:bottom w:val="single" w:sz="4" w:space="0" w:color="auto"/>
            </w:tcBorders>
          </w:tcPr>
          <w:p w14:paraId="4B452251" w14:textId="77777777" w:rsidR="00CC770B" w:rsidRDefault="00CC770B" w:rsidP="00BC109E">
            <w:pPr>
              <w:pStyle w:val="BodyText"/>
            </w:pPr>
            <w:r>
              <w:t>[3X1] ECI Velocity Vector of the Primary Object (meters/second)</w:t>
            </w:r>
          </w:p>
        </w:tc>
      </w:tr>
      <w:tr w:rsidR="00CC770B" w14:paraId="7255015D" w14:textId="77777777" w:rsidTr="00BC109E">
        <w:trPr>
          <w:jc w:val="center"/>
        </w:trPr>
        <w:tc>
          <w:tcPr>
            <w:tcW w:w="2335" w:type="dxa"/>
          </w:tcPr>
          <w:p w14:paraId="2B11D241" w14:textId="77777777" w:rsidR="00CC770B" w:rsidRDefault="00CC770B" w:rsidP="00BC109E">
            <w:pPr>
              <w:pStyle w:val="BodyText"/>
            </w:pPr>
            <w:r>
              <w:t>cov1</w:t>
            </w:r>
          </w:p>
        </w:tc>
        <w:tc>
          <w:tcPr>
            <w:tcW w:w="7015" w:type="dxa"/>
          </w:tcPr>
          <w:p w14:paraId="65BBD7DC" w14:textId="77777777" w:rsidR="00CC770B" w:rsidRDefault="00CC770B" w:rsidP="00BC109E">
            <w:pPr>
              <w:pStyle w:val="BodyText"/>
            </w:pPr>
            <w:r>
              <w:t>[6X6] Primary State covariance matrix corresponding to input primary object reference frame</w:t>
            </w:r>
          </w:p>
        </w:tc>
      </w:tr>
      <w:tr w:rsidR="00CC770B" w14:paraId="3E843B0A" w14:textId="77777777" w:rsidTr="00BC109E">
        <w:trPr>
          <w:jc w:val="center"/>
        </w:trPr>
        <w:tc>
          <w:tcPr>
            <w:tcW w:w="2335" w:type="dxa"/>
            <w:tcBorders>
              <w:bottom w:val="single" w:sz="4" w:space="0" w:color="auto"/>
            </w:tcBorders>
          </w:tcPr>
          <w:p w14:paraId="422242F3" w14:textId="77777777" w:rsidR="00CC770B" w:rsidRDefault="00CC770B" w:rsidP="00BC109E">
            <w:pPr>
              <w:pStyle w:val="BodyText"/>
            </w:pPr>
            <w:r>
              <w:t>r2</w:t>
            </w:r>
          </w:p>
        </w:tc>
        <w:tc>
          <w:tcPr>
            <w:tcW w:w="7015" w:type="dxa"/>
            <w:tcBorders>
              <w:bottom w:val="single" w:sz="4" w:space="0" w:color="auto"/>
            </w:tcBorders>
          </w:tcPr>
          <w:p w14:paraId="376F28FD" w14:textId="77777777" w:rsidR="00CC770B" w:rsidRDefault="00CC770B" w:rsidP="00BC109E">
            <w:pPr>
              <w:pStyle w:val="BodyText"/>
            </w:pPr>
            <w:r>
              <w:t>[3X1] ECI Position Vector of the Secondary Object (meters)</w:t>
            </w:r>
          </w:p>
        </w:tc>
      </w:tr>
      <w:tr w:rsidR="00CC770B" w14:paraId="79B6D948" w14:textId="77777777" w:rsidTr="00BC109E">
        <w:trPr>
          <w:jc w:val="center"/>
        </w:trPr>
        <w:tc>
          <w:tcPr>
            <w:tcW w:w="2335" w:type="dxa"/>
            <w:tcBorders>
              <w:bottom w:val="single" w:sz="4" w:space="0" w:color="auto"/>
            </w:tcBorders>
          </w:tcPr>
          <w:p w14:paraId="71D9D342" w14:textId="77777777" w:rsidR="00CC770B" w:rsidRDefault="00CC770B" w:rsidP="00BC109E">
            <w:pPr>
              <w:pStyle w:val="BodyText"/>
            </w:pPr>
            <w:r>
              <w:t>v2</w:t>
            </w:r>
          </w:p>
        </w:tc>
        <w:tc>
          <w:tcPr>
            <w:tcW w:w="7015" w:type="dxa"/>
            <w:tcBorders>
              <w:bottom w:val="single" w:sz="4" w:space="0" w:color="auto"/>
            </w:tcBorders>
          </w:tcPr>
          <w:p w14:paraId="4C8A8901" w14:textId="77777777" w:rsidR="00CC770B" w:rsidRDefault="00CC770B" w:rsidP="00BC109E">
            <w:pPr>
              <w:pStyle w:val="BodyText"/>
            </w:pPr>
            <w:r>
              <w:t>[3X1] ECI Velocity Vector of the Secondary Object (meters/second)</w:t>
            </w:r>
          </w:p>
        </w:tc>
      </w:tr>
      <w:tr w:rsidR="00CC770B" w14:paraId="6E956BC5" w14:textId="77777777" w:rsidTr="00BC109E">
        <w:trPr>
          <w:jc w:val="center"/>
        </w:trPr>
        <w:tc>
          <w:tcPr>
            <w:tcW w:w="2335" w:type="dxa"/>
          </w:tcPr>
          <w:p w14:paraId="76BA8AE6" w14:textId="77777777" w:rsidR="00CC770B" w:rsidRDefault="00CC770B" w:rsidP="00BC109E">
            <w:pPr>
              <w:pStyle w:val="BodyText"/>
            </w:pPr>
            <w:r>
              <w:t>cov2</w:t>
            </w:r>
          </w:p>
        </w:tc>
        <w:tc>
          <w:tcPr>
            <w:tcW w:w="7015" w:type="dxa"/>
          </w:tcPr>
          <w:p w14:paraId="6D6FA18C" w14:textId="77777777" w:rsidR="00CC770B" w:rsidRDefault="00CC770B" w:rsidP="00BC109E">
            <w:pPr>
              <w:pStyle w:val="BodyText"/>
            </w:pPr>
            <w:r>
              <w:t>[6X6] Secondary State covariance matrix corresponding to input primary object reference frame</w:t>
            </w:r>
          </w:p>
        </w:tc>
      </w:tr>
      <w:tr w:rsidR="00CC770B" w14:paraId="4B7AFC7F" w14:textId="77777777" w:rsidTr="00BC109E">
        <w:trPr>
          <w:jc w:val="center"/>
        </w:trPr>
        <w:tc>
          <w:tcPr>
            <w:tcW w:w="2335" w:type="dxa"/>
          </w:tcPr>
          <w:p w14:paraId="755464C4" w14:textId="77777777" w:rsidR="00CC770B" w:rsidRDefault="00CC770B" w:rsidP="00BC109E">
            <w:pPr>
              <w:pStyle w:val="BodyText"/>
            </w:pPr>
            <w:r>
              <w:t>HBR</w:t>
            </w:r>
          </w:p>
        </w:tc>
        <w:tc>
          <w:tcPr>
            <w:tcW w:w="7015" w:type="dxa"/>
          </w:tcPr>
          <w:p w14:paraId="41AAAB50" w14:textId="77777777" w:rsidR="00CC770B" w:rsidRDefault="00CC770B" w:rsidP="00BC109E">
            <w:pPr>
              <w:pStyle w:val="BodyText"/>
            </w:pPr>
            <w:r>
              <w:t>Combined hard body radius or exclusion zone of the two objects (m)</w:t>
            </w:r>
          </w:p>
        </w:tc>
      </w:tr>
      <w:tr w:rsidR="00CC770B" w14:paraId="035112F6" w14:textId="77777777" w:rsidTr="00BC109E">
        <w:trPr>
          <w:jc w:val="center"/>
        </w:trPr>
        <w:tc>
          <w:tcPr>
            <w:tcW w:w="2335" w:type="dxa"/>
            <w:tcBorders>
              <w:bottom w:val="single" w:sz="4" w:space="0" w:color="auto"/>
            </w:tcBorders>
          </w:tcPr>
          <w:p w14:paraId="48356535" w14:textId="77777777" w:rsidR="00CC770B" w:rsidRDefault="00CC770B" w:rsidP="00BC109E">
            <w:pPr>
              <w:pStyle w:val="BodyText"/>
            </w:pPr>
            <w:proofErr w:type="spellStart"/>
            <w:r>
              <w:t>RelTol</w:t>
            </w:r>
            <w:proofErr w:type="spellEnd"/>
          </w:p>
        </w:tc>
        <w:tc>
          <w:tcPr>
            <w:tcW w:w="7015" w:type="dxa"/>
            <w:tcBorders>
              <w:bottom w:val="single" w:sz="4" w:space="0" w:color="auto"/>
            </w:tcBorders>
          </w:tcPr>
          <w:p w14:paraId="437890A0" w14:textId="77777777" w:rsidR="00CC770B" w:rsidRPr="00E94A26" w:rsidRDefault="00CC770B" w:rsidP="00BC109E">
            <w:pPr>
              <w:pStyle w:val="BodyText"/>
            </w:pPr>
            <w:r>
              <w:t>Relative Tolerance used for double integration convergence (1E-08 is recommended)</w:t>
            </w:r>
          </w:p>
        </w:tc>
      </w:tr>
      <w:tr w:rsidR="00CC770B" w14:paraId="4069068E" w14:textId="77777777" w:rsidTr="00BC109E">
        <w:trPr>
          <w:jc w:val="center"/>
        </w:trPr>
        <w:tc>
          <w:tcPr>
            <w:tcW w:w="2335" w:type="dxa"/>
            <w:tcBorders>
              <w:bottom w:val="single" w:sz="4" w:space="0" w:color="auto"/>
            </w:tcBorders>
          </w:tcPr>
          <w:p w14:paraId="585109C2" w14:textId="77777777" w:rsidR="00CC770B" w:rsidRDefault="00CC770B" w:rsidP="00BC109E">
            <w:pPr>
              <w:pStyle w:val="BodyText"/>
            </w:pPr>
            <w:proofErr w:type="spellStart"/>
            <w:r>
              <w:t>HBRType</w:t>
            </w:r>
            <w:proofErr w:type="spellEnd"/>
          </w:p>
        </w:tc>
        <w:tc>
          <w:tcPr>
            <w:tcW w:w="7015" w:type="dxa"/>
            <w:tcBorders>
              <w:bottom w:val="single" w:sz="4" w:space="0" w:color="auto"/>
            </w:tcBorders>
          </w:tcPr>
          <w:p w14:paraId="37F03FA1" w14:textId="77777777" w:rsidR="00CC770B" w:rsidRDefault="00CC770B" w:rsidP="00BC109E">
            <w:pPr>
              <w:pStyle w:val="BodyText"/>
            </w:pPr>
            <w:r>
              <w:t>Definition of hard body region, typically “circle”.  Allowable inputs:</w:t>
            </w:r>
          </w:p>
          <w:p w14:paraId="16C5E067" w14:textId="77777777" w:rsidR="00CC770B" w:rsidRDefault="00CC770B" w:rsidP="00BC109E">
            <w:pPr>
              <w:pStyle w:val="BodyText"/>
              <w:numPr>
                <w:ilvl w:val="0"/>
                <w:numId w:val="13"/>
              </w:numPr>
              <w:spacing w:after="0"/>
            </w:pPr>
            <w:r>
              <w:t>“circle” – Hard body region defined as a sphere or circle</w:t>
            </w:r>
          </w:p>
          <w:p w14:paraId="403E8BE3" w14:textId="77777777" w:rsidR="00CC770B" w:rsidRDefault="00CC770B" w:rsidP="00BC109E">
            <w:pPr>
              <w:pStyle w:val="BodyText"/>
              <w:numPr>
                <w:ilvl w:val="0"/>
                <w:numId w:val="13"/>
              </w:numPr>
              <w:spacing w:after="0"/>
            </w:pPr>
            <w:r>
              <w:lastRenderedPageBreak/>
              <w:t>“square” – Hard body region defined as a cube or square</w:t>
            </w:r>
          </w:p>
          <w:p w14:paraId="3A894D58" w14:textId="77777777" w:rsidR="00CC770B" w:rsidRDefault="00CC770B" w:rsidP="00BC109E">
            <w:pPr>
              <w:pStyle w:val="BodyText"/>
              <w:numPr>
                <w:ilvl w:val="0"/>
                <w:numId w:val="13"/>
              </w:numPr>
              <w:spacing w:after="0"/>
            </w:pPr>
            <w:r>
              <w:t>“</w:t>
            </w:r>
            <w:proofErr w:type="spellStart"/>
            <w:r>
              <w:t>squareEquArea</w:t>
            </w:r>
            <w:proofErr w:type="spellEnd"/>
            <w:r>
              <w:t>” – Hard body region defined as a square with equivalent area to a circle with radius as defined y HBR</w:t>
            </w:r>
          </w:p>
        </w:tc>
      </w:tr>
    </w:tbl>
    <w:p w14:paraId="182D4A68" w14:textId="77777777" w:rsidR="00CC770B" w:rsidRDefault="00CC770B" w:rsidP="00CC770B">
      <w:pPr>
        <w:pStyle w:val="BodyText"/>
      </w:pPr>
    </w:p>
    <w:p w14:paraId="1C8C42F0" w14:textId="77777777" w:rsidR="00CC770B" w:rsidRDefault="00CC770B" w:rsidP="00CC770B">
      <w:pPr>
        <w:pStyle w:val="BodyText"/>
      </w:pPr>
      <w:r>
        <w:t>The Maximum 2D Probability of Collision routine outputs the following:</w:t>
      </w:r>
    </w:p>
    <w:p w14:paraId="4BF0ABC8" w14:textId="6C1CD7FE" w:rsidR="00CC770B" w:rsidRDefault="00CC770B" w:rsidP="00CC770B">
      <w:pPr>
        <w:pStyle w:val="Caption"/>
      </w:pPr>
      <w:bookmarkStart w:id="36" w:name="_Toc26336585"/>
      <w:bookmarkStart w:id="37" w:name="_Toc26338294"/>
      <w:r>
        <w:t xml:space="preserve">Table </w:t>
      </w:r>
      <w:r>
        <w:rPr>
          <w:noProof/>
        </w:rPr>
        <w:fldChar w:fldCharType="begin"/>
      </w:r>
      <w:r>
        <w:rPr>
          <w:noProof/>
        </w:rPr>
        <w:instrText xml:space="preserve"> SEQ Table \* ARABIC </w:instrText>
      </w:r>
      <w:r>
        <w:rPr>
          <w:noProof/>
        </w:rPr>
        <w:fldChar w:fldCharType="separate"/>
      </w:r>
      <w:r w:rsidR="00565F8B">
        <w:rPr>
          <w:noProof/>
        </w:rPr>
        <w:t>5</w:t>
      </w:r>
      <w:r>
        <w:rPr>
          <w:noProof/>
        </w:rPr>
        <w:fldChar w:fldCharType="end"/>
      </w:r>
      <w:r w:rsidRPr="00AD2FDD">
        <w:rPr>
          <w:noProof/>
        </w:rPr>
        <w:t xml:space="preserve">: </w:t>
      </w:r>
      <w:r>
        <w:rPr>
          <w:noProof/>
        </w:rPr>
        <w:t xml:space="preserve">Maximum </w:t>
      </w:r>
      <w:r w:rsidRPr="00AD2FDD">
        <w:rPr>
          <w:noProof/>
        </w:rPr>
        <w:t xml:space="preserve">2D Probability of Collision Routine </w:t>
      </w:r>
      <w:r>
        <w:rPr>
          <w:noProof/>
        </w:rPr>
        <w:t>Output</w:t>
      </w:r>
      <w:r w:rsidRPr="00AD2FDD">
        <w:rPr>
          <w:noProof/>
        </w:rPr>
        <w:t xml:space="preserve"> Parameters</w:t>
      </w:r>
      <w:bookmarkEnd w:id="36"/>
      <w:bookmarkEnd w:id="37"/>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14:paraId="3BF5062F" w14:textId="77777777" w:rsidTr="00BC109E">
        <w:trPr>
          <w:jc w:val="center"/>
        </w:trPr>
        <w:tc>
          <w:tcPr>
            <w:tcW w:w="2335" w:type="dxa"/>
            <w:shd w:val="clear" w:color="auto" w:fill="D9D9D9" w:themeFill="background1" w:themeFillShade="D9"/>
          </w:tcPr>
          <w:p w14:paraId="6AFAF324" w14:textId="77777777" w:rsidR="00CC770B" w:rsidRDefault="00CC770B" w:rsidP="00BC109E">
            <w:pPr>
              <w:pStyle w:val="BodyText"/>
            </w:pPr>
            <w:r>
              <w:t>Output Variable</w:t>
            </w:r>
          </w:p>
        </w:tc>
        <w:tc>
          <w:tcPr>
            <w:tcW w:w="7015" w:type="dxa"/>
            <w:shd w:val="clear" w:color="auto" w:fill="D9D9D9" w:themeFill="background1" w:themeFillShade="D9"/>
          </w:tcPr>
          <w:p w14:paraId="384EA3F7" w14:textId="77777777" w:rsidR="00CC770B" w:rsidRDefault="00CC770B" w:rsidP="00BC109E">
            <w:pPr>
              <w:pStyle w:val="BodyText"/>
            </w:pPr>
            <w:r>
              <w:t>Definition</w:t>
            </w:r>
          </w:p>
        </w:tc>
      </w:tr>
      <w:tr w:rsidR="00CC770B" w14:paraId="4D228B85" w14:textId="77777777" w:rsidTr="00BC109E">
        <w:trPr>
          <w:jc w:val="center"/>
        </w:trPr>
        <w:tc>
          <w:tcPr>
            <w:tcW w:w="2335" w:type="dxa"/>
            <w:tcBorders>
              <w:bottom w:val="single" w:sz="4" w:space="0" w:color="auto"/>
            </w:tcBorders>
          </w:tcPr>
          <w:p w14:paraId="41FB0F8B" w14:textId="77777777" w:rsidR="00CC770B" w:rsidRDefault="00CC770B" w:rsidP="00BC109E">
            <w:pPr>
              <w:pStyle w:val="BodyText"/>
            </w:pPr>
            <w:r>
              <w:t>Pc</w:t>
            </w:r>
          </w:p>
        </w:tc>
        <w:tc>
          <w:tcPr>
            <w:tcW w:w="7015" w:type="dxa"/>
            <w:tcBorders>
              <w:bottom w:val="single" w:sz="4" w:space="0" w:color="auto"/>
            </w:tcBorders>
          </w:tcPr>
          <w:p w14:paraId="57901280" w14:textId="77777777" w:rsidR="00CC770B" w:rsidRDefault="00CC770B" w:rsidP="00BC109E">
            <w:pPr>
              <w:pStyle w:val="BodyText"/>
            </w:pPr>
            <w:r>
              <w:t>Maximum Probability of Collision calculated using Frisbee’s Method</w:t>
            </w:r>
          </w:p>
        </w:tc>
      </w:tr>
    </w:tbl>
    <w:p w14:paraId="414F510C" w14:textId="77777777" w:rsidR="00CC770B" w:rsidRDefault="00CC770B" w:rsidP="00CC770B">
      <w:pPr>
        <w:pStyle w:val="BodyText"/>
      </w:pPr>
    </w:p>
    <w:p w14:paraId="1AE50A22" w14:textId="77777777" w:rsidR="00CC770B" w:rsidRDefault="00CC770B" w:rsidP="00CC770B">
      <w:pPr>
        <w:pStyle w:val="BodyText"/>
      </w:pPr>
      <w:r>
        <w:t>Validation cases for this algorithm are contained within the unit test suite for the SDK at:</w:t>
      </w:r>
    </w:p>
    <w:p w14:paraId="5FC28CD9" w14:textId="77777777" w:rsidR="00CC770B" w:rsidRDefault="00CC770B" w:rsidP="00CC770B">
      <w:pPr>
        <w:pStyle w:val="BodyText"/>
      </w:pPr>
      <w:r>
        <w:t>..\</w:t>
      </w:r>
      <w:r w:rsidRPr="0077064E">
        <w:t>SDK\UnitTest\</w:t>
      </w:r>
      <w:r>
        <w:t>ProbabilityOfCollisionCode\FrisbeeMaxPc</w:t>
      </w:r>
      <w:r w:rsidRPr="0077064E">
        <w:t>_UnitTest</w:t>
      </w:r>
      <w:r>
        <w:t>.m</w:t>
      </w:r>
    </w:p>
    <w:p w14:paraId="45A23A26" w14:textId="2256D976" w:rsidR="00CC770B" w:rsidRDefault="00CC770B" w:rsidP="00CC770B">
      <w:pPr>
        <w:pStyle w:val="BodyText"/>
      </w:pPr>
      <w:r>
        <w:t xml:space="preserve">These test cases </w:t>
      </w:r>
      <w:proofErr w:type="gramStart"/>
      <w:r>
        <w:t>were developed</w:t>
      </w:r>
      <w:proofErr w:type="gramEnd"/>
      <w:r>
        <w:t xml:space="preserve"> using previously defined stressing cases developed by </w:t>
      </w:r>
      <w:proofErr w:type="spellStart"/>
      <w:r>
        <w:t>Alfano</w:t>
      </w:r>
      <w:proofErr w:type="spellEnd"/>
      <w:r>
        <w:t xml:space="preserve"> 2009</w:t>
      </w:r>
      <w:r w:rsidRPr="00E135D0">
        <w:rPr>
          <w:vertAlign w:val="superscript"/>
        </w:rPr>
        <w:fldChar w:fldCharType="begin"/>
      </w:r>
      <w:r w:rsidRPr="00E135D0">
        <w:rPr>
          <w:vertAlign w:val="superscript"/>
        </w:rPr>
        <w:instrText xml:space="preserve"> NOTEREF _Ref509348204 \h </w:instrText>
      </w:r>
      <w:r>
        <w:rPr>
          <w:vertAlign w:val="superscript"/>
        </w:rPr>
        <w:instrText xml:space="preserve"> \* MERGEFORMAT </w:instrText>
      </w:r>
      <w:r w:rsidRPr="00E135D0">
        <w:rPr>
          <w:vertAlign w:val="superscript"/>
        </w:rPr>
        <w:fldChar w:fldCharType="separate"/>
      </w:r>
      <w:r w:rsidR="00565F8B">
        <w:rPr>
          <w:b/>
          <w:bCs w:val="0"/>
          <w:vertAlign w:val="superscript"/>
        </w:rPr>
        <w:t xml:space="preserve">Error! Bookmark not </w:t>
      </w:r>
      <w:proofErr w:type="gramStart"/>
      <w:r w:rsidR="00565F8B">
        <w:rPr>
          <w:b/>
          <w:bCs w:val="0"/>
          <w:vertAlign w:val="superscript"/>
        </w:rPr>
        <w:t>defined.</w:t>
      </w:r>
      <w:r w:rsidRPr="00E135D0">
        <w:rPr>
          <w:vertAlign w:val="superscript"/>
        </w:rPr>
        <w:fldChar w:fldCharType="end"/>
      </w:r>
      <w:r>
        <w:t>,</w:t>
      </w:r>
      <w:proofErr w:type="gramEnd"/>
      <w:r>
        <w:t xml:space="preserve"> manufactured test cases corresponding to Frisbee’s examples provided within his paper, and previously validated test cases from initial examination of this work.</w:t>
      </w:r>
    </w:p>
    <w:p w14:paraId="7B9D8B0F" w14:textId="42067D0A" w:rsidR="00CC770B" w:rsidRDefault="00CC770B" w:rsidP="00CC770B">
      <w:pPr>
        <w:pStyle w:val="Caption"/>
      </w:pPr>
      <w:bookmarkStart w:id="38" w:name="_Toc26336586"/>
      <w:bookmarkStart w:id="39" w:name="_Toc26338295"/>
      <w:r>
        <w:t xml:space="preserve">Table </w:t>
      </w:r>
      <w:r>
        <w:rPr>
          <w:noProof/>
        </w:rPr>
        <w:fldChar w:fldCharType="begin"/>
      </w:r>
      <w:r>
        <w:rPr>
          <w:noProof/>
        </w:rPr>
        <w:instrText xml:space="preserve"> SEQ Table \* ARABIC </w:instrText>
      </w:r>
      <w:r>
        <w:rPr>
          <w:noProof/>
        </w:rPr>
        <w:fldChar w:fldCharType="separate"/>
      </w:r>
      <w:r w:rsidR="00565F8B">
        <w:rPr>
          <w:noProof/>
        </w:rPr>
        <w:t>6</w:t>
      </w:r>
      <w:r>
        <w:rPr>
          <w:noProof/>
        </w:rPr>
        <w:fldChar w:fldCharType="end"/>
      </w:r>
      <w:r w:rsidRPr="00036BEC">
        <w:rPr>
          <w:noProof/>
        </w:rPr>
        <w:t xml:space="preserve">: </w:t>
      </w:r>
      <w:r>
        <w:rPr>
          <w:noProof/>
        </w:rPr>
        <w:t xml:space="preserve">Maximum </w:t>
      </w:r>
      <w:r w:rsidRPr="00036BEC">
        <w:rPr>
          <w:noProof/>
        </w:rPr>
        <w:t xml:space="preserve">2D Probability of Collision </w:t>
      </w:r>
      <w:r>
        <w:rPr>
          <w:noProof/>
        </w:rPr>
        <w:t>UnIt Test Cases</w:t>
      </w:r>
      <w:bookmarkEnd w:id="38"/>
      <w:bookmarkEnd w:id="39"/>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14:paraId="5C814547" w14:textId="77777777" w:rsidTr="00BC109E">
        <w:trPr>
          <w:jc w:val="center"/>
        </w:trPr>
        <w:tc>
          <w:tcPr>
            <w:tcW w:w="2335" w:type="dxa"/>
            <w:shd w:val="clear" w:color="auto" w:fill="D9D9D9" w:themeFill="background1" w:themeFillShade="D9"/>
          </w:tcPr>
          <w:p w14:paraId="65ECB4AF" w14:textId="77777777" w:rsidR="00CC770B" w:rsidRDefault="00CC770B" w:rsidP="00BC109E">
            <w:pPr>
              <w:pStyle w:val="BodyText"/>
            </w:pPr>
            <w:r>
              <w:t>Test ID</w:t>
            </w:r>
          </w:p>
        </w:tc>
        <w:tc>
          <w:tcPr>
            <w:tcW w:w="7015" w:type="dxa"/>
            <w:shd w:val="clear" w:color="auto" w:fill="D9D9D9" w:themeFill="background1" w:themeFillShade="D9"/>
          </w:tcPr>
          <w:p w14:paraId="44DC8FB1" w14:textId="77777777" w:rsidR="00CC770B" w:rsidRDefault="00CC770B" w:rsidP="00BC109E">
            <w:pPr>
              <w:pStyle w:val="BodyText"/>
            </w:pPr>
            <w:r>
              <w:t>Description</w:t>
            </w:r>
          </w:p>
        </w:tc>
      </w:tr>
      <w:tr w:rsidR="00CC770B" w14:paraId="022E05CC" w14:textId="77777777" w:rsidTr="00BC109E">
        <w:trPr>
          <w:jc w:val="center"/>
        </w:trPr>
        <w:tc>
          <w:tcPr>
            <w:tcW w:w="2335" w:type="dxa"/>
          </w:tcPr>
          <w:p w14:paraId="664B95AC" w14:textId="77777777" w:rsidR="00CC770B" w:rsidRDefault="00CC770B" w:rsidP="00BC109E">
            <w:pPr>
              <w:pStyle w:val="BodyText"/>
            </w:pPr>
            <w:r>
              <w:t>test01</w:t>
            </w:r>
          </w:p>
        </w:tc>
        <w:tc>
          <w:tcPr>
            <w:tcW w:w="7015" w:type="dxa"/>
          </w:tcPr>
          <w:p w14:paraId="7CB9E25D" w14:textId="77777777" w:rsidR="00CC770B" w:rsidRDefault="00CC770B" w:rsidP="00BC109E">
            <w:pPr>
              <w:pStyle w:val="BodyText"/>
            </w:pPr>
            <w:proofErr w:type="spellStart"/>
            <w:r>
              <w:t>Alfano</w:t>
            </w:r>
            <w:proofErr w:type="spellEnd"/>
            <w:r>
              <w:t xml:space="preserve"> test case 1</w:t>
            </w:r>
          </w:p>
        </w:tc>
      </w:tr>
      <w:tr w:rsidR="00CC770B" w14:paraId="25FD0B15" w14:textId="77777777" w:rsidTr="00BC109E">
        <w:trPr>
          <w:jc w:val="center"/>
        </w:trPr>
        <w:tc>
          <w:tcPr>
            <w:tcW w:w="2335" w:type="dxa"/>
            <w:tcBorders>
              <w:bottom w:val="single" w:sz="4" w:space="0" w:color="auto"/>
            </w:tcBorders>
          </w:tcPr>
          <w:p w14:paraId="3AA107E6" w14:textId="77777777" w:rsidR="00CC770B" w:rsidRDefault="00CC770B" w:rsidP="00BC109E">
            <w:pPr>
              <w:pStyle w:val="BodyText"/>
            </w:pPr>
            <w:r>
              <w:t>test02</w:t>
            </w:r>
          </w:p>
        </w:tc>
        <w:tc>
          <w:tcPr>
            <w:tcW w:w="7015" w:type="dxa"/>
            <w:tcBorders>
              <w:bottom w:val="single" w:sz="4" w:space="0" w:color="auto"/>
            </w:tcBorders>
          </w:tcPr>
          <w:p w14:paraId="4EB8E383" w14:textId="77777777" w:rsidR="00CC770B" w:rsidRDefault="00CC770B" w:rsidP="00BC109E">
            <w:pPr>
              <w:pStyle w:val="BodyText"/>
            </w:pPr>
            <w:proofErr w:type="spellStart"/>
            <w:r>
              <w:t>Alfano</w:t>
            </w:r>
            <w:proofErr w:type="spellEnd"/>
            <w:r>
              <w:t xml:space="preserve"> test case 2</w:t>
            </w:r>
          </w:p>
        </w:tc>
      </w:tr>
      <w:tr w:rsidR="00CC770B" w14:paraId="6740FA9B" w14:textId="77777777" w:rsidTr="00BC109E">
        <w:trPr>
          <w:jc w:val="center"/>
        </w:trPr>
        <w:tc>
          <w:tcPr>
            <w:tcW w:w="2335" w:type="dxa"/>
            <w:tcBorders>
              <w:bottom w:val="single" w:sz="4" w:space="0" w:color="auto"/>
            </w:tcBorders>
          </w:tcPr>
          <w:p w14:paraId="779EED15" w14:textId="77777777" w:rsidR="00CC770B" w:rsidRDefault="00CC770B" w:rsidP="00BC109E">
            <w:pPr>
              <w:pStyle w:val="BodyText"/>
            </w:pPr>
            <w:r>
              <w:t>test03</w:t>
            </w:r>
          </w:p>
        </w:tc>
        <w:tc>
          <w:tcPr>
            <w:tcW w:w="7015" w:type="dxa"/>
            <w:tcBorders>
              <w:bottom w:val="single" w:sz="4" w:space="0" w:color="auto"/>
            </w:tcBorders>
          </w:tcPr>
          <w:p w14:paraId="26FA3145" w14:textId="77777777" w:rsidR="00CC770B" w:rsidRDefault="00CC770B" w:rsidP="00BC109E">
            <w:pPr>
              <w:pStyle w:val="BodyText"/>
            </w:pPr>
            <w:proofErr w:type="spellStart"/>
            <w:r>
              <w:t>Alfano</w:t>
            </w:r>
            <w:proofErr w:type="spellEnd"/>
            <w:r>
              <w:t xml:space="preserve"> test case 3</w:t>
            </w:r>
          </w:p>
        </w:tc>
      </w:tr>
      <w:tr w:rsidR="00CC770B" w14:paraId="35E9A836" w14:textId="77777777" w:rsidTr="00BC109E">
        <w:trPr>
          <w:jc w:val="center"/>
        </w:trPr>
        <w:tc>
          <w:tcPr>
            <w:tcW w:w="2335" w:type="dxa"/>
            <w:tcBorders>
              <w:bottom w:val="single" w:sz="4" w:space="0" w:color="auto"/>
            </w:tcBorders>
          </w:tcPr>
          <w:p w14:paraId="42DB04A5" w14:textId="77777777" w:rsidR="00CC770B" w:rsidRDefault="00CC770B" w:rsidP="00BC109E">
            <w:pPr>
              <w:pStyle w:val="BodyText"/>
            </w:pPr>
            <w:r>
              <w:t>test04</w:t>
            </w:r>
          </w:p>
        </w:tc>
        <w:tc>
          <w:tcPr>
            <w:tcW w:w="7015" w:type="dxa"/>
            <w:tcBorders>
              <w:bottom w:val="single" w:sz="4" w:space="0" w:color="auto"/>
            </w:tcBorders>
          </w:tcPr>
          <w:p w14:paraId="674DFCD7" w14:textId="77777777" w:rsidR="00CC770B" w:rsidRDefault="00CC770B" w:rsidP="00BC109E">
            <w:pPr>
              <w:pStyle w:val="BodyText"/>
            </w:pPr>
            <w:proofErr w:type="spellStart"/>
            <w:r>
              <w:t>Alfano</w:t>
            </w:r>
            <w:proofErr w:type="spellEnd"/>
            <w:r>
              <w:t xml:space="preserve"> test case 4</w:t>
            </w:r>
          </w:p>
        </w:tc>
      </w:tr>
      <w:tr w:rsidR="00CC770B" w14:paraId="316F4D1B" w14:textId="77777777" w:rsidTr="00BC109E">
        <w:trPr>
          <w:jc w:val="center"/>
        </w:trPr>
        <w:tc>
          <w:tcPr>
            <w:tcW w:w="2335" w:type="dxa"/>
            <w:tcBorders>
              <w:bottom w:val="single" w:sz="4" w:space="0" w:color="auto"/>
            </w:tcBorders>
          </w:tcPr>
          <w:p w14:paraId="5FE6ECDE" w14:textId="77777777" w:rsidR="00CC770B" w:rsidRDefault="00CC770B" w:rsidP="00BC109E">
            <w:pPr>
              <w:pStyle w:val="BodyText"/>
            </w:pPr>
            <w:r>
              <w:t>test05</w:t>
            </w:r>
          </w:p>
        </w:tc>
        <w:tc>
          <w:tcPr>
            <w:tcW w:w="7015" w:type="dxa"/>
            <w:tcBorders>
              <w:bottom w:val="single" w:sz="4" w:space="0" w:color="auto"/>
            </w:tcBorders>
          </w:tcPr>
          <w:p w14:paraId="3919E4E7" w14:textId="77777777" w:rsidR="00CC770B" w:rsidRDefault="00CC770B" w:rsidP="00BC109E">
            <w:pPr>
              <w:pStyle w:val="BodyText"/>
            </w:pPr>
            <w:proofErr w:type="spellStart"/>
            <w:r>
              <w:t>Alfano</w:t>
            </w:r>
            <w:proofErr w:type="spellEnd"/>
            <w:r>
              <w:t xml:space="preserve"> test case 5</w:t>
            </w:r>
          </w:p>
        </w:tc>
      </w:tr>
      <w:tr w:rsidR="00CC770B" w14:paraId="04CCEA0B" w14:textId="77777777" w:rsidTr="00BC109E">
        <w:trPr>
          <w:jc w:val="center"/>
        </w:trPr>
        <w:tc>
          <w:tcPr>
            <w:tcW w:w="2335" w:type="dxa"/>
            <w:tcBorders>
              <w:bottom w:val="single" w:sz="4" w:space="0" w:color="auto"/>
            </w:tcBorders>
          </w:tcPr>
          <w:p w14:paraId="15EDE0D3" w14:textId="77777777" w:rsidR="00CC770B" w:rsidRDefault="00CC770B" w:rsidP="00BC109E">
            <w:pPr>
              <w:pStyle w:val="BodyText"/>
            </w:pPr>
            <w:r>
              <w:t>test06</w:t>
            </w:r>
          </w:p>
        </w:tc>
        <w:tc>
          <w:tcPr>
            <w:tcW w:w="7015" w:type="dxa"/>
            <w:tcBorders>
              <w:bottom w:val="single" w:sz="4" w:space="0" w:color="auto"/>
            </w:tcBorders>
          </w:tcPr>
          <w:p w14:paraId="61D6B439" w14:textId="77777777" w:rsidR="00CC770B" w:rsidRDefault="00CC770B" w:rsidP="00BC109E">
            <w:pPr>
              <w:pStyle w:val="BodyText"/>
            </w:pPr>
            <w:proofErr w:type="spellStart"/>
            <w:r>
              <w:t>Alfano</w:t>
            </w:r>
            <w:proofErr w:type="spellEnd"/>
            <w:r>
              <w:t xml:space="preserve"> test case 6</w:t>
            </w:r>
          </w:p>
        </w:tc>
      </w:tr>
      <w:tr w:rsidR="00CC770B" w14:paraId="087E90FA" w14:textId="77777777" w:rsidTr="00BC109E">
        <w:trPr>
          <w:jc w:val="center"/>
        </w:trPr>
        <w:tc>
          <w:tcPr>
            <w:tcW w:w="2335" w:type="dxa"/>
            <w:tcBorders>
              <w:bottom w:val="single" w:sz="4" w:space="0" w:color="auto"/>
            </w:tcBorders>
          </w:tcPr>
          <w:p w14:paraId="443B5AB9" w14:textId="77777777" w:rsidR="00CC770B" w:rsidRDefault="00CC770B" w:rsidP="00BC109E">
            <w:pPr>
              <w:pStyle w:val="BodyText"/>
            </w:pPr>
            <w:r>
              <w:t>test07</w:t>
            </w:r>
          </w:p>
        </w:tc>
        <w:tc>
          <w:tcPr>
            <w:tcW w:w="7015" w:type="dxa"/>
            <w:tcBorders>
              <w:bottom w:val="single" w:sz="4" w:space="0" w:color="auto"/>
            </w:tcBorders>
          </w:tcPr>
          <w:p w14:paraId="341443EC" w14:textId="77777777" w:rsidR="00CC770B" w:rsidRDefault="00CC770B" w:rsidP="00BC109E">
            <w:pPr>
              <w:pStyle w:val="BodyText"/>
            </w:pPr>
            <w:proofErr w:type="spellStart"/>
            <w:r>
              <w:t>Alfano</w:t>
            </w:r>
            <w:proofErr w:type="spellEnd"/>
            <w:r>
              <w:t xml:space="preserve"> test case 7</w:t>
            </w:r>
          </w:p>
        </w:tc>
      </w:tr>
      <w:tr w:rsidR="00CC770B" w14:paraId="30BBE309" w14:textId="77777777" w:rsidTr="00BC109E">
        <w:trPr>
          <w:jc w:val="center"/>
        </w:trPr>
        <w:tc>
          <w:tcPr>
            <w:tcW w:w="2335" w:type="dxa"/>
            <w:tcBorders>
              <w:bottom w:val="single" w:sz="4" w:space="0" w:color="auto"/>
            </w:tcBorders>
          </w:tcPr>
          <w:p w14:paraId="7A8C6AEF" w14:textId="77777777" w:rsidR="00CC770B" w:rsidRDefault="00CC770B" w:rsidP="00BC109E">
            <w:pPr>
              <w:pStyle w:val="BodyText"/>
            </w:pPr>
            <w:r>
              <w:lastRenderedPageBreak/>
              <w:t>test08</w:t>
            </w:r>
          </w:p>
        </w:tc>
        <w:tc>
          <w:tcPr>
            <w:tcW w:w="7015" w:type="dxa"/>
            <w:tcBorders>
              <w:bottom w:val="single" w:sz="4" w:space="0" w:color="auto"/>
            </w:tcBorders>
          </w:tcPr>
          <w:p w14:paraId="77EF41CA" w14:textId="77777777" w:rsidR="00CC770B" w:rsidRDefault="00CC770B" w:rsidP="00BC109E">
            <w:pPr>
              <w:pStyle w:val="BodyText"/>
            </w:pPr>
            <w:proofErr w:type="spellStart"/>
            <w:r>
              <w:t>Alfano</w:t>
            </w:r>
            <w:proofErr w:type="spellEnd"/>
            <w:r>
              <w:t xml:space="preserve"> test case 8</w:t>
            </w:r>
          </w:p>
        </w:tc>
      </w:tr>
      <w:tr w:rsidR="00CC770B" w14:paraId="5E9023A3" w14:textId="77777777" w:rsidTr="00BC109E">
        <w:trPr>
          <w:jc w:val="center"/>
        </w:trPr>
        <w:tc>
          <w:tcPr>
            <w:tcW w:w="2335" w:type="dxa"/>
            <w:tcBorders>
              <w:bottom w:val="single" w:sz="4" w:space="0" w:color="auto"/>
            </w:tcBorders>
          </w:tcPr>
          <w:p w14:paraId="3301A577" w14:textId="77777777" w:rsidR="00CC770B" w:rsidRDefault="00CC770B" w:rsidP="00BC109E">
            <w:pPr>
              <w:pStyle w:val="BodyText"/>
            </w:pPr>
            <w:r>
              <w:t>test09</w:t>
            </w:r>
          </w:p>
        </w:tc>
        <w:tc>
          <w:tcPr>
            <w:tcW w:w="7015" w:type="dxa"/>
            <w:tcBorders>
              <w:bottom w:val="single" w:sz="4" w:space="0" w:color="auto"/>
            </w:tcBorders>
          </w:tcPr>
          <w:p w14:paraId="61358DDC" w14:textId="77777777" w:rsidR="00CC770B" w:rsidRDefault="00CC770B" w:rsidP="00BC109E">
            <w:pPr>
              <w:pStyle w:val="BodyText"/>
            </w:pPr>
            <w:proofErr w:type="spellStart"/>
            <w:r>
              <w:t>Alfano</w:t>
            </w:r>
            <w:proofErr w:type="spellEnd"/>
            <w:r>
              <w:t xml:space="preserve"> test case 9</w:t>
            </w:r>
          </w:p>
        </w:tc>
      </w:tr>
      <w:tr w:rsidR="00CC770B" w14:paraId="0116CCBB" w14:textId="77777777" w:rsidTr="00BC109E">
        <w:trPr>
          <w:jc w:val="center"/>
        </w:trPr>
        <w:tc>
          <w:tcPr>
            <w:tcW w:w="2335" w:type="dxa"/>
            <w:tcBorders>
              <w:bottom w:val="single" w:sz="4" w:space="0" w:color="auto"/>
            </w:tcBorders>
          </w:tcPr>
          <w:p w14:paraId="5AB40193" w14:textId="77777777" w:rsidR="00CC770B" w:rsidRDefault="00CC770B" w:rsidP="00BC109E">
            <w:pPr>
              <w:pStyle w:val="BodyText"/>
            </w:pPr>
            <w:r>
              <w:t>test10</w:t>
            </w:r>
          </w:p>
        </w:tc>
        <w:tc>
          <w:tcPr>
            <w:tcW w:w="7015" w:type="dxa"/>
            <w:tcBorders>
              <w:bottom w:val="single" w:sz="4" w:space="0" w:color="auto"/>
            </w:tcBorders>
          </w:tcPr>
          <w:p w14:paraId="46AD4AAE" w14:textId="77777777" w:rsidR="00CC770B" w:rsidRDefault="00CC770B" w:rsidP="00BC109E">
            <w:pPr>
              <w:pStyle w:val="BodyText"/>
            </w:pPr>
            <w:proofErr w:type="spellStart"/>
            <w:r>
              <w:t>Alfano</w:t>
            </w:r>
            <w:proofErr w:type="spellEnd"/>
            <w:r>
              <w:t xml:space="preserve"> test case 10</w:t>
            </w:r>
          </w:p>
        </w:tc>
      </w:tr>
      <w:tr w:rsidR="00CC770B" w14:paraId="0ADAC409" w14:textId="77777777" w:rsidTr="00BC109E">
        <w:trPr>
          <w:jc w:val="center"/>
        </w:trPr>
        <w:tc>
          <w:tcPr>
            <w:tcW w:w="2335" w:type="dxa"/>
          </w:tcPr>
          <w:p w14:paraId="62B8DB67" w14:textId="77777777" w:rsidR="00CC770B" w:rsidRDefault="00CC770B" w:rsidP="00BC109E">
            <w:pPr>
              <w:pStyle w:val="BodyText"/>
            </w:pPr>
            <w:r>
              <w:t>test11</w:t>
            </w:r>
          </w:p>
        </w:tc>
        <w:tc>
          <w:tcPr>
            <w:tcW w:w="7015" w:type="dxa"/>
          </w:tcPr>
          <w:p w14:paraId="68C5E478" w14:textId="77777777" w:rsidR="00CC770B" w:rsidRDefault="00CC770B" w:rsidP="00BC109E">
            <w:pPr>
              <w:pStyle w:val="BodyText"/>
            </w:pPr>
            <w:proofErr w:type="spellStart"/>
            <w:r>
              <w:t>Alfano</w:t>
            </w:r>
            <w:proofErr w:type="spellEnd"/>
            <w:r>
              <w:t xml:space="preserve"> test case 11</w:t>
            </w:r>
          </w:p>
        </w:tc>
      </w:tr>
      <w:tr w:rsidR="00CC770B" w14:paraId="4E217AC0" w14:textId="77777777" w:rsidTr="00BC109E">
        <w:trPr>
          <w:jc w:val="center"/>
        </w:trPr>
        <w:tc>
          <w:tcPr>
            <w:tcW w:w="2335" w:type="dxa"/>
            <w:tcBorders>
              <w:bottom w:val="single" w:sz="4" w:space="0" w:color="auto"/>
            </w:tcBorders>
          </w:tcPr>
          <w:p w14:paraId="059F4B17" w14:textId="77777777" w:rsidR="00CC770B" w:rsidRDefault="00CC770B" w:rsidP="00BC109E">
            <w:pPr>
              <w:pStyle w:val="BodyText"/>
            </w:pPr>
            <w:r>
              <w:t>test12</w:t>
            </w:r>
          </w:p>
        </w:tc>
        <w:tc>
          <w:tcPr>
            <w:tcW w:w="7015" w:type="dxa"/>
            <w:tcBorders>
              <w:bottom w:val="single" w:sz="4" w:space="0" w:color="auto"/>
            </w:tcBorders>
            <w:shd w:val="clear" w:color="auto" w:fill="auto"/>
          </w:tcPr>
          <w:p w14:paraId="4B105F36" w14:textId="77777777" w:rsidR="00CC770B" w:rsidRPr="002948FF" w:rsidRDefault="00CC770B" w:rsidP="00BC109E">
            <w:pPr>
              <w:pStyle w:val="BodyText"/>
              <w:rPr>
                <w:highlight w:val="yellow"/>
              </w:rPr>
            </w:pPr>
            <w:r w:rsidRPr="0002151B">
              <w:t>Manufactured Test Case Corresponding To Frisbee's Example (HBR=5)</w:t>
            </w:r>
          </w:p>
        </w:tc>
      </w:tr>
      <w:tr w:rsidR="00CC770B" w14:paraId="0D493AFF" w14:textId="77777777" w:rsidTr="00BC109E">
        <w:trPr>
          <w:jc w:val="center"/>
        </w:trPr>
        <w:tc>
          <w:tcPr>
            <w:tcW w:w="2335" w:type="dxa"/>
          </w:tcPr>
          <w:p w14:paraId="756EF34F" w14:textId="77777777" w:rsidR="00CC770B" w:rsidRDefault="00CC770B" w:rsidP="00BC109E">
            <w:pPr>
              <w:pStyle w:val="BodyText"/>
            </w:pPr>
            <w:r>
              <w:t>test13</w:t>
            </w:r>
          </w:p>
        </w:tc>
        <w:tc>
          <w:tcPr>
            <w:tcW w:w="7015" w:type="dxa"/>
            <w:shd w:val="clear" w:color="auto" w:fill="auto"/>
          </w:tcPr>
          <w:p w14:paraId="3C791C8E" w14:textId="77777777" w:rsidR="00CC770B" w:rsidRPr="002948FF" w:rsidRDefault="00CC770B" w:rsidP="00BC109E">
            <w:pPr>
              <w:pStyle w:val="BodyText"/>
              <w:rPr>
                <w:highlight w:val="yellow"/>
              </w:rPr>
            </w:pPr>
            <w:r w:rsidRPr="0002151B">
              <w:t>Manufactured Test Case Corresponding To Frisbee's Example (HBR=10)</w:t>
            </w:r>
          </w:p>
        </w:tc>
      </w:tr>
      <w:tr w:rsidR="00CC770B" w14:paraId="1E9AD4DA" w14:textId="77777777" w:rsidTr="00BC109E">
        <w:trPr>
          <w:jc w:val="center"/>
        </w:trPr>
        <w:tc>
          <w:tcPr>
            <w:tcW w:w="2335" w:type="dxa"/>
          </w:tcPr>
          <w:p w14:paraId="4D690015" w14:textId="77777777" w:rsidR="00CC770B" w:rsidRDefault="00CC770B" w:rsidP="00BC109E">
            <w:pPr>
              <w:pStyle w:val="BodyText"/>
            </w:pPr>
            <w:r>
              <w:t>test14</w:t>
            </w:r>
          </w:p>
        </w:tc>
        <w:tc>
          <w:tcPr>
            <w:tcW w:w="7015" w:type="dxa"/>
            <w:shd w:val="clear" w:color="auto" w:fill="auto"/>
          </w:tcPr>
          <w:p w14:paraId="50350F5A" w14:textId="77777777" w:rsidR="00CC770B" w:rsidRPr="0002151B" w:rsidRDefault="00CC770B" w:rsidP="00BC109E">
            <w:pPr>
              <w:pStyle w:val="BodyText"/>
            </w:pPr>
            <w:r>
              <w:t xml:space="preserve">Validation Test Case 1-1 from original development (FDSS-II-28-XXXX Single </w:t>
            </w:r>
            <w:proofErr w:type="spellStart"/>
            <w:r>
              <w:t>Cov</w:t>
            </w:r>
            <w:proofErr w:type="spellEnd"/>
            <w:r>
              <w:t xml:space="preserve"> Maximum Pc Validation) validated against independent code base of Joseph Frisbee</w:t>
            </w:r>
          </w:p>
        </w:tc>
      </w:tr>
      <w:tr w:rsidR="00CC770B" w14:paraId="569481E5" w14:textId="77777777" w:rsidTr="00BC109E">
        <w:trPr>
          <w:jc w:val="center"/>
        </w:trPr>
        <w:tc>
          <w:tcPr>
            <w:tcW w:w="2335" w:type="dxa"/>
          </w:tcPr>
          <w:p w14:paraId="34E46AEA" w14:textId="77777777" w:rsidR="00CC770B" w:rsidRDefault="00CC770B" w:rsidP="00BC109E">
            <w:pPr>
              <w:pStyle w:val="BodyText"/>
            </w:pPr>
            <w:r>
              <w:t>test15</w:t>
            </w:r>
          </w:p>
        </w:tc>
        <w:tc>
          <w:tcPr>
            <w:tcW w:w="7015" w:type="dxa"/>
            <w:shd w:val="clear" w:color="auto" w:fill="auto"/>
          </w:tcPr>
          <w:p w14:paraId="39E663EE" w14:textId="77777777" w:rsidR="00CC770B" w:rsidRDefault="00CC770B" w:rsidP="00BC109E">
            <w:pPr>
              <w:pStyle w:val="BodyText"/>
            </w:pPr>
            <w:r>
              <w:t xml:space="preserve">Validation Test Case 1-3 from original development (FDSS-II-28-XXXX Single </w:t>
            </w:r>
            <w:proofErr w:type="spellStart"/>
            <w:r>
              <w:t>Cov</w:t>
            </w:r>
            <w:proofErr w:type="spellEnd"/>
            <w:r>
              <w:t xml:space="preserve"> Maximum Pc Validation) validated against independent code base of Joseph Frisbee</w:t>
            </w:r>
          </w:p>
        </w:tc>
      </w:tr>
      <w:tr w:rsidR="00CC770B" w14:paraId="661A5DF2" w14:textId="77777777" w:rsidTr="00BC109E">
        <w:trPr>
          <w:jc w:val="center"/>
        </w:trPr>
        <w:tc>
          <w:tcPr>
            <w:tcW w:w="2335" w:type="dxa"/>
          </w:tcPr>
          <w:p w14:paraId="1A47FF44" w14:textId="77777777" w:rsidR="00CC770B" w:rsidRDefault="00CC770B" w:rsidP="00BC109E">
            <w:pPr>
              <w:pStyle w:val="BodyText"/>
            </w:pPr>
            <w:r>
              <w:t>test16</w:t>
            </w:r>
          </w:p>
        </w:tc>
        <w:tc>
          <w:tcPr>
            <w:tcW w:w="7015" w:type="dxa"/>
            <w:shd w:val="clear" w:color="auto" w:fill="auto"/>
          </w:tcPr>
          <w:p w14:paraId="57189BB5" w14:textId="77777777" w:rsidR="00CC770B" w:rsidRDefault="00CC770B" w:rsidP="00BC109E">
            <w:pPr>
              <w:pStyle w:val="BodyText"/>
            </w:pPr>
            <w:r>
              <w:t xml:space="preserve">Validation Test Case 1-4 from original development (FDSS-II-28-XXXX Single </w:t>
            </w:r>
            <w:proofErr w:type="spellStart"/>
            <w:r>
              <w:t>Cov</w:t>
            </w:r>
            <w:proofErr w:type="spellEnd"/>
            <w:r>
              <w:t xml:space="preserve"> Maximum Pc Validation) validated against independent code base of Joseph Frisbee</w:t>
            </w:r>
          </w:p>
        </w:tc>
      </w:tr>
      <w:tr w:rsidR="00CC770B" w14:paraId="7EA4B05B" w14:textId="77777777" w:rsidTr="00BC109E">
        <w:trPr>
          <w:jc w:val="center"/>
        </w:trPr>
        <w:tc>
          <w:tcPr>
            <w:tcW w:w="2335" w:type="dxa"/>
          </w:tcPr>
          <w:p w14:paraId="1C92FC09" w14:textId="77777777" w:rsidR="00CC770B" w:rsidRDefault="00CC770B" w:rsidP="00BC109E">
            <w:pPr>
              <w:pStyle w:val="BodyText"/>
            </w:pPr>
            <w:r>
              <w:t>test17</w:t>
            </w:r>
          </w:p>
        </w:tc>
        <w:tc>
          <w:tcPr>
            <w:tcW w:w="7015" w:type="dxa"/>
            <w:shd w:val="clear" w:color="auto" w:fill="auto"/>
          </w:tcPr>
          <w:p w14:paraId="4DDBA70E" w14:textId="77777777" w:rsidR="00CC770B" w:rsidRDefault="00CC770B" w:rsidP="00BC109E">
            <w:pPr>
              <w:pStyle w:val="BodyText"/>
            </w:pPr>
            <w:r>
              <w:t xml:space="preserve">Validation Test Case 1-5 from original development (FDSS-II-28-XXXX Single </w:t>
            </w:r>
            <w:proofErr w:type="spellStart"/>
            <w:r>
              <w:t>Cov</w:t>
            </w:r>
            <w:proofErr w:type="spellEnd"/>
            <w:r>
              <w:t xml:space="preserve"> Maximum Pc Validation) validated against independent code base of Joseph Frisbee</w:t>
            </w:r>
          </w:p>
        </w:tc>
      </w:tr>
      <w:tr w:rsidR="00CC770B" w14:paraId="5C718B1C" w14:textId="77777777" w:rsidTr="00BC109E">
        <w:trPr>
          <w:jc w:val="center"/>
        </w:trPr>
        <w:tc>
          <w:tcPr>
            <w:tcW w:w="2335" w:type="dxa"/>
          </w:tcPr>
          <w:p w14:paraId="0F0E7EF5" w14:textId="77777777" w:rsidR="00CC770B" w:rsidRDefault="00CC770B" w:rsidP="00BC109E">
            <w:pPr>
              <w:pStyle w:val="BodyText"/>
            </w:pPr>
            <w:r>
              <w:t>test18</w:t>
            </w:r>
          </w:p>
        </w:tc>
        <w:tc>
          <w:tcPr>
            <w:tcW w:w="7015" w:type="dxa"/>
            <w:shd w:val="clear" w:color="auto" w:fill="auto"/>
          </w:tcPr>
          <w:p w14:paraId="3A29460F" w14:textId="77777777" w:rsidR="00CC770B" w:rsidRDefault="00CC770B" w:rsidP="00BC109E">
            <w:pPr>
              <w:pStyle w:val="BodyText"/>
            </w:pPr>
            <w:r>
              <w:t xml:space="preserve">Validation Test Case 1-6 from original development (FDSS-II-28-XXXX Single </w:t>
            </w:r>
            <w:proofErr w:type="spellStart"/>
            <w:r>
              <w:t>Cov</w:t>
            </w:r>
            <w:proofErr w:type="spellEnd"/>
            <w:r>
              <w:t xml:space="preserve"> Maximum Pc Validation) validated against independent code base of Joseph Frisbee</w:t>
            </w:r>
          </w:p>
        </w:tc>
      </w:tr>
      <w:tr w:rsidR="00CC770B" w14:paraId="7848AA62" w14:textId="77777777" w:rsidTr="00BC109E">
        <w:trPr>
          <w:jc w:val="center"/>
        </w:trPr>
        <w:tc>
          <w:tcPr>
            <w:tcW w:w="2335" w:type="dxa"/>
          </w:tcPr>
          <w:p w14:paraId="0AF28CF6" w14:textId="77777777" w:rsidR="00CC770B" w:rsidRDefault="00CC770B" w:rsidP="00BC109E">
            <w:pPr>
              <w:pStyle w:val="BodyText"/>
            </w:pPr>
            <w:r>
              <w:t>test19</w:t>
            </w:r>
          </w:p>
        </w:tc>
        <w:tc>
          <w:tcPr>
            <w:tcW w:w="7015" w:type="dxa"/>
            <w:shd w:val="clear" w:color="auto" w:fill="auto"/>
          </w:tcPr>
          <w:p w14:paraId="16168067" w14:textId="77777777" w:rsidR="00CC770B" w:rsidRDefault="00CC770B" w:rsidP="00BC109E">
            <w:pPr>
              <w:pStyle w:val="BodyText"/>
            </w:pPr>
            <w:r>
              <w:t xml:space="preserve">Validation Test Case 1-7 from original development (FDSS-II-28-XXXX Single </w:t>
            </w:r>
            <w:proofErr w:type="spellStart"/>
            <w:r>
              <w:t>Cov</w:t>
            </w:r>
            <w:proofErr w:type="spellEnd"/>
            <w:r>
              <w:t xml:space="preserve"> Maximum Pc Validation) validated against independent code base of Joseph Frisbee</w:t>
            </w:r>
          </w:p>
        </w:tc>
      </w:tr>
      <w:tr w:rsidR="00CC770B" w14:paraId="376F6617" w14:textId="77777777" w:rsidTr="00BC109E">
        <w:trPr>
          <w:jc w:val="center"/>
        </w:trPr>
        <w:tc>
          <w:tcPr>
            <w:tcW w:w="2335" w:type="dxa"/>
          </w:tcPr>
          <w:p w14:paraId="16BD6FEF" w14:textId="77777777" w:rsidR="00CC770B" w:rsidRDefault="00CC770B" w:rsidP="00BC109E">
            <w:pPr>
              <w:pStyle w:val="BodyText"/>
            </w:pPr>
            <w:r>
              <w:t>test20</w:t>
            </w:r>
          </w:p>
        </w:tc>
        <w:tc>
          <w:tcPr>
            <w:tcW w:w="7015" w:type="dxa"/>
            <w:shd w:val="clear" w:color="auto" w:fill="auto"/>
          </w:tcPr>
          <w:p w14:paraId="7C7BE0E3" w14:textId="77777777" w:rsidR="00CC770B" w:rsidRDefault="00CC770B" w:rsidP="00BC109E">
            <w:pPr>
              <w:pStyle w:val="BodyText"/>
            </w:pPr>
            <w:r>
              <w:t xml:space="preserve">Validation Test Case 1-8 from original development (FDSS-II-28-XXXX Single </w:t>
            </w:r>
            <w:proofErr w:type="spellStart"/>
            <w:r>
              <w:t>Cov</w:t>
            </w:r>
            <w:proofErr w:type="spellEnd"/>
            <w:r>
              <w:t xml:space="preserve"> Maximum Pc Validation) validated against independent code base of Joseph Frisbee</w:t>
            </w:r>
          </w:p>
        </w:tc>
      </w:tr>
      <w:tr w:rsidR="00CC770B" w14:paraId="0A279294" w14:textId="77777777" w:rsidTr="00BC109E">
        <w:trPr>
          <w:jc w:val="center"/>
        </w:trPr>
        <w:tc>
          <w:tcPr>
            <w:tcW w:w="2335" w:type="dxa"/>
          </w:tcPr>
          <w:p w14:paraId="47AC637C" w14:textId="77777777" w:rsidR="00CC770B" w:rsidRDefault="00CC770B" w:rsidP="00BC109E">
            <w:pPr>
              <w:pStyle w:val="BodyText"/>
            </w:pPr>
            <w:r>
              <w:lastRenderedPageBreak/>
              <w:t>test21</w:t>
            </w:r>
          </w:p>
        </w:tc>
        <w:tc>
          <w:tcPr>
            <w:tcW w:w="7015" w:type="dxa"/>
            <w:shd w:val="clear" w:color="auto" w:fill="auto"/>
          </w:tcPr>
          <w:p w14:paraId="3B7171CD" w14:textId="77777777" w:rsidR="00CC770B" w:rsidRDefault="00CC770B" w:rsidP="00BC109E">
            <w:pPr>
              <w:pStyle w:val="BodyText"/>
            </w:pPr>
            <w:r>
              <w:t xml:space="preserve">Validation Test Case 1-9 from original development (FDSS-II-28-XXXX Single </w:t>
            </w:r>
            <w:proofErr w:type="spellStart"/>
            <w:r>
              <w:t>Cov</w:t>
            </w:r>
            <w:proofErr w:type="spellEnd"/>
            <w:r>
              <w:t xml:space="preserve"> Maximum Pc Validation) validated against independent code base of Joseph Frisbee</w:t>
            </w:r>
          </w:p>
        </w:tc>
      </w:tr>
      <w:tr w:rsidR="00CC770B" w14:paraId="5BAC95B1" w14:textId="77777777" w:rsidTr="00BC109E">
        <w:trPr>
          <w:jc w:val="center"/>
        </w:trPr>
        <w:tc>
          <w:tcPr>
            <w:tcW w:w="2335" w:type="dxa"/>
          </w:tcPr>
          <w:p w14:paraId="2B2EE7B9" w14:textId="77777777" w:rsidR="00CC770B" w:rsidRDefault="00CC770B" w:rsidP="00BC109E">
            <w:pPr>
              <w:pStyle w:val="BodyText"/>
            </w:pPr>
            <w:r>
              <w:t>test22</w:t>
            </w:r>
          </w:p>
        </w:tc>
        <w:tc>
          <w:tcPr>
            <w:tcW w:w="7015" w:type="dxa"/>
            <w:shd w:val="clear" w:color="auto" w:fill="auto"/>
          </w:tcPr>
          <w:p w14:paraId="417C6146" w14:textId="77777777" w:rsidR="00CC770B" w:rsidRDefault="00CC770B" w:rsidP="00BC109E">
            <w:pPr>
              <w:pStyle w:val="BodyText"/>
            </w:pPr>
            <w:r>
              <w:t xml:space="preserve">Validation Test Case 1-10 from original development (FDSS-II-28-XXXX Single </w:t>
            </w:r>
            <w:proofErr w:type="spellStart"/>
            <w:r>
              <w:t>Cov</w:t>
            </w:r>
            <w:proofErr w:type="spellEnd"/>
            <w:r>
              <w:t xml:space="preserve"> Maximum Pc Validation) validated against independent code base of Joseph Frisbee</w:t>
            </w:r>
          </w:p>
        </w:tc>
      </w:tr>
      <w:tr w:rsidR="00CC770B" w14:paraId="23EAFCCD" w14:textId="77777777" w:rsidTr="00BC109E">
        <w:trPr>
          <w:jc w:val="center"/>
        </w:trPr>
        <w:tc>
          <w:tcPr>
            <w:tcW w:w="2335" w:type="dxa"/>
          </w:tcPr>
          <w:p w14:paraId="06F78A49" w14:textId="77777777" w:rsidR="00CC770B" w:rsidRDefault="00CC770B" w:rsidP="00BC109E">
            <w:pPr>
              <w:pStyle w:val="BodyText"/>
            </w:pPr>
            <w:r>
              <w:t>test23</w:t>
            </w:r>
          </w:p>
        </w:tc>
        <w:tc>
          <w:tcPr>
            <w:tcW w:w="7015" w:type="dxa"/>
            <w:shd w:val="clear" w:color="auto" w:fill="auto"/>
          </w:tcPr>
          <w:p w14:paraId="6180C3F8" w14:textId="77777777" w:rsidR="00CC770B" w:rsidRDefault="00CC770B" w:rsidP="00BC109E">
            <w:pPr>
              <w:pStyle w:val="BodyText"/>
            </w:pPr>
            <w:r>
              <w:t xml:space="preserve">Validation Test Case 1-11 from original development (FDSS-II-28-XXXX Single </w:t>
            </w:r>
            <w:proofErr w:type="spellStart"/>
            <w:r>
              <w:t>Cov</w:t>
            </w:r>
            <w:proofErr w:type="spellEnd"/>
            <w:r>
              <w:t xml:space="preserve"> Maximum Pc Validation) validated against independent code base of Joseph Frisbee</w:t>
            </w:r>
          </w:p>
        </w:tc>
      </w:tr>
      <w:tr w:rsidR="00CC770B" w14:paraId="7E88D5EA" w14:textId="77777777" w:rsidTr="00BC109E">
        <w:trPr>
          <w:jc w:val="center"/>
        </w:trPr>
        <w:tc>
          <w:tcPr>
            <w:tcW w:w="2335" w:type="dxa"/>
          </w:tcPr>
          <w:p w14:paraId="08F11A0B" w14:textId="77777777" w:rsidR="00CC770B" w:rsidRDefault="00CC770B" w:rsidP="00BC109E">
            <w:pPr>
              <w:pStyle w:val="BodyText"/>
            </w:pPr>
            <w:r>
              <w:t>test24</w:t>
            </w:r>
          </w:p>
        </w:tc>
        <w:tc>
          <w:tcPr>
            <w:tcW w:w="7015" w:type="dxa"/>
            <w:shd w:val="clear" w:color="auto" w:fill="auto"/>
          </w:tcPr>
          <w:p w14:paraId="2480DC1C" w14:textId="77777777" w:rsidR="00CC770B" w:rsidRDefault="00CC770B" w:rsidP="00BC109E">
            <w:pPr>
              <w:pStyle w:val="BodyText"/>
            </w:pPr>
            <w:r>
              <w:t xml:space="preserve">Validation Test Case 1-12 from original development (FDSS-II-28-XXXX Single </w:t>
            </w:r>
            <w:proofErr w:type="spellStart"/>
            <w:r>
              <w:t>Cov</w:t>
            </w:r>
            <w:proofErr w:type="spellEnd"/>
            <w:r>
              <w:t xml:space="preserve"> Maximum Pc Validation) validated against independent code base of Joseph Frisbee</w:t>
            </w:r>
          </w:p>
        </w:tc>
      </w:tr>
      <w:tr w:rsidR="00CC770B" w14:paraId="0275BF46" w14:textId="77777777" w:rsidTr="00BC109E">
        <w:trPr>
          <w:jc w:val="center"/>
        </w:trPr>
        <w:tc>
          <w:tcPr>
            <w:tcW w:w="2335" w:type="dxa"/>
          </w:tcPr>
          <w:p w14:paraId="6283779A" w14:textId="77777777" w:rsidR="00CC770B" w:rsidRDefault="00CC770B" w:rsidP="00BC109E">
            <w:pPr>
              <w:pStyle w:val="BodyText"/>
            </w:pPr>
            <w:r>
              <w:t>test25</w:t>
            </w:r>
          </w:p>
        </w:tc>
        <w:tc>
          <w:tcPr>
            <w:tcW w:w="7015" w:type="dxa"/>
            <w:shd w:val="clear" w:color="auto" w:fill="auto"/>
          </w:tcPr>
          <w:p w14:paraId="68904A0D" w14:textId="77777777" w:rsidR="00CC770B" w:rsidRDefault="00CC770B" w:rsidP="00BC109E">
            <w:pPr>
              <w:pStyle w:val="BodyText"/>
            </w:pPr>
            <w:r>
              <w:t xml:space="preserve">Validation Test Case 1-13 from original development (FDSS-II-28-XXXX Single </w:t>
            </w:r>
            <w:proofErr w:type="spellStart"/>
            <w:r>
              <w:t>Cov</w:t>
            </w:r>
            <w:proofErr w:type="spellEnd"/>
            <w:r>
              <w:t xml:space="preserve"> Maximum Pc Validation) validated against independent code base of Joseph Frisbee</w:t>
            </w:r>
          </w:p>
        </w:tc>
      </w:tr>
      <w:tr w:rsidR="00CC770B" w14:paraId="530418B5" w14:textId="77777777" w:rsidTr="00BC109E">
        <w:trPr>
          <w:jc w:val="center"/>
        </w:trPr>
        <w:tc>
          <w:tcPr>
            <w:tcW w:w="2335" w:type="dxa"/>
          </w:tcPr>
          <w:p w14:paraId="7A379F24" w14:textId="77777777" w:rsidR="00CC770B" w:rsidRDefault="00CC770B" w:rsidP="00BC109E">
            <w:pPr>
              <w:pStyle w:val="BodyText"/>
            </w:pPr>
            <w:r>
              <w:t>test26</w:t>
            </w:r>
          </w:p>
        </w:tc>
        <w:tc>
          <w:tcPr>
            <w:tcW w:w="7015" w:type="dxa"/>
            <w:shd w:val="clear" w:color="auto" w:fill="auto"/>
          </w:tcPr>
          <w:p w14:paraId="42E1298F" w14:textId="77777777" w:rsidR="00CC770B" w:rsidRDefault="00CC770B" w:rsidP="00BC109E">
            <w:pPr>
              <w:pStyle w:val="BodyText"/>
            </w:pPr>
            <w:r>
              <w:t xml:space="preserve">Validation Test Case 1-14 from original development (FDSS-II-28-XXXX Single </w:t>
            </w:r>
            <w:proofErr w:type="spellStart"/>
            <w:r>
              <w:t>Cov</w:t>
            </w:r>
            <w:proofErr w:type="spellEnd"/>
            <w:r>
              <w:t xml:space="preserve"> Maximum Pc Validation) validated against independent code base of Joseph Frisbee</w:t>
            </w:r>
          </w:p>
        </w:tc>
      </w:tr>
      <w:tr w:rsidR="00CC770B" w14:paraId="26D9F535" w14:textId="77777777" w:rsidTr="00BC109E">
        <w:trPr>
          <w:jc w:val="center"/>
        </w:trPr>
        <w:tc>
          <w:tcPr>
            <w:tcW w:w="2335" w:type="dxa"/>
            <w:tcBorders>
              <w:bottom w:val="single" w:sz="4" w:space="0" w:color="auto"/>
            </w:tcBorders>
          </w:tcPr>
          <w:p w14:paraId="5F34B5B6" w14:textId="77777777" w:rsidR="00CC770B" w:rsidRDefault="00CC770B" w:rsidP="00BC109E">
            <w:pPr>
              <w:pStyle w:val="BodyText"/>
            </w:pPr>
            <w:r>
              <w:t>test27</w:t>
            </w:r>
          </w:p>
        </w:tc>
        <w:tc>
          <w:tcPr>
            <w:tcW w:w="7015" w:type="dxa"/>
            <w:tcBorders>
              <w:bottom w:val="single" w:sz="4" w:space="0" w:color="auto"/>
            </w:tcBorders>
            <w:shd w:val="clear" w:color="auto" w:fill="auto"/>
          </w:tcPr>
          <w:p w14:paraId="042BFEC8" w14:textId="77777777" w:rsidR="00CC770B" w:rsidRDefault="00CC770B" w:rsidP="00BC109E">
            <w:pPr>
              <w:pStyle w:val="BodyText"/>
            </w:pPr>
            <w:r>
              <w:t xml:space="preserve">Validation Test Case 1-15 from original development (FDSS-II-28-XXXX Single </w:t>
            </w:r>
            <w:proofErr w:type="spellStart"/>
            <w:r>
              <w:t>Cov</w:t>
            </w:r>
            <w:proofErr w:type="spellEnd"/>
            <w:r>
              <w:t xml:space="preserve"> Maximum Pc Validation) validated against independent code base of Joseph Frisbee</w:t>
            </w:r>
          </w:p>
        </w:tc>
      </w:tr>
    </w:tbl>
    <w:p w14:paraId="12A0AEB9" w14:textId="77777777" w:rsidR="00CC770B" w:rsidRDefault="00CC770B" w:rsidP="00CC770B"/>
    <w:p w14:paraId="395BB916" w14:textId="77777777" w:rsidR="00CC770B" w:rsidRDefault="00CC770B" w:rsidP="00CC770B">
      <w:pPr>
        <w:rPr>
          <w:rFonts w:eastAsiaTheme="majorEastAsia" w:cs="Arial"/>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br w:type="page"/>
      </w:r>
    </w:p>
    <w:p w14:paraId="5EB2424B" w14:textId="21E62918" w:rsidR="00CC770B" w:rsidRDefault="00CC770B" w:rsidP="00CC770B">
      <w:pPr>
        <w:pStyle w:val="Heading1"/>
      </w:pPr>
      <w:bookmarkStart w:id="40" w:name="_Toc26338283"/>
      <w:r w:rsidRPr="00B76CCD">
        <w:lastRenderedPageBreak/>
        <w:t>Acronyms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CC770B" w14:paraId="3FE58845" w14:textId="77777777" w:rsidTr="00BC109E">
        <w:tc>
          <w:tcPr>
            <w:tcW w:w="2700" w:type="dxa"/>
          </w:tcPr>
          <w:p w14:paraId="77A614AE" w14:textId="77777777" w:rsidR="00CC770B" w:rsidRDefault="00CC770B" w:rsidP="00BC109E">
            <w:r>
              <w:t>CARA</w:t>
            </w:r>
          </w:p>
        </w:tc>
        <w:tc>
          <w:tcPr>
            <w:tcW w:w="6650" w:type="dxa"/>
          </w:tcPr>
          <w:p w14:paraId="39745B76" w14:textId="77777777" w:rsidR="00CC770B" w:rsidRDefault="00CC770B" w:rsidP="00BC109E">
            <w:r>
              <w:t>Conjunction Assessment Risk Analysis</w:t>
            </w:r>
          </w:p>
        </w:tc>
      </w:tr>
      <w:tr w:rsidR="00CC770B" w14:paraId="52F5105D" w14:textId="77777777" w:rsidTr="00BC109E">
        <w:tc>
          <w:tcPr>
            <w:tcW w:w="2700" w:type="dxa"/>
          </w:tcPr>
          <w:p w14:paraId="63A9A711" w14:textId="77777777" w:rsidR="00CC770B" w:rsidRDefault="00CC770B" w:rsidP="00BC109E">
            <w:r>
              <w:t>CDM</w:t>
            </w:r>
          </w:p>
        </w:tc>
        <w:tc>
          <w:tcPr>
            <w:tcW w:w="6650" w:type="dxa"/>
          </w:tcPr>
          <w:p w14:paraId="7E7B1582" w14:textId="77777777" w:rsidR="00CC770B" w:rsidRDefault="00CC770B" w:rsidP="00BC109E">
            <w:r>
              <w:t>Conjunction Data Message</w:t>
            </w:r>
          </w:p>
        </w:tc>
      </w:tr>
      <w:tr w:rsidR="00CC770B" w14:paraId="53651CE2" w14:textId="77777777" w:rsidTr="00BC109E">
        <w:tc>
          <w:tcPr>
            <w:tcW w:w="2700" w:type="dxa"/>
          </w:tcPr>
          <w:p w14:paraId="1E81AE9B" w14:textId="77777777" w:rsidR="00CC770B" w:rsidRDefault="00CC770B" w:rsidP="00BC109E">
            <w:r>
              <w:t>ECI</w:t>
            </w:r>
          </w:p>
        </w:tc>
        <w:tc>
          <w:tcPr>
            <w:tcW w:w="6650" w:type="dxa"/>
          </w:tcPr>
          <w:p w14:paraId="70143C95" w14:textId="77777777" w:rsidR="00CC770B" w:rsidRDefault="00CC770B" w:rsidP="00BC109E">
            <w:r>
              <w:t>Earth Centered Inertial</w:t>
            </w:r>
          </w:p>
        </w:tc>
      </w:tr>
      <w:tr w:rsidR="00CC770B" w14:paraId="710845D2" w14:textId="77777777" w:rsidTr="00BC109E">
        <w:tc>
          <w:tcPr>
            <w:tcW w:w="2700" w:type="dxa"/>
          </w:tcPr>
          <w:p w14:paraId="6911F493" w14:textId="77777777" w:rsidR="00CC770B" w:rsidRDefault="00CC770B" w:rsidP="00BC109E">
            <w:r>
              <w:t>HBR</w:t>
            </w:r>
          </w:p>
        </w:tc>
        <w:tc>
          <w:tcPr>
            <w:tcW w:w="6650" w:type="dxa"/>
          </w:tcPr>
          <w:p w14:paraId="70E08982" w14:textId="77777777" w:rsidR="00CC770B" w:rsidRDefault="00CC770B" w:rsidP="00BC109E">
            <w:r>
              <w:t>Hard Body Radius</w:t>
            </w:r>
          </w:p>
        </w:tc>
      </w:tr>
      <w:tr w:rsidR="00CC770B" w14:paraId="1C16461D" w14:textId="77777777" w:rsidTr="00BC109E">
        <w:tc>
          <w:tcPr>
            <w:tcW w:w="2700" w:type="dxa"/>
          </w:tcPr>
          <w:p w14:paraId="656B8465" w14:textId="77777777" w:rsidR="00CC770B" w:rsidRDefault="00CC770B" w:rsidP="00BC109E">
            <w:r>
              <w:t>Pc</w:t>
            </w:r>
          </w:p>
        </w:tc>
        <w:tc>
          <w:tcPr>
            <w:tcW w:w="6650" w:type="dxa"/>
          </w:tcPr>
          <w:p w14:paraId="68C30150" w14:textId="77777777" w:rsidR="00CC770B" w:rsidRDefault="00CC770B" w:rsidP="00BC109E">
            <w:r>
              <w:t>Probability of Collision</w:t>
            </w:r>
          </w:p>
        </w:tc>
      </w:tr>
      <w:tr w:rsidR="00CC770B" w14:paraId="77FDD862" w14:textId="77777777" w:rsidTr="00BC109E">
        <w:tc>
          <w:tcPr>
            <w:tcW w:w="2700" w:type="dxa"/>
          </w:tcPr>
          <w:p w14:paraId="1D8C772B" w14:textId="77777777" w:rsidR="00CC770B" w:rsidRDefault="00CC770B" w:rsidP="00BC109E">
            <w:r>
              <w:t>SDK</w:t>
            </w:r>
          </w:p>
        </w:tc>
        <w:tc>
          <w:tcPr>
            <w:tcW w:w="6650" w:type="dxa"/>
          </w:tcPr>
          <w:p w14:paraId="30C45BAD" w14:textId="77777777" w:rsidR="00CC770B" w:rsidRDefault="00CC770B" w:rsidP="00BC109E">
            <w:r>
              <w:t>Software Development Kit</w:t>
            </w:r>
          </w:p>
        </w:tc>
      </w:tr>
    </w:tbl>
    <w:p w14:paraId="60630DF4" w14:textId="77777777" w:rsidR="00CC770B" w:rsidRPr="00B76CCD" w:rsidRDefault="00CC770B" w:rsidP="00CC770B">
      <w:pPr>
        <w:rPr>
          <w:rFonts w:ascii="Arial" w:hAnsi="Arial" w:cs="Arial"/>
        </w:rPr>
      </w:pPr>
    </w:p>
    <w:p w14:paraId="531B2846" w14:textId="77777777" w:rsidR="00CC770B" w:rsidRPr="00B76CCD" w:rsidRDefault="00CC770B" w:rsidP="00CC770B">
      <w:pPr>
        <w:rPr>
          <w:rFonts w:ascii="Arial" w:hAnsi="Arial" w:cs="Arial"/>
        </w:rPr>
      </w:pPr>
      <w:r w:rsidRPr="00B76CCD">
        <w:rPr>
          <w:rFonts w:ascii="Arial" w:hAnsi="Arial" w:cs="Arial"/>
        </w:rPr>
        <w:br w:type="page"/>
      </w:r>
    </w:p>
    <w:p w14:paraId="1C70745B" w14:textId="29AE89F9" w:rsidR="00C20697" w:rsidRPr="00CC770B" w:rsidRDefault="00CC770B" w:rsidP="00CC770B">
      <w:pPr>
        <w:pStyle w:val="Heading1"/>
      </w:pPr>
      <w:bookmarkStart w:id="41" w:name="_Toc26338284"/>
      <w:r w:rsidRPr="00B76CCD">
        <w:lastRenderedPageBreak/>
        <w:t>References</w:t>
      </w:r>
      <w:bookmarkEnd w:id="41"/>
    </w:p>
    <w:sectPr w:rsidR="00C20697" w:rsidRPr="00CC770B" w:rsidSect="00CC770B">
      <w:headerReference w:type="default" r:id="rId15"/>
      <w:pgSz w:w="12240" w:h="15840"/>
      <w:pgMar w:top="720" w:right="720" w:bottom="720" w:left="720" w:header="720" w:footer="720"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D94B2" w14:textId="77777777" w:rsidR="00CE0469" w:rsidRDefault="00CE0469" w:rsidP="00C20697">
      <w:pPr>
        <w:spacing w:after="0" w:line="240" w:lineRule="auto"/>
      </w:pPr>
      <w:r>
        <w:separator/>
      </w:r>
    </w:p>
  </w:endnote>
  <w:endnote w:type="continuationSeparator" w:id="0">
    <w:p w14:paraId="551B2BE6" w14:textId="77777777" w:rsidR="00CE0469" w:rsidRDefault="00CE0469" w:rsidP="00C20697">
      <w:pPr>
        <w:spacing w:after="0" w:line="240" w:lineRule="auto"/>
      </w:pPr>
      <w:r>
        <w:continuationSeparator/>
      </w:r>
    </w:p>
  </w:endnote>
  <w:endnote w:id="1">
    <w:p w14:paraId="2E646DC9" w14:textId="77777777" w:rsidR="00CC770B" w:rsidRPr="00DE491C" w:rsidRDefault="00CC770B" w:rsidP="00CC770B">
      <w:pPr>
        <w:pStyle w:val="EndnoteText"/>
        <w:ind w:left="360" w:hanging="360"/>
      </w:pPr>
      <w:r>
        <w:rPr>
          <w:rStyle w:val="EndnoteReference"/>
        </w:rPr>
        <w:endnoteRef/>
      </w:r>
      <w:r>
        <w:t xml:space="preserve"> </w:t>
      </w:r>
      <w:r>
        <w:tab/>
      </w:r>
      <w:proofErr w:type="spellStart"/>
      <w:r>
        <w:t>Hejduk</w:t>
      </w:r>
      <w:proofErr w:type="spellEnd"/>
      <w:r>
        <w:t>, Matthew D., "Satellite Conjunction Assessment Risk Analysis for “Dilution Region” Events: Issues and Operational Approaches" (2019). Space Traffic Management Conference. 28.</w:t>
      </w:r>
    </w:p>
  </w:endnote>
  <w:endnote w:id="2">
    <w:p w14:paraId="5DD48C3D" w14:textId="77777777" w:rsidR="00CC770B" w:rsidRPr="00E135D0" w:rsidRDefault="00CC770B" w:rsidP="00CC770B">
      <w:pPr>
        <w:pStyle w:val="EndnoteText"/>
        <w:ind w:left="360" w:hanging="360"/>
      </w:pPr>
      <w:r>
        <w:rPr>
          <w:rStyle w:val="EndnoteReference"/>
        </w:rPr>
        <w:endnoteRef/>
      </w:r>
      <w:r>
        <w:t xml:space="preserve"> </w:t>
      </w:r>
      <w:r>
        <w:tab/>
        <w:t xml:space="preserve">Frisbee, J. H. </w:t>
      </w:r>
      <w:r>
        <w:rPr>
          <w:i/>
        </w:rPr>
        <w:t>An upper Bound on High Speed Satellite Collision Probability when Only One Object has Position Uncertainty Information.</w:t>
      </w:r>
      <w:r>
        <w:t xml:space="preserve"> AAS 15-717.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608614"/>
      <w:docPartObj>
        <w:docPartGallery w:val="Page Numbers (Bottom of Page)"/>
        <w:docPartUnique/>
      </w:docPartObj>
    </w:sdtPr>
    <w:sdtEndPr>
      <w:rPr>
        <w:rFonts w:ascii="Arial" w:hAnsi="Arial" w:cs="Times New Roman"/>
        <w:bCs/>
        <w:noProof/>
        <w:color w:val="000000" w:themeColor="text1"/>
        <w:sz w:val="24"/>
        <w:szCs w:val="18"/>
      </w:rPr>
    </w:sdtEndPr>
    <w:sdtContent>
      <w:p w14:paraId="1CF419C3" w14:textId="77777777" w:rsidR="00CC770B" w:rsidRPr="004C1EFC" w:rsidRDefault="00CC770B" w:rsidP="003D76F1">
        <w:pPr>
          <w:ind w:right="72"/>
          <w:rPr>
            <w:sz w:val="20"/>
            <w:szCs w:val="20"/>
          </w:rPr>
        </w:pPr>
      </w:p>
      <w:p w14:paraId="5B8D2175" w14:textId="62FE88BE" w:rsidR="00CC770B" w:rsidRDefault="00CC770B" w:rsidP="003D76F1">
        <w:pPr>
          <w:pStyle w:val="Footer"/>
          <w:jc w:val="center"/>
        </w:pPr>
        <w:r>
          <w:fldChar w:fldCharType="begin"/>
        </w:r>
        <w:r>
          <w:instrText xml:space="preserve"> PAGE   \* MERGEFORMAT </w:instrText>
        </w:r>
        <w:r>
          <w:fldChar w:fldCharType="separate"/>
        </w:r>
        <w:r w:rsidR="00565F8B">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C9E29" w14:textId="77777777" w:rsidR="00CE0469" w:rsidRDefault="00CE0469" w:rsidP="00C20697">
      <w:pPr>
        <w:spacing w:after="0" w:line="240" w:lineRule="auto"/>
      </w:pPr>
      <w:r>
        <w:separator/>
      </w:r>
    </w:p>
  </w:footnote>
  <w:footnote w:type="continuationSeparator" w:id="0">
    <w:p w14:paraId="2A699D61" w14:textId="77777777" w:rsidR="00CE0469" w:rsidRDefault="00CE0469" w:rsidP="00C2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9ABB" w14:textId="60FEFADC" w:rsidR="00D820E4" w:rsidRPr="00470478" w:rsidRDefault="00CE0469" w:rsidP="00470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1B7FEB"/>
    <w:rsid w:val="001F33A2"/>
    <w:rsid w:val="001F4FF6"/>
    <w:rsid w:val="0023637D"/>
    <w:rsid w:val="00255DA4"/>
    <w:rsid w:val="002E2D45"/>
    <w:rsid w:val="00325C62"/>
    <w:rsid w:val="00470478"/>
    <w:rsid w:val="004919DD"/>
    <w:rsid w:val="004E797B"/>
    <w:rsid w:val="00565F8B"/>
    <w:rsid w:val="00613ADF"/>
    <w:rsid w:val="00667523"/>
    <w:rsid w:val="00736100"/>
    <w:rsid w:val="00743DD8"/>
    <w:rsid w:val="00756F6D"/>
    <w:rsid w:val="007C72BB"/>
    <w:rsid w:val="00920476"/>
    <w:rsid w:val="00B93B96"/>
    <w:rsid w:val="00C20697"/>
    <w:rsid w:val="00C95345"/>
    <w:rsid w:val="00CC770B"/>
    <w:rsid w:val="00CE0469"/>
    <w:rsid w:val="00D101EE"/>
    <w:rsid w:val="00EA2A64"/>
    <w:rsid w:val="00E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5</cp:revision>
  <cp:lastPrinted>2019-12-04T14:40:00Z</cp:lastPrinted>
  <dcterms:created xsi:type="dcterms:W3CDTF">2019-12-04T14:44:00Z</dcterms:created>
  <dcterms:modified xsi:type="dcterms:W3CDTF">2019-12-04T14:51:00Z</dcterms:modified>
</cp:coreProperties>
</file>