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  <w:jc w:val="center"/>
      </w:pPr>
      <w:r>
        <w:rPr>
          <w:b/>
          <w:bCs/>
          <w:color w:val="667eea"/>
          <w:sz w:val="40"/>
          <w:szCs w:val="40"/>
        </w:rPr>
        <w:t xml:space="preserve">CAPITALIZATION TABLE (CAP TABLE)</w:t>
      </w:r>
    </w:p>
    <w:p>
      <w:pPr>
        <w:spacing w:after="180"/>
        <w:jc w:val="center"/>
      </w:pPr>
      <w:r>
        <w:rPr>
          <w:b/>
          <w:bCs/>
          <w:sz w:val="24"/>
          <w:szCs w:val="24"/>
        </w:rPr>
        <w:t xml:space="preserve">Tableau de Capitalisation &amp; Scénarios de Dilution</w:t>
      </w:r>
    </w:p>
    <w:p>
      <w:pPr>
        <w:spacing w:after="720"/>
        <w:jc w:val="center"/>
      </w:pPr>
      <w:r>
        <w:rPr>
          <w:i/>
          <w:iCs/>
          <w:color w:val="6c757d"/>
          <w:sz w:val="18"/>
          <w:szCs w:val="18"/>
        </w:rPr>
        <w:t xml:space="preserve">Mise à jour : Février 2026 | Version 1.0</w:t>
      </w:r>
    </w:p>
    <w:p>
      <w:pPr>
        <w:spacing w:before="240" w:after="180"/>
      </w:pPr>
      <w:r>
        <w:rPr>
          <w:b/>
          <w:bCs/>
          <w:color w:val="ffc107"/>
          <w:sz w:val="24"/>
          <w:szCs w:val="24"/>
        </w:rPr>
        <w:t xml:space="preserve">📊 À PROPOS DE CE DOCUMENT</w:t>
      </w:r>
    </w:p>
    <w:p>
      <w:pPr>
        <w:spacing w:after="120"/>
      </w:pPr>
      <w:r>
        <w:rPr>
          <w:sz w:val="20"/>
          <w:szCs w:val="20"/>
        </w:rPr>
        <w:t xml:space="preserve">Ce tableau présente la structure actuelle du capital et trois scénarios de levée de fonds pre-seed avec différents montants d'investissement. Il permet de visualiser l'impact de la dilution sur chaque actionnaire selon le montant investi.</w:t>
      </w:r>
    </w:p>
    <w:p>
      <w:pPr>
        <w:spacing w:before="240" w:after="120"/>
      </w:pPr>
      <w:r>
        <w:rPr>
          <w:b/>
          <w:bCs/>
          <w:sz w:val="20"/>
          <w:szCs w:val="20"/>
        </w:rPr>
        <w:t xml:space="preserve">Hypothèses clés :</w:t>
      </w:r>
    </w:p>
    <w:p>
      <w:pPr>
        <w:spacing left="360" w:after="90"/>
      </w:pPr>
      <w:r>
        <w:rPr>
          <w:sz w:val="20"/>
          <w:szCs w:val="20"/>
        </w:rPr>
        <w:t xml:space="preserve">• Valorisation pre-money : 1 200 000 - 1 500 000 CHF (selon montant)</w:t>
      </w:r>
    </w:p>
    <w:p>
      <w:pPr>
        <w:spacing left="360" w:after="90"/>
      </w:pPr>
      <w:r>
        <w:rPr>
          <w:sz w:val="20"/>
          <w:szCs w:val="20"/>
        </w:rPr>
        <w:t xml:space="preserve">• Type d'instrument : Actions ordinaires</w:t>
      </w:r>
    </w:p>
    <w:p>
      <w:pPr>
        <w:spacing left="360" w:after="360"/>
      </w:pPr>
      <w:r>
        <w:rPr>
          <w:sz w:val="20"/>
          <w:szCs w:val="20"/>
        </w:rPr>
        <w:t xml:space="preserve">• Vesting fondateurs : 4 ans avec cliff 1 an</w:t>
      </w:r>
    </w:p>
    <w:p>
      <w:pPr>
        <w:pStyle w:val="Heading1"/>
      </w:pPr>
      <w:r>
        <w:t xml:space="preserve">SITUATION ACTUELLE (Pré-Investissement)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Actionnaire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Actions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Capital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Actions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Fondateur(s)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Actions ordinaires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-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-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Notes :</w:t>
      </w:r>
    </w:p>
    <w:p>
      <w:pPr>
        <w:spacing left="360" w:after="90"/>
      </w:pPr>
      <w:r>
        <w:rPr>
          <w:sz w:val="20"/>
          <w:szCs w:val="20"/>
        </w:rPr>
        <w:t xml:space="preserve">• Capital social initial : 100 000 CHF (100 000 actions à 1 CHF nominal)</w:t>
      </w:r>
    </w:p>
    <w:p>
      <w:pPr>
        <w:spacing left="360" w:after="360"/>
      </w:pPr>
      <w:r>
        <w:rPr>
          <w:sz w:val="20"/>
          <w:szCs w:val="20"/>
        </w:rPr>
        <w:t xml:space="preserve">• Valorisation pre-money : À définir selon montant levé</w:t>
      </w:r>
    </w:p>
    <w:p>
      <w:pPr>
        <w:pStyle w:val="Heading1"/>
      </w:pPr>
      <w:r>
        <w:t xml:space="preserve">SCÉNARIO 1 : Investissement 200K CHF</w:t>
      </w:r>
    </w:p>
    <w:p>
      <w:pPr>
        <w:spacing w:before="180" w:after="120"/>
      </w:pPr>
      <w:r>
        <w:rPr>
          <w:i/>
          <w:iCs/>
          <w:color w:val="6c757d"/>
          <w:sz w:val="20"/>
          <w:szCs w:val="20"/>
        </w:rPr>
        <w:t xml:space="preserve">Hypothèses : Valorisation pre-money 1 200 000 CHF | Prix par action 12 CHF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Actionnaire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Actions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Post-Money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 CHF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Fondateur(s)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85,71%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1 200 000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Investisseur(s) Pre-Seed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16 667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14,29%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Non applicable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116 667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1 400 000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-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Métriques clés :</w:t>
      </w:r>
    </w:p>
    <w:p>
      <w:pPr>
        <w:spacing left="360" w:after="60"/>
      </w:pPr>
      <w:r>
        <w:rPr>
          <w:sz w:val="20"/>
          <w:szCs w:val="20"/>
        </w:rPr>
        <w:t xml:space="preserve">• Valorisation post-money : 1 400 000 CHF</w:t>
      </w:r>
    </w:p>
    <w:p>
      <w:pPr>
        <w:spacing left="360" w:after="60"/>
      </w:pPr>
      <w:r>
        <w:rPr>
          <w:sz w:val="20"/>
          <w:szCs w:val="20"/>
        </w:rPr>
        <w:t xml:space="preserve">• Dilution fondateurs : 14,29%</w:t>
      </w:r>
    </w:p>
    <w:p>
      <w:pPr>
        <w:spacing left="360" w:after="360"/>
      </w:pPr>
      <w:r>
        <w:rPr>
          <w:sz w:val="20"/>
          <w:szCs w:val="20"/>
        </w:rPr>
        <w:t xml:space="preserve">• Prix par action : 12,00 CHF (200 000 / 16 667 actions)</w:t>
      </w:r>
    </w:p>
    <w:p>
      <w:pPr>
        <w:pStyle w:val="Heading1"/>
      </w:pPr>
      <w:r>
        <w:t xml:space="preserve">SCÉNARIO 2 : Investissement 275K CHF (Recommandé)</w:t>
      </w:r>
    </w:p>
    <w:p>
      <w:pPr>
        <w:spacing w:before="180" w:after="120"/>
      </w:pPr>
      <w:r>
        <w:rPr>
          <w:i/>
          <w:iCs/>
          <w:color w:val="6c757d"/>
          <w:sz w:val="20"/>
          <w:szCs w:val="20"/>
        </w:rPr>
        <w:t xml:space="preserve">Hypothèses : Valorisation pre-money 1 350 000 CHF | Prix par action 13,50 CHF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Actionnaire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Actions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Post-Money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 CHF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Fondateur(s)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83,08%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1 350 000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Investisseur(s) Pre-Seed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20 370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16,92%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275 000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Non applicable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120 370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1 625 000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-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Métriques clés :</w:t>
      </w:r>
    </w:p>
    <w:p>
      <w:pPr>
        <w:spacing left="360" w:after="60"/>
      </w:pPr>
      <w:r>
        <w:rPr>
          <w:sz w:val="20"/>
          <w:szCs w:val="20"/>
        </w:rPr>
        <w:t xml:space="preserve">• Valorisation post-money : 1 625 000 CHF</w:t>
      </w:r>
    </w:p>
    <w:p>
      <w:pPr>
        <w:spacing left="360" w:after="60"/>
      </w:pPr>
      <w:r>
        <w:rPr>
          <w:sz w:val="20"/>
          <w:szCs w:val="20"/>
        </w:rPr>
        <w:t xml:space="preserve">• Dilution fondateurs : 16,92%</w:t>
      </w:r>
    </w:p>
    <w:p>
      <w:pPr>
        <w:spacing left="360" w:after="360"/>
      </w:pPr>
      <w:r>
        <w:rPr>
          <w:sz w:val="20"/>
          <w:szCs w:val="20"/>
        </w:rPr>
        <w:t xml:space="preserve">• Prix par action : 13,50 CHF (275 000 / 20 370 actions)</w:t>
      </w:r>
    </w:p>
    <w:p>
      <w:pPr>
        <w:pStyle w:val="Heading1"/>
      </w:pPr>
      <w:r>
        <w:t xml:space="preserve">SCÉNARIO 3 : Investissement 350K CHF</w:t>
      </w:r>
    </w:p>
    <w:p>
      <w:pPr>
        <w:spacing w:before="180" w:after="120"/>
      </w:pPr>
      <w:r>
        <w:rPr>
          <w:i/>
          <w:iCs/>
          <w:color w:val="6c757d"/>
          <w:sz w:val="20"/>
          <w:szCs w:val="20"/>
        </w:rPr>
        <w:t xml:space="preserve">Hypothèses : Valorisation pre-money 1 500 000 CHF | Prix par action 15 CHF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Actionnaire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 Actions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Post-Money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 CHF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Fondateur(s)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81,08%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1 500 000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Investisseur(s) Pre-Seed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23 333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18,92%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350 000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Non applicable</w:t>
            </w:r>
          </w:p>
        </w:tc>
      </w:tr>
      <w:tr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123 333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1 850 000</w:t>
            </w:r>
          </w:p>
        </w:tc>
        <w:tc>
          <w:tcPr>
            <w:tcW w:type="dxa" w:w="1872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-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Métriques clés :</w:t>
      </w:r>
    </w:p>
    <w:p>
      <w:pPr>
        <w:spacing left="360" w:after="60"/>
      </w:pPr>
      <w:r>
        <w:rPr>
          <w:sz w:val="20"/>
          <w:szCs w:val="20"/>
        </w:rPr>
        <w:t xml:space="preserve">• Valorisation post-money : 1 850 000 CHF</w:t>
      </w:r>
    </w:p>
    <w:p>
      <w:pPr>
        <w:spacing left="360" w:after="60"/>
      </w:pPr>
      <w:r>
        <w:rPr>
          <w:sz w:val="20"/>
          <w:szCs w:val="20"/>
        </w:rPr>
        <w:t xml:space="preserve">• Dilution fondateurs : 18,92%</w:t>
      </w:r>
    </w:p>
    <w:p>
      <w:pPr>
        <w:spacing left="360" w:after="360"/>
      </w:pPr>
      <w:r>
        <w:rPr>
          <w:sz w:val="20"/>
          <w:szCs w:val="20"/>
        </w:rPr>
        <w:t xml:space="preserve">• Prix par action : 15,00 CHF (350 000 / 23 333 actions)</w:t>
      </w:r>
    </w:p>
    <w:p>
      <w:pPr>
        <w:pStyle w:val="Heading1"/>
      </w:pPr>
      <w:r>
        <w:t xml:space="preserve">TABLEAU COMPARATIF DES SCÉNARIOS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Scénario 1 (200K)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Scénario 2 (275K)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Scénario 3 (350K)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Montant levé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200 000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275 000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350 000 CHF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Valorisation pre-money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1 200 000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1 350 000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1 500 000 CHF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Valorisation post-money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1 400 000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1 625 000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1 850 000 CHF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Prix par action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12,00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13,50 CHF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15,00 CHF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% Investisseurs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14,29%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16,92%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18,92%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% Fondateurs après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85,71%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83,08%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81,08%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Runway estimé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12-15 mois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18-22 mois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24-28 mois</w:t>
            </w:r>
          </w:p>
        </w:tc>
      </w:tr>
    </w:tbl>
    <w:p>
      <w:pPr>
        <w:spacing w:before="360" w:after="120"/>
      </w:pPr>
      <w:r>
        <w:rPr>
          <w:b/>
          <w:bCs/>
          <w:color w:val="28a745"/>
          <w:sz w:val="24"/>
          <w:szCs w:val="24"/>
        </w:rPr>
        <w:t xml:space="preserve">💡 RECOMMANDATION</w:t>
      </w:r>
    </w:p>
    <w:p>
      <w:pPr>
        <w:spacing w:after="120"/>
      </w:pPr>
      <w:r>
        <w:rPr>
          <w:sz w:val="20"/>
          <w:szCs w:val="20"/>
        </w:rPr>
        <w:t xml:space="preserve">Le Scénario 2 (275K CHF) offre le meilleur équilibre entre runway (18-22 mois jusqu'à break-even ou Seed), dilution modérée (16,92%) et valorisation attractive pour futurs tours. C'est le scénario recommandé pour ce tour pre-seed.</w:t>
      </w:r>
    </w:p>
    <w:p>
      <w:pPr>
        <w:pStyle w:val="Heading1"/>
      </w:pPr>
      <w:r>
        <w:t xml:space="preserve">PROJECTIONS TOURS FUTURS (Scénario 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Tour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Valorisation Pre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Dilution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Fondateurs</w:t>
            </w:r>
          </w:p>
        </w:tc>
      </w:tr>
      <w:tr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Situation actuelle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Aujourd'hui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Pre-Seed (ce tour)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M0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275K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1,35M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16,92%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83,08%</w:t>
            </w:r>
          </w:p>
        </w:tc>
      </w:tr>
      <w:tr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Seed (projection)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M15-18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1-2M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6-8M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12-20%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66-72%</w:t>
            </w:r>
          </w:p>
        </w:tc>
      </w:tr>
      <w:tr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Series A (projection)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M30-36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5-8M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20-30M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20-30%</w:t>
            </w:r>
          </w:p>
        </w:tc>
        <w:tc>
          <w:tcPr>
            <w:tcW w:type="dxa" w:w="156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46-58%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Notes sur les tours futurs :</w:t>
      </w:r>
    </w:p>
    <w:p>
      <w:pPr>
        <w:spacing left="360" w:after="90"/>
      </w:pPr>
      <w:r>
        <w:rPr>
          <w:sz w:val="20"/>
          <w:szCs w:val="20"/>
        </w:rPr>
        <w:t xml:space="preserve">• Seed : Conditional aux milestones (5-10K users, 50-100 tx/mois, GMV 80-120K/mois)</w:t>
      </w:r>
    </w:p>
    <w:p>
      <w:pPr>
        <w:spacing left="360" w:after="90"/>
      </w:pPr>
      <w:r>
        <w:rPr>
          <w:sz w:val="20"/>
          <w:szCs w:val="20"/>
        </w:rPr>
        <w:t xml:space="preserve">• Series A : Conditional à break-even ou croissance &gt;50% M/M</w:t>
      </w:r>
    </w:p>
    <w:p>
      <w:pPr>
        <w:spacing left="360" w:after="360"/>
      </w:pPr>
      <w:r>
        <w:rPr>
          <w:sz w:val="20"/>
          <w:szCs w:val="20"/>
        </w:rPr>
        <w:t xml:space="preserve">• Fondateurs conservent 46-58% après Series A (contrôle stratégique maintenu)</w:t>
      </w:r>
    </w:p>
    <w:p>
      <w:pPr>
        <w:pStyle w:val="Heading1"/>
      </w:pPr>
      <w:r>
        <w:t xml:space="preserve">OPTION POOL (ESOP) - À Créer Post-Investissement</w:t>
      </w:r>
    </w:p>
    <w:p>
      <w:pPr>
        <w:spacing w:before="180" w:after="120"/>
      </w:pPr>
      <w:r>
        <w:rPr>
          <w:i/>
          <w:iCs/>
          <w:color w:val="6c757d"/>
          <w:sz w:val="20"/>
          <w:szCs w:val="20"/>
        </w:rPr>
        <w:t xml:space="preserve">Recommandation : Créer un pool de 10-15% pour attirer talents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Bénéficiaire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Pool ESOP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CTO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3-5%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Développeurs seniors (2x)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1-2% chacun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M2-3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CMO Growth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2-3%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4 ans / cliff 1 an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Pool restant (futurs talents)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2-4%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M6+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Impact de l'ESOP sur le cap table (Scénario 2 + ESOP 15%)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Actionnaire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Avant ESOP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667e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Après ESOP 15%</w:t>
            </w:r>
          </w:p>
        </w:tc>
      </w:tr>
      <w:tr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Fondateurs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83,08%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70,62%</w:t>
            </w:r>
          </w:p>
        </w:tc>
      </w:tr>
      <w:tr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Investisseurs Pre-Seed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16,92%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0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14,38%</w:t>
            </w:r>
          </w:p>
        </w:tc>
      </w:tr>
      <w:tr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ESOP Pool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0%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212529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667eea" w:sz="1"/>
              <w:left w:val="single" w:color="667eea" w:sz="1"/>
              <w:bottom w:val="single" w:color="667eea" w:sz="1"/>
              <w:right w:val="single" w:color="667eea" w:sz="1"/>
            </w:tcBorders>
            <w:shd w:fill="ffc10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12529"/>
                <w:sz w:val="22"/>
                <w:szCs w:val="22"/>
              </w:rPr>
              <w:t xml:space="preserve">100%</w:t>
            </w:r>
          </w:p>
        </w:tc>
      </w:tr>
    </w:tbl>
    <w:p>
      <w:pPr>
        <w:spacing w:before="240" w:after="90"/>
      </w:pPr>
      <w:r>
        <w:rPr>
          <w:b/>
          <w:bCs/>
          <w:color w:val="ffc107"/>
          <w:sz w:val="20"/>
          <w:szCs w:val="20"/>
        </w:rPr>
        <w:t xml:space="preserve">⚠️ Note importante : </w:t>
      </w:r>
      <w:r>
        <w:rPr>
          <w:sz w:val="20"/>
          <w:szCs w:val="20"/>
        </w:rPr>
        <w:t xml:space="preserve">L'ESOP dilue proportionnellement tous les actionnaires. Il est recommandé de négocier sa création AVANT l'investissement pour éviter surprise post-closing.</w:t>
      </w:r>
    </w:p>
    <w:p>
      <w:pPr>
        <w:spacing w:before="720" w:after="120"/>
      </w:pPr>
      <w:r>
        <w:rPr>
          <w:b/>
          <w:bCs/>
          <w:color w:val="667eea"/>
          <w:sz w:val="24"/>
          <w:szCs w:val="24"/>
        </w:rPr>
        <w:t xml:space="preserve">MENTIONS LÉGALES &amp; NOTES</w:t>
      </w:r>
    </w:p>
    <w:p>
      <w:pPr>
        <w:spacing left="360" w:after="90"/>
      </w:pPr>
      <w:r>
        <w:rPr>
          <w:i/>
          <w:iCs/>
          <w:sz w:val="18"/>
          <w:szCs w:val="18"/>
        </w:rPr>
        <w:t xml:space="preserve">• Ce tableau est indicatif et sujet à négociation lors de la signature des accords définitifs</w:t>
      </w:r>
    </w:p>
    <w:p>
      <w:pPr>
        <w:spacing left="360" w:after="90"/>
      </w:pPr>
      <w:r>
        <w:rPr>
          <w:i/>
          <w:iCs/>
          <w:sz w:val="18"/>
          <w:szCs w:val="18"/>
        </w:rPr>
        <w:t xml:space="preserve">• Les valorisations sont estimées et peuvent être ajustées selon due diligence</w:t>
      </w:r>
    </w:p>
    <w:p>
      <w:pPr>
        <w:spacing left="360" w:after="90"/>
      </w:pPr>
      <w:r>
        <w:rPr>
          <w:i/>
          <w:iCs/>
          <w:sz w:val="18"/>
          <w:szCs w:val="18"/>
        </w:rPr>
        <w:t xml:space="preserve">• Vesting standard tech : 4 ans avec cliff 1 an (25% après 1 an, puis 1/48e mensuel)</w:t>
      </w:r>
    </w:p>
    <w:p>
      <w:pPr>
        <w:spacing left="360" w:after="90"/>
      </w:pPr>
      <w:r>
        <w:rPr>
          <w:i/>
          <w:iCs/>
          <w:sz w:val="18"/>
          <w:szCs w:val="18"/>
        </w:rPr>
        <w:t xml:space="preserve">• Actions ordinaires sauf mention contraire (pas de préférences liquidation à ce stade)</w:t>
      </w:r>
    </w:p>
    <w:p>
      <w:pPr>
        <w:spacing left="360" w:after="90"/>
      </w:pPr>
      <w:r>
        <w:rPr>
          <w:i/>
          <w:iCs/>
          <w:sz w:val="18"/>
          <w:szCs w:val="18"/>
        </w:rPr>
        <w:t xml:space="preserve">• Droits préférentiels standards : préemption, tag-along, drag-along (détails dans pacte actionnaires)</w:t>
      </w:r>
    </w:p>
    <w:p>
      <w:pPr>
        <w:spacing w:before="480"/>
        <w:jc w:val="center"/>
      </w:pPr>
      <w:r>
        <w:rPr>
          <w:i/>
          <w:iCs/>
          <w:color w:val="6c757d"/>
          <w:sz w:val="18"/>
          <w:szCs w:val="18"/>
        </w:rPr>
        <w:t xml:space="preserve">Document confidentiel | Février 2026 | Version 1.0</w:t>
      </w:r>
    </w:p>
    <w:p>
      <w:pPr>
        <w:spacing w:before="120"/>
        <w:jc w:val="center"/>
      </w:pPr>
      <w:r>
        <w:rPr>
          <w:i/>
          <w:iCs/>
          <w:color w:val="667eea"/>
          <w:sz w:val="18"/>
          <w:szCs w:val="18"/>
        </w:rPr>
        <w:t xml:space="preserve">Pour questions : [email@votreplateforme.com]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667ee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764ba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2026-02-27T13:46:59.175Z</dcterms:created>
  <dcterms:modified xsi:type="dcterms:W3CDTF">2026-02-27T13:46:59.176Z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