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00A896"/>
          <w:sz w:val="96"/>
          <w:szCs w:val="96"/>
        </w:rPr>
        <w:t xml:space="preserve">MedOS</w:t>
      </w:r>
    </w:p>
    <w:p>
      <w:pPr>
        <w:spacing w:before="0" w:after="80"/>
        <w:jc w:val="center"/>
      </w:pPr>
      <w:r>
        <w:rPr>
          <w:rFonts w:ascii="Arial" w:cs="Arial" w:eastAsia="Arial" w:hAnsi="Arial"/>
          <w:color w:val="475569"/>
          <w:sz w:val="40"/>
          <w:szCs w:val="40"/>
        </w:rPr>
        <w:t xml:space="preserve">Technical Architecture &amp; Data Model</w:t>
      </w:r>
    </w:p>
    <w:p>
      <w:pPr>
        <w:spacing w:before="40" w:after="40"/>
        <w:jc w:val="center"/>
      </w:pPr>
      <w:r>
        <w:rPr>
          <w:rFonts w:ascii="Arial" w:cs="Arial" w:eastAsia="Arial" w:hAnsi="Arial"/>
          <w:i/>
          <w:iCs/>
          <w:color w:val="475569"/>
          <w:sz w:val="26"/>
          <w:szCs w:val="26"/>
        </w:rPr>
        <w:t xml:space="preserve">Clinical Deployment Blueprint — v1.0</w:t>
      </w:r>
    </w:p>
    <w:p>
      <w:pPr>
        <w:spacing w:before="80" w:after="0"/>
      </w:pPr>
      <w:r>
        <w:t xml:space="preserve"/>
      </w:r>
    </w:p>
    <w:p>
      <w:pPr>
        <w:spacing w:before="40" w:after="40"/>
        <w:jc w:val="center"/>
      </w:pPr>
      <w:r>
        <w:rPr>
          <w:rFonts w:ascii="Arial" w:cs="Arial" w:eastAsia="Arial" w:hAnsi="Arial"/>
          <w:b/>
          <w:bCs/>
          <w:color w:val="00A896"/>
          <w:sz w:val="24"/>
          <w:szCs w:val="24"/>
        </w:rPr>
        <w:t xml:space="preserve">Lagos · London · Toronto</w:t>
      </w:r>
    </w:p>
    <w:p>
      <w:pPr>
        <w:spacing w:before="60" w:after="60"/>
        <w:jc w:val="center"/>
      </w:pPr>
      <w:r>
        <w:rPr>
          <w:rFonts w:ascii="Arial" w:cs="Arial" w:eastAsia="Arial" w:hAnsi="Arial"/>
          <w:color w:val="475569"/>
          <w:sz w:val="20"/>
          <w:szCs w:val="20"/>
        </w:rPr>
        <w:t xml:space="preserve">NDPR · GDPR · PIPEDA Compliant Design</w:t>
      </w:r>
    </w:p>
    <w:p>
      <w:pPr>
        <w:spacing w:before="200" w:after="0"/>
      </w:pPr>
      <w:r>
        <w:t xml:space="preserve"/>
      </w:r>
    </w:p>
    <w:p>
      <w:r>
        <w:br w:type="page"/>
      </w:r>
    </w:p>
    <w:p>
      <w:pPr>
        <w:pStyle w:val="Heading1"/>
        <w:pBdr>
          <w:bottom w:val="single" w:color="00A896" w:sz="6" w:space="4"/>
        </w:pBdr>
        <w:spacing w:before="360" w:after="160"/>
      </w:pPr>
      <w:r>
        <w:rPr>
          <w:rFonts w:ascii="Arial" w:cs="Arial" w:eastAsia="Arial" w:hAnsi="Arial"/>
          <w:b/>
          <w:bCs/>
          <w:color w:val="0A1628"/>
          <w:sz w:val="36"/>
          <w:szCs w:val="36"/>
        </w:rPr>
        <w:t xml:space="preserve">0. Design Principles</w:t>
      </w:r>
    </w:p>
    <w:p>
      <w:pPr>
        <w:spacing w:before="80" w:after="120"/>
      </w:pPr>
      <w:r>
        <w:rPr>
          <w:rFonts w:ascii="Arial" w:cs="Arial" w:eastAsia="Arial" w:hAnsi="Arial"/>
          <w:color w:val="0F172A"/>
          <w:sz w:val="22"/>
          <w:szCs w:val="22"/>
        </w:rPr>
        <w:t xml:space="preserve">Every architectural decision in MedOS is governed by five non-negotiable constraints derived from the multi-jurisdictional deployment context: Lagos GP clinics, UK primary care practices, and Canadian family medicine residencies.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0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86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r>
      <w:tr>
        <w:tc>
          <w:tcPr>
            <w:tcW w:type="dxa" w:w="3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Privacy by Design</w:t>
            </w:r>
          </w:p>
        </w:tc>
        <w:tc>
          <w:tcPr>
            <w:tcW w:type="dxa" w:w="3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Encryption and anonymisation are structural, not bolt-on.</w:t>
            </w:r>
          </w:p>
        </w:tc>
        <w:tc>
          <w:tcPr>
            <w:tcW w:type="dxa" w:w="28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NDPR, GDPR, PIPEDA violations</w:t>
            </w:r>
          </w:p>
        </w:tc>
      </w:tr>
      <w:tr>
        <w:tc>
          <w:tcPr>
            <w:tcW w:type="dxa" w:w="35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Local-First</w:t>
            </w:r>
          </w:p>
        </w:tc>
        <w:tc>
          <w:tcPr>
            <w:tcW w:type="dxa" w:w="3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Core function works without internet. Sync happens in background.</w:t>
            </w:r>
          </w:p>
        </w:tc>
        <w:tc>
          <w:tcPr>
            <w:tcW w:type="dxa" w:w="28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Network failure in Lagos power outage</w:t>
            </w:r>
          </w:p>
        </w:tc>
      </w:tr>
      <w:tr>
        <w:tc>
          <w:tcPr>
            <w:tcW w:type="dxa" w:w="3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Multi-Tenant Isolation</w:t>
            </w:r>
          </w:p>
        </w:tc>
        <w:tc>
          <w:tcPr>
            <w:tcW w:type="dxa" w:w="3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Each clinic is a fully isolated data partition.</w:t>
            </w:r>
          </w:p>
        </w:tc>
        <w:tc>
          <w:tcPr>
            <w:tcW w:type="dxa" w:w="28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Cross-clinic data leakage</w:t>
            </w:r>
          </w:p>
        </w:tc>
      </w:tr>
      <w:tr>
        <w:tc>
          <w:tcPr>
            <w:tcW w:type="dxa" w:w="35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Audit-Everything</w:t>
            </w:r>
          </w:p>
        </w:tc>
        <w:tc>
          <w:tcPr>
            <w:tcW w:type="dxa" w:w="3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Every read, write, override is logged immutably.</w:t>
            </w:r>
          </w:p>
        </w:tc>
        <w:tc>
          <w:tcPr>
            <w:tcW w:type="dxa" w:w="28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Regulatory non-compliance; medico-legal liability</w:t>
            </w:r>
          </w:p>
        </w:tc>
      </w:tr>
      <w:tr>
        <w:tc>
          <w:tcPr>
            <w:tcW w:type="dxa" w:w="3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Schema-Versioned Logic</w:t>
            </w:r>
          </w:p>
        </w:tc>
        <w:tc>
          <w:tcPr>
            <w:tcW w:type="dxa" w:w="3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Scoring rules (CURB-65, CHA₂DS₂-VASc) live in versioned DB rows, not code.</w:t>
            </w:r>
          </w:p>
        </w:tc>
        <w:tc>
          <w:tcPr>
            <w:tcW w:type="dxa" w:w="28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Information rot when guidelines change</w:t>
            </w:r>
          </w:p>
        </w:tc>
      </w:tr>
    </w:tbl>
    <w:p>
      <w:pPr>
        <w:spacing w:before="160" w:after="0"/>
      </w:pPr>
      <w:r>
        <w:t xml:space="preserve"/>
      </w:r>
    </w:p>
    <w:p>
      <w:r>
        <w:br w:type="page"/>
      </w:r>
    </w:p>
    <w:p>
      <w:pPr>
        <w:pStyle w:val="Heading1"/>
        <w:pBdr>
          <w:bottom w:val="single" w:color="00A896" w:sz="6" w:space="4"/>
        </w:pBdr>
        <w:spacing w:before="360" w:after="160"/>
      </w:pPr>
      <w:r>
        <w:rPr>
          <w:rFonts w:ascii="Arial" w:cs="Arial" w:eastAsia="Arial" w:hAnsi="Arial"/>
          <w:b/>
          <w:bCs/>
          <w:color w:val="0A1628"/>
          <w:sz w:val="36"/>
          <w:szCs w:val="36"/>
        </w:rPr>
        <w:t xml:space="preserve">1. System Architecture Overview</w:t>
      </w:r>
    </w:p>
    <w:p>
      <w:pPr>
        <w:spacing w:before="80" w:after="120"/>
      </w:pPr>
      <w:r>
        <w:rPr>
          <w:rFonts w:ascii="Arial" w:cs="Arial" w:eastAsia="Arial" w:hAnsi="Arial"/>
          <w:color w:val="0F172A"/>
          <w:sz w:val="22"/>
          <w:szCs w:val="22"/>
        </w:rPr>
        <w:t xml:space="preserve">MedOS separates into three deployment tiers. The frontend is a React progressive web app (PWA) with PouchDB for local-first persistence. The backend is a Node.js / Express REST + WebSocket API. The data tier is PostgreSQL (primary) with optional Neo4j for the Knowledge Graph graph queries.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none" w:color="FFFFFF" w:sz="0"/>
              <w:left w:val="none" w:color="FFFFFF" w:sz="0"/>
              <w:bottom w:val="none" w:color="FFFFFF" w:sz="0"/>
              <w:right w:val="none" w:color="FFFFFF" w:sz="0"/>
            </w:tcBorders>
            <w:shd w:fill="00A89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FRONTEND</w:t>
            </w:r>
          </w:p>
        </w:tc>
        <w:tc>
          <w:tcPr>
            <w:tcBorders>
              <w:top w:val="none" w:color="FFFFFF" w:sz="0"/>
              <w:left w:val="none" w:color="FFFFFF" w:sz="0"/>
              <w:bottom w:val="none" w:color="FFFFFF" w:sz="0"/>
              <w:right w:val="none" w:color="FFFFFF" w:sz="0"/>
            </w:tcBorders>
            <w:shd w:fill="0369A1"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BACKEND</w:t>
            </w:r>
          </w:p>
        </w:tc>
        <w:tc>
          <w:tcPr>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DATA TIER</w:t>
            </w:r>
          </w:p>
        </w:tc>
      </w:tr>
      <w:tr>
        <w:tc>
          <w:tcPr>
            <w:tcBorders>
              <w:top w:val="none" w:color="FFFFFF" w:sz="0"/>
              <w:left w:val="single" w:color="00A896" w:sz="8"/>
              <w:bottom w:val="none" w:color="FFFFFF" w:sz="0"/>
              <w:right w:val="none" w:color="FFFFFF" w:sz="0"/>
            </w:tcBorders>
            <w:shd w:fill="E6F7F5" w:val="clear"/>
            <w:tcMar>
              <w:top w:type="dxa" w:w="100"/>
              <w:left w:type="dxa" w:w="140"/>
              <w:bottom w:type="dxa" w:w="100"/>
              <w:right w:type="dxa" w:w="140"/>
            </w:tcMar>
            <w:vAlign w:val="top"/>
          </w:tcPr>
          <w:p>
            <w:pPr>
              <w:spacing w:before="80" w:after="120"/>
            </w:pPr>
            <w:r>
              <w:rPr>
                <w:rFonts w:ascii="Arial" w:cs="Arial" w:eastAsia="Arial" w:hAnsi="Arial"/>
                <w:color w:val="0F172A"/>
                <w:sz w:val="22"/>
                <w:szCs w:val="22"/>
              </w:rPr>
              <w:t xml:space="preserve">React 18 PWA</w:t>
            </w:r>
          </w:p>
          <w:p>
            <w:pPr>
              <w:spacing w:before="80" w:after="120"/>
            </w:pPr>
            <w:r>
              <w:rPr>
                <w:rFonts w:ascii="Arial" w:cs="Arial" w:eastAsia="Arial" w:hAnsi="Arial"/>
                <w:color w:val="0F172A"/>
                <w:sz w:val="22"/>
                <w:szCs w:val="22"/>
              </w:rPr>
              <w:t xml:space="preserve">PouchDB (IndexedDB local store)</w:t>
            </w:r>
          </w:p>
          <w:p>
            <w:pPr>
              <w:spacing w:before="80" w:after="120"/>
            </w:pPr>
            <w:r>
              <w:rPr>
                <w:rFonts w:ascii="Arial" w:cs="Arial" w:eastAsia="Arial" w:hAnsi="Arial"/>
                <w:color w:val="0F172A"/>
                <w:sz w:val="22"/>
                <w:szCs w:val="22"/>
              </w:rPr>
              <w:t xml:space="preserve">WebSocket client (voice stream)</w:t>
            </w:r>
          </w:p>
          <w:p>
            <w:pPr>
              <w:spacing w:before="80" w:after="120"/>
            </w:pPr>
            <w:r>
              <w:rPr>
                <w:rFonts w:ascii="Arial" w:cs="Arial" w:eastAsia="Arial" w:hAnsi="Arial"/>
                <w:color w:val="0F172A"/>
                <w:sz w:val="22"/>
                <w:szCs w:val="22"/>
              </w:rPr>
              <w:t xml:space="preserve">Offline-first service worker</w:t>
            </w:r>
          </w:p>
          <w:p>
            <w:pPr>
              <w:spacing w:before="80" w:after="120"/>
            </w:pPr>
            <w:r>
              <w:rPr>
                <w:rFonts w:ascii="Arial" w:cs="Arial" w:eastAsia="Arial" w:hAnsi="Arial"/>
                <w:color w:val="0F172A"/>
                <w:sz w:val="22"/>
                <w:szCs w:val="22"/>
              </w:rPr>
              <w:t xml:space="preserve">JWT token refresh logic</w:t>
            </w:r>
          </w:p>
        </w:tc>
        <w:tc>
          <w:tcPr>
            <w:tcBorders>
              <w:top w:val="none" w:color="FFFFFF" w:sz="0"/>
              <w:left w:val="single" w:color="0369A1" w:sz="8"/>
              <w:bottom w:val="none" w:color="FFFFFF" w:sz="0"/>
              <w:right w:val="none" w:color="FFFFFF" w:sz="0"/>
            </w:tcBorders>
            <w:shd w:fill="E0F2FE" w:val="clear"/>
            <w:tcMar>
              <w:top w:type="dxa" w:w="100"/>
              <w:left w:type="dxa" w:w="140"/>
              <w:bottom w:type="dxa" w:w="100"/>
              <w:right w:type="dxa" w:w="140"/>
            </w:tcMar>
            <w:vAlign w:val="top"/>
          </w:tcPr>
          <w:p>
            <w:pPr>
              <w:spacing w:before="80" w:after="120"/>
            </w:pPr>
            <w:r>
              <w:rPr>
                <w:rFonts w:ascii="Arial" w:cs="Arial" w:eastAsia="Arial" w:hAnsi="Arial"/>
                <w:color w:val="0F172A"/>
                <w:sz w:val="22"/>
                <w:szCs w:val="22"/>
              </w:rPr>
              <w:t xml:space="preserve">Node.js 20 + Express</w:t>
            </w:r>
          </w:p>
          <w:p>
            <w:pPr>
              <w:spacing w:before="80" w:after="120"/>
            </w:pPr>
            <w:r>
              <w:rPr>
                <w:rFonts w:ascii="Arial" w:cs="Arial" w:eastAsia="Arial" w:hAnsi="Arial"/>
                <w:color w:val="0F172A"/>
                <w:sz w:val="22"/>
                <w:szCs w:val="22"/>
              </w:rPr>
              <w:t xml:space="preserve">FastAPI (Python) — V2SN engine</w:t>
            </w:r>
          </w:p>
          <w:p>
            <w:pPr>
              <w:spacing w:before="80" w:after="120"/>
            </w:pPr>
            <w:r>
              <w:rPr>
                <w:rFonts w:ascii="Arial" w:cs="Arial" w:eastAsia="Arial" w:hAnsi="Arial"/>
                <w:color w:val="0F172A"/>
                <w:sz w:val="22"/>
                <w:szCs w:val="22"/>
              </w:rPr>
              <w:t xml:space="preserve">WebSocket server (Whisper stream)</w:t>
            </w:r>
          </w:p>
          <w:p>
            <w:pPr>
              <w:spacing w:before="80" w:after="120"/>
            </w:pPr>
            <w:r>
              <w:rPr>
                <w:rFonts w:ascii="Arial" w:cs="Arial" w:eastAsia="Arial" w:hAnsi="Arial"/>
                <w:color w:val="0F172A"/>
                <w:sz w:val="22"/>
                <w:szCs w:val="22"/>
              </w:rPr>
              <w:t xml:space="preserve">Bull / Redis (job queues)</w:t>
            </w:r>
          </w:p>
          <w:p>
            <w:pPr>
              <w:spacing w:before="80" w:after="120"/>
            </w:pPr>
            <w:r>
              <w:rPr>
                <w:rFonts w:ascii="Arial" w:cs="Arial" w:eastAsia="Arial" w:hAnsi="Arial"/>
                <w:color w:val="0F172A"/>
                <w:sz w:val="22"/>
                <w:szCs w:val="22"/>
              </w:rPr>
              <w:t xml:space="preserve">Twilio / WhatsApp Business API</w:t>
            </w:r>
          </w:p>
        </w:tc>
        <w:tc>
          <w:tcPr>
            <w:tcBorders>
              <w:top w:val="none" w:color="FFFFFF" w:sz="0"/>
              <w:left w:val="single" w:color="0A1628" w:sz="8"/>
              <w:bottom w:val="none" w:color="FFFFFF" w:sz="0"/>
              <w:right w:val="none" w:color="FFFFFF" w:sz="0"/>
            </w:tcBorders>
            <w:shd w:fill="F1F5F9" w:val="clear"/>
            <w:tcMar>
              <w:top w:type="dxa" w:w="100"/>
              <w:left w:type="dxa" w:w="140"/>
              <w:bottom w:type="dxa" w:w="100"/>
              <w:right w:type="dxa" w:w="140"/>
            </w:tcMar>
            <w:vAlign w:val="top"/>
          </w:tcPr>
          <w:p>
            <w:pPr>
              <w:spacing w:before="80" w:after="120"/>
            </w:pPr>
            <w:r>
              <w:rPr>
                <w:rFonts w:ascii="Arial" w:cs="Arial" w:eastAsia="Arial" w:hAnsi="Arial"/>
                <w:color w:val="0F172A"/>
                <w:sz w:val="22"/>
                <w:szCs w:val="22"/>
              </w:rPr>
              <w:t xml:space="preserve">PostgreSQL 16 (primary)</w:t>
            </w:r>
          </w:p>
          <w:p>
            <w:pPr>
              <w:spacing w:before="80" w:after="120"/>
            </w:pPr>
            <w:r>
              <w:rPr>
                <w:rFonts w:ascii="Arial" w:cs="Arial" w:eastAsia="Arial" w:hAnsi="Arial"/>
                <w:color w:val="0F172A"/>
                <w:sz w:val="22"/>
                <w:szCs w:val="22"/>
              </w:rPr>
              <w:t xml:space="preserve">Neo4j (Knowledge Graph, Phase 2)</w:t>
            </w:r>
          </w:p>
          <w:p>
            <w:pPr>
              <w:spacing w:before="80" w:after="120"/>
            </w:pPr>
            <w:r>
              <w:rPr>
                <w:rFonts w:ascii="Arial" w:cs="Arial" w:eastAsia="Arial" w:hAnsi="Arial"/>
                <w:color w:val="0F172A"/>
                <w:sz w:val="22"/>
                <w:szCs w:val="22"/>
              </w:rPr>
              <w:t xml:space="preserve">Redis (cache + session)</w:t>
            </w:r>
          </w:p>
          <w:p>
            <w:pPr>
              <w:spacing w:before="80" w:after="120"/>
            </w:pPr>
            <w:r>
              <w:rPr>
                <w:rFonts w:ascii="Arial" w:cs="Arial" w:eastAsia="Arial" w:hAnsi="Arial"/>
                <w:color w:val="0F172A"/>
                <w:sz w:val="22"/>
                <w:szCs w:val="22"/>
              </w:rPr>
              <w:t xml:space="preserve">S3-compatible (audio blobs)</w:t>
            </w:r>
          </w:p>
          <w:p>
            <w:pPr>
              <w:spacing w:before="80" w:after="120"/>
            </w:pPr>
            <w:r>
              <w:rPr>
                <w:rFonts w:ascii="Arial" w:cs="Arial" w:eastAsia="Arial" w:hAnsi="Arial"/>
                <w:color w:val="0F172A"/>
                <w:sz w:val="22"/>
                <w:szCs w:val="22"/>
              </w:rPr>
              <w:t xml:space="preserve">Supabase Realtime (Phase 1 option)</w:t>
            </w:r>
          </w:p>
        </w:tc>
      </w:tr>
    </w:tbl>
    <w:p>
      <w:pPr>
        <w:spacing w:before="160" w:after="0"/>
      </w:pPr>
      <w:r>
        <w:t xml:space="preserve"/>
      </w:r>
    </w:p>
    <w:p>
      <w:r>
        <w:br w:type="page"/>
      </w:r>
    </w:p>
    <w:p>
      <w:pPr>
        <w:pStyle w:val="Heading1"/>
        <w:pBdr>
          <w:bottom w:val="single" w:color="00A896" w:sz="6" w:space="4"/>
        </w:pBdr>
        <w:spacing w:before="360" w:after="160"/>
      </w:pPr>
      <w:r>
        <w:rPr>
          <w:rFonts w:ascii="Arial" w:cs="Arial" w:eastAsia="Arial" w:hAnsi="Arial"/>
          <w:b/>
          <w:bCs/>
          <w:color w:val="0A1628"/>
          <w:sz w:val="36"/>
          <w:szCs w:val="36"/>
        </w:rPr>
        <w:t xml:space="preserve">2. PostgreSQL Data Schema</w:t>
      </w:r>
    </w:p>
    <w:p>
      <w:pPr>
        <w:spacing w:before="80" w:after="120"/>
      </w:pPr>
      <w:r>
        <w:rPr>
          <w:rFonts w:ascii="Arial" w:cs="Arial" w:eastAsia="Arial" w:hAnsi="Arial"/>
          <w:color w:val="0F172A"/>
          <w:sz w:val="22"/>
          <w:szCs w:val="22"/>
        </w:rPr>
        <w:t xml:space="preserve">The schema follows a multi-tenant architecture where every table is partitioned by organisation_id. Row-level security (RLS) policies enforce tenant isolation at the database layer — not the application layer. This is the critical compliance boundary.</w:t>
      </w:r>
    </w:p>
    <w:p>
      <w:pPr>
        <w:pStyle w:val="Heading2"/>
        <w:spacing w:before="280" w:after="120"/>
      </w:pPr>
      <w:r>
        <w:rPr>
          <w:rFonts w:ascii="Arial" w:cs="Arial" w:eastAsia="Arial" w:hAnsi="Arial"/>
          <w:b/>
          <w:bCs/>
          <w:color w:val="0A1628"/>
          <w:sz w:val="26"/>
          <w:szCs w:val="26"/>
        </w:rPr>
        <w:t xml:space="preserve">2.1 Extensions &amp; Global Configuration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Enable required extensions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EXTENSION IF NOT EXISTS "uuid-ossp";     -- UUID generation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EXTENSION IF NOT EXISTS "pgcrypto";       -- AES encryption functions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EXTENSION IF NOT EXISTS "pg_trgm";        -- Trigram fuzzy search</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EXTENSION IF NOT EXISTS "btree_gist";     -- Compound indexes on ranges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Enable Row-Level Security globally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ALTER DATABASE medos SET row_security = on;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Timezone (always store UTC, convert at API layer)</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ALTER DATABASE medos SET timezone = 'UTC';</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2.2 Organisations — Multi-Tenant Root</w:t>
      </w:r>
    </w:p>
    <w:p>
      <w:pPr>
        <w:spacing w:before="80" w:after="120"/>
      </w:pPr>
      <w:r>
        <w:rPr>
          <w:rFonts w:ascii="Arial" w:cs="Arial" w:eastAsia="Arial" w:hAnsi="Arial"/>
          <w:color w:val="0F172A"/>
          <w:sz w:val="22"/>
          <w:szCs w:val="22"/>
        </w:rPr>
        <w:t xml:space="preserve">Every record in the system links to an organisation. This is the tenant boundary. Clinics in Lagos, London, and Toronto are separate organisations with zero data crossover at the SQL layer.</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organisations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name          TEXT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country       TEXT NOT NULL,                 -- 'NG' | 'GB' | 'CA'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timezone      TEXT NOT NULL DEFAULT 'UTC',   -- e.g. 'Africa/Lagos'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compliance    TEXT[] DEFAULT '{}',           -- ['NDPR','GDPR','PIPEDA']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plan          TEXT DEFAULT 'starter',        -- starter | pro | enterprise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formulary_id  UUID REFERENCES formularies(id),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settings      JSONB DEFAULT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is_active     BOOLEAN DEFAULT TRUE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Index for fast lookup</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idx_orgs_country ON organisations(country);</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2.3 Users — Doctors, Nurses, Admins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users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organisation_id  UUID NOT NULL REFERENCES organisations(id) ON DELETE CASCADE,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email            TEXT NOT NULL UNIQUE,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NEVER store plaintext passwords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password_hash    TEXT NOT NULL,              -- bcrypt, rounds &gt;= 12</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full_name        TEXT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role             TEXT NOT NULL DEFAULT 'doctor',  -- doctor|nurse|admin|registrar</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speciality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gmc_number       TEXT UNIQUE,               -- UK: GMC | NG: MDCN | CA: CPSO</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mfa_secret       TEXT,                      -- TOTP seed, encrypted at rest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last_login       TIMESTAMPTZ,</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session_timeout  INTEGER DEFAULT 900,        -- seconds (15min default)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preferences      JSONB DEFAULT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is_active        BOOLEAN DEFAULT TRUE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RLS: users can only see their own organisation's users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ALTER TABLE users ENABLE ROW LEVEL SECURITY;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POLICY org_isolation ON users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USING (organisation_id = current_setting('app.current_org_id')::UUID);</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2.4 Patients</w:t>
      </w:r>
    </w:p>
    <w:p>
      <w:pPr>
        <w:spacing w:before="80" w:after="120"/>
      </w:pPr>
      <w:r>
        <w:rPr>
          <w:rFonts w:ascii="Arial" w:cs="Arial" w:eastAsia="Arial" w:hAnsi="Arial"/>
          <w:color w:val="0F172A"/>
          <w:sz w:val="22"/>
          <w:szCs w:val="22"/>
        </w:rPr>
        <w:t xml:space="preserve">Patient PII (name, phone, DOB) is AES-256 encrypted at rest using PostgreSQL's pgcrypto extension. The encryption key is managed per-organisation via a KMS (AWS KMS or Hashicorp Vault). Unencrypted columns are used only for anonymous analytics.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patients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organisation_id  UUID NOT NULL REFERENCES organisations(id) ON DELETE CASCADE,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PII: AES-256 encrypted (decrypt only at API layer with org key)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name_encrypted   BYTEA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dob_encrypted    BYTEA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phone_encrypted  BYTEA,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email_encrypted  BYTEA,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Non-PII: usable for analytics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mrn              TEXT UNIQUE,               -- Medical Record Number</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sex              TEXT,                       -- 'M' | 'F' | 'Other'</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year_of_birth    INTEGER,                   -- Year only (not DOB) for analytics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blood_group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allergies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chronic_codes    TEXT[],                    -- ICD-10 codes for chronic conditions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risk_score       INTEGER DEFAULT 0,          -- Computed: 0-100 (L2 engine input)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Consent management (critical for GDPR/NDPR)</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consent_data_sharing  BOOLEAN DEFAULT FALSE,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consent_sms_reminders BOOLEAN DEFAULT FALSE,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consent_research      BOOLEAN DEFAULT FALSE,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consent_updated_at    TIMESTAMPTZ,</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created_by   UUID REFERENCES users(id),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updated_at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ALTER TABLE patients ENABLE ROW LEVEL SECURITY;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POLICY org_isolation ON patients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USING (organisation_id = current_setting('app.current_org_id')::UUID);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idx_patients_org_mrn ON patients(organisation_id, mrn);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idx_patients_chronic ON patients USING GIN(chronic_codes);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idx_patients_risk ON patients(organisation_id, risk_score DESC);</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2.5 Clinical Notes — Core SOAP Store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clinical_notes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organisation_id  UUID NOT NULL REFERENCES organisations(id),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patient_id       UUID NOT NULL REFERENCES patients(id),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author_id        UUID NOT NULL REFERENCES users(id),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Status machine: draft -&gt; extracted -&gt; verified -&gt; signed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status           TEXT NOT NULL DEFAULT 'draft'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CHECK (status IN ('draft','extracted','verified','signed')),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Raw transcript from V2SN voice engine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raw_transcript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transcript_lang  TEXT DEFAULT 'en-GB',</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Structured SOAP fields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soap_data JSONB NOT NULL DEFAULT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Schema: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cc:   string,   -- Chief Complaint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hx:   string,   -- History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exam: string,   -- Examination findings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imp:  string,   -- Impression / Diagnosis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plan: string    -- Plan (pre-extraction)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Extracted structured entities (post-NLP)</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structured_data JSONB DEFAULT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Schema: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diagnoses: [{ icd10: string, description: string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medications: [{ name, dose, unit, freq, status, confirmed, override_reason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follow_up: { description, target_date, priority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vitals: { bp_sys, bp_dia, hr, rr, temp, spo2, weight_kg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Template and context metadata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template_used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icd10_codes      TEXT[],    -- Extracted diagnosis codes (indexed)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Signing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signed_at        TIMESTAMPTZ,</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signed_by        UUID REFERENCES users(id),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signature_hash   TEXT,      -- SHA-256 of final note content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Audit timestamps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updated_at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ALTER TABLE clinical_notes ENABLE ROW LEVEL SECURITY;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POLICY org_isolation ON clinical_notes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USING (organisation_id = current_setting('app.current_org_id')::UUID);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Performance indexes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idx_notes_patient   ON clinical_notes(patient_id, created_at DESC);</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idx_notes_author    ON clinical_notes(author_id, created_at DESC);</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idx_notes_icd10     ON clinical_notes USING GIN(icd10_codes);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idx_notes_status    ON clinical_notes(organisation_id, status);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Full-text search on SOAP content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idx_notes_fts ON clinical_notes USING GIN(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to_tsvector('english', soap_data-&gt;&gt;'cc' || ' ' || soap_data-&gt;&gt;'plan')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2.6 Medication Safety Log — Confirmation Loop Audit</w:t>
      </w:r>
    </w:p>
    <w:p>
      <w:pPr>
        <w:spacing w:before="80" w:after="120"/>
      </w:pPr>
      <w:r>
        <w:rPr>
          <w:rFonts w:ascii="Arial" w:cs="Arial" w:eastAsia="Arial" w:hAnsi="Arial"/>
          <w:color w:val="0F172A"/>
          <w:sz w:val="22"/>
          <w:szCs w:val="22"/>
        </w:rPr>
        <w:t xml:space="preserve">Every medication extracted from a note, its validation result, and the clinician's confirmation action is stored immutably. This is the audit trail for the Dead-Man's Switch.</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medication_safety_log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note_id         UUID NOT NULL REFERENCES clinical_notes(id) ON DELETE CASCADE,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organisation_id UUID NOT NULL REFERENCES organisations(id),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drug_name       TEXT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dose_value      NUMERIC(10,2)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dose_unit       TEXT NOT NULL,     -- mg | mcg | g | IU | units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frequency       TEXT NOT NULL,     -- OD | BD | TDS | QDS | PRN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Validation result from formulary cross-reference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validation_status TEXT NOT NULL    -- 'amber' | 'danger' | 'unknown'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CHECK (validation_status IN ('amber','danger','unknown')),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formulary_version TEXT,            -- e.g. 'BNF-2024-09' | 'NAFDAC-2024'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min_safe_dose    NUMERIC(10,2),</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max_safe_dose    NUMERIC(10,2),</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is_high_alert    BOOLEAN DEFAULT FALSE,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Clinician action (the confirmation gate outcome)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action           TEXT             -- 'confirmed' | 'overridden' | 'redictated'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CHECK (action IN ('confirmed','overridden','redictated')),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override_reason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acted_by         UUID REFERENCES users(id),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acted_at         TIMESTAMPTZ,</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extracted_at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Immutable: no updates permitted on this table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RULE no_update AS ON UPDATE TO medication_safety_log DO INSTEAD NOTHING;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RULE no_delete AS ON DELETE TO medication_safety_log DO INSTEAD NOTHING;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idx_medlog_note   ON medication_safety_log(note_id);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idx_medlog_drug   ON medication_safety_log(drug_name, acted_at);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idx_medlog_alerts ON medication_safety_log(is_high_alert, action);</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2.7 Follow-Up Engine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follow_ups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organisation_id  UUID NOT NULL REFERENCES organisations(id),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patient_id       UUID NOT NULL REFERENCES patients(id),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note_id          UUID REFERENCES clinical_notes(id),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created_by       UUID NOT NULL REFERENCES users(id),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description      TEXT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target_date      DATE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priority         TEXT DEFAULT 'normal'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CHECK (priority IN ('urgent','high','normal','low')),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Auto-computed risk flag (cron job updates this)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risk_level       TEXT DEFAULT 'low'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CHECK (risk_level IN ('high','medium','low')),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days_overdue     INTEGER GENERATED ALWAYS AS (GREATEST(0, NOW()::DATE - target_date)) STORED,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Reminder tracking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reminder_sent_at   TIMESTAMPTZ[],         -- Log all reminder timestamps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reminder_channel   TEXT DEFAULT 'sms',    -- 'sms' | 'whatsapp' | 'email'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next_reminder_at   TIMESTAMPTZ,</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escalation_level   INTEGER DEFAULT 0,     -- 0=none,1=1st,2=2nd,3=escalated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Resolution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status           TEXT DEFAULT 'pending'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CHECK (status IN ('pending','completed','missed','cancelled')),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completed_at     TIMESTAMPTZ,</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completed_note   UUID REFERENCES clinical_notes(id),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ALTER TABLE follow_ups ENABLE ROW LEVEL SECURITY;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POLICY org_isolation ON follow_ups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USING (organisation_id = current_setting('app.current_org_id')::UUID);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idx_fu_patient_date ON follow_ups(patient_id, target_date);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idx_fu_pending      ON follow_ups(organisation_id, status, target_date)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WHERE status = 'pending';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idx_fu_overdue      ON follow_ups(organisation_id, days_overdue DESC)</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WHERE status = 'pending';</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2.8 Formulary — Versioned Drug Safety Database</w:t>
      </w:r>
    </w:p>
    <w:p>
      <w:pPr>
        <w:spacing w:before="80" w:after="120"/>
      </w:pPr>
      <w:r>
        <w:rPr>
          <w:rFonts w:ascii="Arial" w:cs="Arial" w:eastAsia="Arial" w:hAnsi="Arial"/>
          <w:color w:val="0F172A"/>
          <w:sz w:val="22"/>
          <w:szCs w:val="22"/>
        </w:rPr>
        <w:t xml:space="preserve">The formulary is per-organisation and versioned. When the British National Formulary (BNF) updates, a new formulary version is inserted without deleting historical data. The scoring logic in Layer 4 queries the active version for the clinic's country.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formularies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name       TEXT NOT NULL,      -- 'BNF-2024-Q4' | 'NAFDAC-NG-2024' | 'HC-CA-2024'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country    TEXT NOT NULL,      -- 'GB' | 'NG' | 'CA'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version    TEXT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is_active  BOOLEAN DEFAULT TRUE,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formulary_drugs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formulary_id   UUID NOT NULL REFERENCES formularies(id),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drug_name      TEXT NOT NULL,         -- normalised lowercase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drug_aliases   TEXT[],               -- ['co-amoxiclav','augmentin','clavulanate']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category       TEXT,                 -- 'antibiotic' | 'antihypertensive' |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is_high_alert  BOOLEAN DEFAULT FALSE,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Dose ranges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adult_min_dose   NUMERIC(10,2),</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adult_max_dose   NUMERIC(10,2),</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paed_dose_per_kg NUMERIC(10,2),</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dose_unit        TEXT NOT NULL,       -- 'mg' | 'mcg' | 'g'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valid_frequencies TEXT[],            -- ['OD','BD','TDS']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Renal adjustment thresholds (Cockcroft-Gault CrCl in mL/min)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renal_caution_crcl  NUMERIC(6,2),    -- e.g. 45</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renal_avoid_crcl    NUMERIC(6,2),    -- e.g. 30</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renal_note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Clinical guidance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clinical_note  TEXT,                 -- Safe-prescribing tip</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guideline_url  TEXT,                 -- Source link (NICE/NAFDAC/Health Canada)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guideline_ref  TEXT,                 -- e.g. 'NICE NG238, 2023'</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Interaction flags (top-100 pairs, full engine in Phase 2)</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interaction_flags JSONB DEFAULT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Schema: [{ drug: string, severity: 'major'|'moderate'|'minor', note: string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UNIQUE (formulary_id, drug_name)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idx_formulary_drugs_name  ON formulary_drugs USING GIN(drug_aliases);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idx_formulary_drugs_alert ON formulary_drugs(formulary_id, is_high_alert);</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2.9 Clinical Scoring Rules — Versioned Backend Logic</w:t>
      </w:r>
    </w:p>
    <w:p>
      <w:pPr>
        <w:spacing w:before="80" w:after="120"/>
      </w:pPr>
      <w:r>
        <w:rPr>
          <w:rFonts w:ascii="Arial" w:cs="Arial" w:eastAsia="Arial" w:hAnsi="Arial"/>
          <w:color w:val="0F172A"/>
          <w:sz w:val="22"/>
          <w:szCs w:val="22"/>
        </w:rPr>
        <w:t xml:space="preserve">This directly addresses the Information Rot problem. CURB-65 weights and CHA₂DS₂-VASc interpretation live as versioned rows, not hardcoded frontend logic. If the British Thoracic Society updates CAP guidance, an admin inserts a new row and sets is_active = TRUE.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clinical_scores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name        TEXT NOT NULL,      -- 'CURB-65' | 'CHA2DS2-VASc' | 'WELLS-DVT'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version     TEXT NOT NULL,      -- 'BTS-2023' | 'ESC-2020'</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country     TEXT[],            -- Applicable countries: ['GB','NG','CA']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is_active   BOOLEAN DEFAULT TRUE,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guideline_source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guideline_url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Score components as versioned JSON (not hardcoded in frontend)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components  JSONB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Schema for CURB-65:</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 id: 'confusion', label: 'New-onset confusion', points: 1, description: '...'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Risk interpretation bands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risk_bands  JSONB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Schema: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 min: 0, max: 1, risk: 'Low', colour: 'teal', action: 'Outpatient...'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Seed: active CURB-65</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INSERT INTO clinical_scores (name, version, country, guideline_source, components, risk_bands)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VALUES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'CURB-65', 'BTS-2023', ARRAY['GB','NG','CA'],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'British Thoracic Society CAP Guidelines 2023',</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{"id":"confusion","label":"New-onset confusion","points":1},</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{"id":"urea",     "label":"Blood urea &gt;7 mmol/L","points":1},</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{"id":"rr",       "label":"Respiratory rate &gt;=30/min","points":1},</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{"id":"bp",       "label":"SBP &lt;90 or DBP &lt;=60 mmHg","points":1},</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{"id":"age",      "label":"Age &gt;= 65","points":1}</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{"min":0,"max":1,"risk":"Low",   "action":"Outpatient treatment appropriate"},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{"min":2,"max":2,"risk":"Moderate","action":"Short admission or hospital-at-home"},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{"min":3,"max":5,"risk":"High",   "action":"Hospital admission; consider HDU if &gt;=4"}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spacing w:before="120" w:after="0"/>
      </w:pPr>
      <w:r>
        <w:t xml:space="preserve"/>
      </w:r>
    </w:p>
    <w:p>
      <w:r>
        <w:br w:type="page"/>
      </w:r>
    </w:p>
    <w:p>
      <w:pPr>
        <w:pStyle w:val="Heading2"/>
        <w:spacing w:before="280" w:after="120"/>
      </w:pPr>
      <w:r>
        <w:rPr>
          <w:rFonts w:ascii="Arial" w:cs="Arial" w:eastAsia="Arial" w:hAnsi="Arial"/>
          <w:b/>
          <w:bCs/>
          <w:color w:val="0A1628"/>
          <w:sz w:val="26"/>
          <w:szCs w:val="26"/>
        </w:rPr>
        <w:t xml:space="preserve">2.10 Knowledge Graph — Nodes and Edges</w:t>
      </w:r>
    </w:p>
    <w:p>
      <w:pPr>
        <w:spacing w:before="80" w:after="120"/>
      </w:pPr>
      <w:r>
        <w:rPr>
          <w:rFonts w:ascii="Arial" w:cs="Arial" w:eastAsia="Arial" w:hAnsi="Arial"/>
          <w:color w:val="0F172A"/>
          <w:sz w:val="22"/>
          <w:szCs w:val="22"/>
        </w:rPr>
        <w:t xml:space="preserve">The Knowledge Graph is implemented first as a relational graph in PostgreSQL (Phase 1: two tables). If query complexity demands it, this schema can be migrated to Neo4j without changing the API contract.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knowledge_nodes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organisation_id UUID NOT NULL REFERENCES organisations(id),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created_by      UUID REFERENCES users(id),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Classification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node_type       TEXT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CHECK (node_type IN ('pearl','disease','drug','guideline','case')),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title           TEXT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content         TEXT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tags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icd10_codes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Source citation (mandatory for guidelines)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source_ref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source_url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evidence_level  TEXT,   -- 'A'|'B'|'C'|'GPP' (GRADE grading)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Auto-link counters (denormalised for speed)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linked_case_count INTEGER DEFAULT 0,</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view_count        INTEGER DEFAULT 0,</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Flagging system for auto-alert (linked to patient profile matching)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trigger_conditions JSONB DEFAULT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Schema: [{ field: 'chronic_codes', operator: 'contains', value: 'I10'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is_verified     BOOLEAN DEFAULT FALSE,  -- Peer-reviewed by another user</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verified_by     UUID REFERENCES users(id),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updated_at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knowledge_edges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UUID PRIMARY KEY DEFAULT uuid_generate_v4(),</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from_node   UUID NOT NULL REFERENCES knowledge_nodes(id) ON DELETE CASCADE,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to_node     UUID NOT NULL REFERENCES knowledge_nodes(id) ON DELETE CASCADE,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edge_type   TEXT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CHECK (edge_type IN ('treats','causes','contraindicates','see_also','derived_from')),</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weight      NUMERIC(4,2) DEFAULT 1.0,  -- For future ranking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UNIQUE (from_node, to_node, edge_type)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Graph traversal indexes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idx_nodes_tags  ON knowledge_nodes USING GIN(tags);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idx_nodes_icd10 ON knowledge_nodes USING GIN(icd10_codes);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idx_nodes_fts   ON knowledge_nodes USING GIN(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to_tsvector('english', title || ' ' || content)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idx_edges_from  ON knowledge_edges(from_node, edge_type);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idx_edges_to    ON knowledge_edges(to_node, edge_type);</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2.11 Immutable Audit Log — Compliance Backbone</w:t>
      </w:r>
    </w:p>
    <w:p>
      <w:pPr>
        <w:spacing w:before="80" w:after="120"/>
      </w:pPr>
      <w:r>
        <w:rPr>
          <w:rFonts w:ascii="Arial" w:cs="Arial" w:eastAsia="Arial" w:hAnsi="Arial"/>
          <w:color w:val="0F172A"/>
          <w:sz w:val="22"/>
          <w:szCs w:val="22"/>
        </w:rPr>
        <w:t xml:space="preserve">Every action across the system appends to the audit log. This table is append-only (enforced by database rule). It is the primary instrument of NDPR, GDPR, and PIPEDA compliance.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TABLE audit_log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id              BIGSERIAL PRIMARY KEY,  -- Sequential for chronological ordering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organisation_id UUID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user_id         UUID,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patient_id      UUID,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note_id         UUID,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Action classification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action          TEXT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Values: note.create | note.sign | note.view | medication.confirm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medication.override | follow_up.create | follow_up.complete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patient.create | patient.view | pearl.save | auth.login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auth.logout | auth.fail | data.export | data.delete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Context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entity_type     TEXT,   -- 'note' | 'patient' | 'medication' | 'follow_up'</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entity_id       UUID,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change_summary  TEXT,   -- Human-readable: 'Confirmed Amoxicillin 500mg TDS'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metadata        JSONB DEFAULT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Network context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ip_address      INET,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user_agent      TEXT,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created_at      TIMESTAMPTZ DEFAULT NOW()</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Immutable: append-only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RULE no_update_audit AS ON UPDATE TO audit_log DO INSTEAD NOTHING;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RULE no_delete_audit AS ON DELETE TO audit_log DO INSTEAD NOTHING;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Partition by month for query performance (recommended at scale)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CREATE TABLE audit_log_2024_01 PARTITION OF audit_log</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FOR VALUES FROM ('2024-01-01') TO ('2024-02-01');</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idx_audit_org_time   ON audit_log(organisation_id, created_at DESC);</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idx_audit_user       ON audit_log(user_id, created_at DESC);</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idx_audit_patient    ON audit_log(patient_id, created_at DESC);</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INDEX idx_audit_action     ON audit_log(action, created_at DESC);</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2.12 Performance Metrics — Dashboard Layer 5</w:t>
      </w:r>
    </w:p>
    <w:p>
      <w:pPr>
        <w:spacing w:before="80" w:after="120"/>
      </w:pPr>
      <w:r>
        <w:rPr>
          <w:rFonts w:ascii="Arial" w:cs="Arial" w:eastAsia="Arial" w:hAnsi="Arial"/>
          <w:color w:val="0F172A"/>
          <w:sz w:val="22"/>
          <w:szCs w:val="22"/>
        </w:rPr>
        <w:t xml:space="preserve">Rather than calculating dashboard metrics on the fly from raw clinical_notes, a nightly materialised view pre-aggregates them per user per day. The dashboard queries this view, not the production tables.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MATERIALIZED VIEW doctor_daily_metrics AS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SELECT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cn.organisation_id,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cn.author_id        AS doctor_id,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DATE(cn.created_at) AS metric_date,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COUNT(DISTINCT cn.id)                                        AS notes_total,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COUNT(DISTINCT cn.id) FILTER (WHERE cn.status = 'signed')    AS notes_signed,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COUNT(DISTINCT cn.patient_id)                                AS unique_patients,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COUNT(DISTINCT ml.id) FILTER (WHERE ml.is_high_alert = TRUE)  AS high_alert_triggers,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COUNT(DISTINCT ml.id) FILTER (WHERE ml.action = 'overridden') AS safety_overrides,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MODE() WITHIN GROUP (ORDER BY cn.template_used)              AS most_used_template,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array_agg(DISTINCT unnest_icd.icd) FILTER (WHERE unnest_icd.icd IS NOT NULL)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AS all_icd10_codes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FROM clinical_notes cn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LEFT JOIN medication_safety_log ml ON ml.note_id = cn.id</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LEFT JOIN LATERAL unnest(cn.icd10_codes) AS unnest_icd(icd) ON TRUE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WHERE cn.created_at &gt;= NOW() - INTERVAL '90 days'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GROUP BY cn.organisation_id, cn.author_id, DATE(cn.created_at);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Refresh nightly (add to pg_cron)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SELECT cron.schedule('0 2 * * *', $$REFRESH MATERIALIZED VIEW doctor_daily_metrics$$);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CREATE UNIQUE INDEX ON doctor_daily_metrics(organisation_id, doctor_id, metric_date);</w:t>
      </w:r>
    </w:p>
    <w:p>
      <w:pPr>
        <w:spacing w:before="160" w:after="0"/>
      </w:pPr>
      <w:r>
        <w:t xml:space="preserve"/>
      </w:r>
    </w:p>
    <w:p>
      <w:r>
        <w:br w:type="page"/>
      </w:r>
    </w:p>
    <w:p>
      <w:pPr>
        <w:pStyle w:val="Heading1"/>
        <w:pBdr>
          <w:bottom w:val="single" w:color="00A896" w:sz="6" w:space="4"/>
        </w:pBdr>
        <w:spacing w:before="360" w:after="160"/>
      </w:pPr>
      <w:r>
        <w:rPr>
          <w:rFonts w:ascii="Arial" w:cs="Arial" w:eastAsia="Arial" w:hAnsi="Arial"/>
          <w:b/>
          <w:bCs/>
          <w:color w:val="0A1628"/>
          <w:sz w:val="36"/>
          <w:szCs w:val="36"/>
        </w:rPr>
        <w:t xml:space="preserve">3. API Architecture</w:t>
      </w:r>
    </w:p>
    <w:p>
      <w:pPr>
        <w:pStyle w:val="Heading2"/>
        <w:spacing w:before="280" w:after="120"/>
      </w:pPr>
      <w:r>
        <w:rPr>
          <w:rFonts w:ascii="Arial" w:cs="Arial" w:eastAsia="Arial" w:hAnsi="Arial"/>
          <w:b/>
          <w:bCs/>
          <w:color w:val="0A1628"/>
          <w:sz w:val="26"/>
          <w:szCs w:val="26"/>
        </w:rPr>
        <w:t xml:space="preserve">3.1 REST Endpoint Design</w:t>
      </w:r>
    </w:p>
    <w:p>
      <w:pPr>
        <w:spacing w:before="80" w:after="120"/>
      </w:pPr>
      <w:r>
        <w:rPr>
          <w:rFonts w:ascii="Arial" w:cs="Arial" w:eastAsia="Arial" w:hAnsi="Arial"/>
          <w:color w:val="0F172A"/>
          <w:sz w:val="22"/>
          <w:szCs w:val="22"/>
        </w:rPr>
        <w:t xml:space="preserve">The API follows RESTful conventions with JWT Bearer authentication. Organisation context is extracted from the JWT payload and injected as a PostgreSQL session variable to activate RLS policies. No SQL query executes without org context.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rPr>
          <w:tblHeader/>
        </w:trPr>
        <w:tc>
          <w:tcPr>
            <w:tcW w:type="dxa" w:w="12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36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POST</w:t>
            </w:r>
          </w:p>
        </w:tc>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ourier New" w:cs="Courier New" w:eastAsia="Courier New" w:hAnsi="Courier New"/>
                <w:color w:val="065F46"/>
                <w:sz w:val="18"/>
                <w:szCs w:val="18"/>
              </w:rPr>
              <w:t xml:space="preserve">/auth/login</w:t>
            </w:r>
          </w:p>
        </w:tc>
        <w:tc>
          <w:tcPr>
            <w:tcW w:type="dxa" w:w="3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Email + password + TOTP. Returns JWT + refresh token.</w:t>
            </w:r>
          </w:p>
        </w:tc>
        <w:tc>
          <w:tcPr>
            <w:tcW w:type="dxa" w:w="2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Public</w:t>
            </w:r>
          </w:p>
        </w:tc>
      </w:tr>
      <w:tr>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POST</w:t>
            </w:r>
          </w:p>
        </w:tc>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ourier New" w:cs="Courier New" w:eastAsia="Courier New" w:hAnsi="Courier New"/>
                <w:color w:val="065F46"/>
                <w:sz w:val="18"/>
                <w:szCs w:val="18"/>
              </w:rPr>
              <w:t xml:space="preserve">/auth/refresh</w:t>
            </w:r>
          </w:p>
        </w:tc>
        <w:tc>
          <w:tcPr>
            <w:tcW w:type="dxa" w:w="3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Rotate refresh token.</w:t>
            </w:r>
          </w:p>
        </w:tc>
        <w:tc>
          <w:tcPr>
            <w:tcW w:type="dxa" w:w="2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JWT</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GET</w:t>
            </w:r>
          </w:p>
        </w:tc>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ourier New" w:cs="Courier New" w:eastAsia="Courier New" w:hAnsi="Courier New"/>
                <w:color w:val="065F46"/>
                <w:sz w:val="18"/>
                <w:szCs w:val="18"/>
              </w:rPr>
              <w:t xml:space="preserve">/patients</w:t>
            </w:r>
          </w:p>
        </w:tc>
        <w:tc>
          <w:tcPr>
            <w:tcW w:type="dxa" w:w="3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List patients (paginated, org-scoped).</w:t>
            </w:r>
          </w:p>
        </w:tc>
        <w:tc>
          <w:tcPr>
            <w:tcW w:type="dxa" w:w="2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POST</w:t>
            </w:r>
          </w:p>
        </w:tc>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ourier New" w:cs="Courier New" w:eastAsia="Courier New" w:hAnsi="Courier New"/>
                <w:color w:val="065F46"/>
                <w:sz w:val="18"/>
                <w:szCs w:val="18"/>
              </w:rPr>
              <w:t xml:space="preserve">/patients</w:t>
            </w:r>
          </w:p>
        </w:tc>
        <w:tc>
          <w:tcPr>
            <w:tcW w:type="dxa" w:w="3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Create patient. PII encrypted before DB write.</w:t>
            </w:r>
          </w:p>
        </w:tc>
        <w:tc>
          <w:tcPr>
            <w:tcW w:type="dxa" w:w="2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GET</w:t>
            </w:r>
          </w:p>
        </w:tc>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ourier New" w:cs="Courier New" w:eastAsia="Courier New" w:hAnsi="Courier New"/>
                <w:color w:val="065F46"/>
                <w:sz w:val="18"/>
                <w:szCs w:val="18"/>
              </w:rPr>
              <w:t xml:space="preserve">/patients/:id/notes</w:t>
            </w:r>
          </w:p>
        </w:tc>
        <w:tc>
          <w:tcPr>
            <w:tcW w:type="dxa" w:w="3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Patient note timeline.</w:t>
            </w:r>
          </w:p>
        </w:tc>
        <w:tc>
          <w:tcPr>
            <w:tcW w:type="dxa" w:w="2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POST</w:t>
            </w:r>
          </w:p>
        </w:tc>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ourier New" w:cs="Courier New" w:eastAsia="Courier New" w:hAnsi="Courier New"/>
                <w:color w:val="065F46"/>
                <w:sz w:val="18"/>
                <w:szCs w:val="18"/>
              </w:rPr>
              <w:t xml:space="preserve">/notes</w:t>
            </w:r>
          </w:p>
        </w:tc>
        <w:tc>
          <w:tcPr>
            <w:tcW w:type="dxa" w:w="3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Create draft note.</w:t>
            </w:r>
          </w:p>
        </w:tc>
        <w:tc>
          <w:tcPr>
            <w:tcW w:type="dxa" w:w="2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PATCH</w:t>
            </w:r>
          </w:p>
        </w:tc>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ourier New" w:cs="Courier New" w:eastAsia="Courier New" w:hAnsi="Courier New"/>
                <w:color w:val="065F46"/>
                <w:sz w:val="18"/>
                <w:szCs w:val="18"/>
              </w:rPr>
              <w:t xml:space="preserve">/notes/:id/extract</w:t>
            </w:r>
          </w:p>
        </w:tc>
        <w:tc>
          <w:tcPr>
            <w:tcW w:type="dxa" w:w="3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Trigger NLP extraction on plan text.</w:t>
            </w:r>
          </w:p>
        </w:tc>
        <w:tc>
          <w:tcPr>
            <w:tcW w:type="dxa" w:w="2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PATCH</w:t>
            </w:r>
          </w:p>
        </w:tc>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ourier New" w:cs="Courier New" w:eastAsia="Courier New" w:hAnsi="Courier New"/>
                <w:color w:val="065F46"/>
                <w:sz w:val="18"/>
                <w:szCs w:val="18"/>
              </w:rPr>
              <w:t xml:space="preserve">/notes/:id/confirm-medication</w:t>
            </w:r>
          </w:p>
        </w:tc>
        <w:tc>
          <w:tcPr>
            <w:tcW w:type="dxa" w:w="3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Confirm one medication chip. Writes to safety_log.</w:t>
            </w:r>
          </w:p>
        </w:tc>
        <w:tc>
          <w:tcPr>
            <w:tcW w:type="dxa" w:w="2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PATCH</w:t>
            </w:r>
          </w:p>
        </w:tc>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ourier New" w:cs="Courier New" w:eastAsia="Courier New" w:hAnsi="Courier New"/>
                <w:color w:val="065F46"/>
                <w:sz w:val="18"/>
                <w:szCs w:val="18"/>
              </w:rPr>
              <w:t xml:space="preserve">/notes/:id/override-medication</w:t>
            </w:r>
          </w:p>
        </w:tc>
        <w:tc>
          <w:tcPr>
            <w:tcW w:type="dxa" w:w="3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Override with mandatory reason. Writes to safety_log.</w:t>
            </w:r>
          </w:p>
        </w:tc>
        <w:tc>
          <w:tcPr>
            <w:tcW w:type="dxa" w:w="2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POST</w:t>
            </w:r>
          </w:p>
        </w:tc>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ourier New" w:cs="Courier New" w:eastAsia="Courier New" w:hAnsi="Courier New"/>
                <w:color w:val="065F46"/>
                <w:sz w:val="18"/>
                <w:szCs w:val="18"/>
              </w:rPr>
              <w:t xml:space="preserve">/notes/:id/sign</w:t>
            </w:r>
          </w:p>
        </w:tc>
        <w:tc>
          <w:tcPr>
            <w:tcW w:type="dxa" w:w="3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Sign note. Blocked if unconfirmed meds exist.</w:t>
            </w:r>
          </w:p>
        </w:tc>
        <w:tc>
          <w:tcPr>
            <w:tcW w:type="dxa" w:w="2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GET</w:t>
            </w:r>
          </w:p>
        </w:tc>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ourier New" w:cs="Courier New" w:eastAsia="Courier New" w:hAnsi="Courier New"/>
                <w:color w:val="065F46"/>
                <w:sz w:val="18"/>
                <w:szCs w:val="18"/>
              </w:rPr>
              <w:t xml:space="preserve">/follow-ups</w:t>
            </w:r>
          </w:p>
        </w:tc>
        <w:tc>
          <w:tcPr>
            <w:tcW w:type="dxa" w:w="3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List pending follow-ups, sorted by risk + due date.</w:t>
            </w:r>
          </w:p>
        </w:tc>
        <w:tc>
          <w:tcPr>
            <w:tcW w:type="dxa" w:w="2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POST</w:t>
            </w:r>
          </w:p>
        </w:tc>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ourier New" w:cs="Courier New" w:eastAsia="Courier New" w:hAnsi="Courier New"/>
                <w:color w:val="065F46"/>
                <w:sz w:val="18"/>
                <w:szCs w:val="18"/>
              </w:rPr>
              <w:t xml:space="preserve">/follow-ups</w:t>
            </w:r>
          </w:p>
        </w:tc>
        <w:tc>
          <w:tcPr>
            <w:tcW w:type="dxa" w:w="3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Create follow-up. Schedules first reminder job.</w:t>
            </w:r>
          </w:p>
        </w:tc>
        <w:tc>
          <w:tcPr>
            <w:tcW w:type="dxa" w:w="2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GET</w:t>
            </w:r>
          </w:p>
        </w:tc>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ourier New" w:cs="Courier New" w:eastAsia="Courier New" w:hAnsi="Courier New"/>
                <w:color w:val="065F46"/>
                <w:sz w:val="18"/>
                <w:szCs w:val="18"/>
              </w:rPr>
              <w:t xml:space="preserve">/formulary/validate</w:t>
            </w:r>
          </w:p>
        </w:tc>
        <w:tc>
          <w:tcPr>
            <w:tcW w:type="dxa" w:w="3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Validate drug+dose against active formulary.</w:t>
            </w:r>
          </w:p>
        </w:tc>
        <w:tc>
          <w:tcPr>
            <w:tcW w:type="dxa" w:w="2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GET</w:t>
            </w:r>
          </w:p>
        </w:tc>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ourier New" w:cs="Courier New" w:eastAsia="Courier New" w:hAnsi="Courier New"/>
                <w:color w:val="065F46"/>
                <w:sz w:val="18"/>
                <w:szCs w:val="18"/>
              </w:rPr>
              <w:t xml:space="preserve">/scores/:name</w:t>
            </w:r>
          </w:p>
        </w:tc>
        <w:tc>
          <w:tcPr>
            <w:tcW w:type="dxa" w:w="3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Fetch active scoring rules (e.g. CURB-65).</w:t>
            </w:r>
          </w:p>
        </w:tc>
        <w:tc>
          <w:tcPr>
            <w:tcW w:type="dxa" w:w="2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GET</w:t>
            </w:r>
          </w:p>
        </w:tc>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ourier New" w:cs="Courier New" w:eastAsia="Courier New" w:hAnsi="Courier New"/>
                <w:color w:val="065F46"/>
                <w:sz w:val="18"/>
                <w:szCs w:val="18"/>
              </w:rPr>
              <w:t xml:space="preserve">/pearls</w:t>
            </w:r>
          </w:p>
        </w:tc>
        <w:tc>
          <w:tcPr>
            <w:tcW w:type="dxa" w:w="3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Search knowledge graph nodes.</w:t>
            </w:r>
          </w:p>
        </w:tc>
        <w:tc>
          <w:tcPr>
            <w:tcW w:type="dxa" w:w="2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POST</w:t>
            </w:r>
          </w:p>
        </w:tc>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ourier New" w:cs="Courier New" w:eastAsia="Courier New" w:hAnsi="Courier New"/>
                <w:color w:val="065F46"/>
                <w:sz w:val="18"/>
                <w:szCs w:val="18"/>
              </w:rPr>
              <w:t xml:space="preserve">/pearls</w:t>
            </w:r>
          </w:p>
        </w:tc>
        <w:tc>
          <w:tcPr>
            <w:tcW w:type="dxa" w:w="3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Save new pearl. Auto-links to current note.</w:t>
            </w:r>
          </w:p>
        </w:tc>
        <w:tc>
          <w:tcPr>
            <w:tcW w:type="dxa" w:w="2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GET</w:t>
            </w:r>
          </w:p>
        </w:tc>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ourier New" w:cs="Courier New" w:eastAsia="Courier New" w:hAnsi="Courier New"/>
                <w:color w:val="065F46"/>
                <w:sz w:val="18"/>
                <w:szCs w:val="18"/>
              </w:rPr>
              <w:t xml:space="preserve">/dashboard/metrics</w:t>
            </w:r>
          </w:p>
        </w:tc>
        <w:tc>
          <w:tcPr>
            <w:tcW w:type="dxa" w:w="3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Query doctor_daily_metrics view.</w:t>
            </w:r>
          </w:p>
        </w:tc>
        <w:tc>
          <w:tcPr>
            <w:tcW w:type="dxa" w:w="2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Doctor+</w:t>
            </w:r>
          </w:p>
        </w:tc>
      </w:tr>
      <w:tr>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GET</w:t>
            </w:r>
          </w:p>
        </w:tc>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ourier New" w:cs="Courier New" w:eastAsia="Courier New" w:hAnsi="Courier New"/>
                <w:color w:val="065F46"/>
                <w:sz w:val="18"/>
                <w:szCs w:val="18"/>
              </w:rPr>
              <w:t xml:space="preserve">/audit</w:t>
            </w:r>
          </w:p>
        </w:tc>
        <w:tc>
          <w:tcPr>
            <w:tcW w:type="dxa" w:w="3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Audit log export. Date-range required.</w:t>
            </w:r>
          </w:p>
        </w:tc>
        <w:tc>
          <w:tcPr>
            <w:tcW w:type="dxa" w:w="2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Admin</w:t>
            </w:r>
          </w:p>
        </w:tc>
      </w:tr>
    </w:tbl>
    <w:p>
      <w:pPr>
        <w:spacing w:before="160" w:after="0"/>
      </w:pPr>
      <w:r>
        <w:t xml:space="preserve"/>
      </w:r>
    </w:p>
    <w:p>
      <w:pPr>
        <w:pStyle w:val="Heading2"/>
        <w:spacing w:before="280" w:after="120"/>
      </w:pPr>
      <w:r>
        <w:rPr>
          <w:rFonts w:ascii="Arial" w:cs="Arial" w:eastAsia="Arial" w:hAnsi="Arial"/>
          <w:b/>
          <w:bCs/>
          <w:color w:val="0A1628"/>
          <w:sz w:val="26"/>
          <w:szCs w:val="26"/>
        </w:rPr>
        <w:t xml:space="preserve">3.2 WebSocket: V2SN Voice Engine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WS endpoint: wss://api.medos.app/v1/voice/stream</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Auth: JWT in query param ?token=&lt;jwt&gt;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Client sends: binary audio chunks (PCM 16kHz mono)</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Server sends: streaming JSON events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Event types: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type: 'transcription.partial', text: '...', confidence: 0.87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type: 'transcription.final',   text: '...', confidence: 0.95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type: 'extraction.result',     medications: [...], diagnoses: [...]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type: 'safety.validation',     results: [{ drug, status, message }]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type: 'pearl.suggestion',      pearl: { title, body, tags }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type: 'error',                 code: string, message: string }</w:t>
      </w:r>
    </w:p>
    <w:p>
      <w:pPr>
        <w:spacing w:before="160" w:after="0"/>
      </w:pPr>
      <w:r>
        <w:t xml:space="preserve"/>
      </w:r>
    </w:p>
    <w:p>
      <w:pPr>
        <w:pStyle w:val="Heading2"/>
        <w:spacing w:before="280" w:after="120"/>
      </w:pPr>
      <w:r>
        <w:rPr>
          <w:rFonts w:ascii="Arial" w:cs="Arial" w:eastAsia="Arial" w:hAnsi="Arial"/>
          <w:b/>
          <w:bCs/>
          <w:color w:val="0A1628"/>
          <w:sz w:val="26"/>
          <w:szCs w:val="26"/>
        </w:rPr>
        <w:t xml:space="preserve">3.3 Background Job Architecture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Bull + Redis job queue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Queue: follow-up-reminders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Cron: every 6 hours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Logic:</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1. SELECT follow-ups WHERE status='pending' AND target_date - NOW() &lt;= 48hrs</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2. Check patient consent_sms_reminders = TRUE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3. Decrypt phone_encrypted using org key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4. Send via Twilio (SMS) or WhatsApp Business API</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5. Write to follow_ups.reminder_sent_at[]</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6. If days_overdue &gt; 7 AND escalation_level = 0:</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SET escalation_level = 1, alert supervising doctor</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Queue: note-nlp-extraction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Trigger: on note save (not blocking the API response)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Logic: Whisper transcription -&gt; GPT-4o structured extraction -&gt; validation</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Queue: metrics-refresh</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Cron: 02:00 daily</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Logic: REFRESH MATERIALIZED VIEW doctor_daily_metrics;</w:t>
      </w:r>
    </w:p>
    <w:p>
      <w:pPr>
        <w:spacing w:before="160" w:after="0"/>
      </w:pPr>
      <w:r>
        <w:t xml:space="preserve"/>
      </w:r>
    </w:p>
    <w:p>
      <w:r>
        <w:br w:type="page"/>
      </w:r>
    </w:p>
    <w:p>
      <w:pPr>
        <w:pStyle w:val="Heading1"/>
        <w:pBdr>
          <w:bottom w:val="single" w:color="00A896" w:sz="6" w:space="4"/>
        </w:pBdr>
        <w:spacing w:before="360" w:after="160"/>
      </w:pPr>
      <w:r>
        <w:rPr>
          <w:rFonts w:ascii="Arial" w:cs="Arial" w:eastAsia="Arial" w:hAnsi="Arial"/>
          <w:b/>
          <w:bCs/>
          <w:color w:val="0A1628"/>
          <w:sz w:val="36"/>
          <w:szCs w:val="36"/>
        </w:rPr>
        <w:t xml:space="preserve">4. Compliance Architecture</w:t>
      </w:r>
    </w:p>
    <w:p>
      <w:pPr>
        <w:pStyle w:val="Heading2"/>
        <w:spacing w:before="280" w:after="120"/>
      </w:pPr>
      <w:r>
        <w:rPr>
          <w:rFonts w:ascii="Arial" w:cs="Arial" w:eastAsia="Arial" w:hAnsi="Arial"/>
          <w:b/>
          <w:bCs/>
          <w:color w:val="0A1628"/>
          <w:sz w:val="26"/>
          <w:szCs w:val="26"/>
        </w:rPr>
        <w:t xml:space="preserve">4.1 Multi-Jurisdictional Compliance Matrix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187"/>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Nigeria (NDPR)</w:t>
            </w:r>
          </w:p>
        </w:tc>
        <w:tc>
          <w:tcPr>
            <w:tcW w:type="dxa" w:w="2187"/>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United Kingdom (UK GDPR)</w:t>
            </w:r>
          </w:p>
        </w:tc>
        <w:tc>
          <w:tcPr>
            <w:tcW w:type="dxa" w:w="2186"/>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Canada (PIPEDA)</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Lawful basis for processing</w:t>
            </w:r>
          </w:p>
        </w:tc>
        <w:tc>
          <w:tcPr>
            <w:tcW w:type="dxa" w:w="2187"/>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Consent + Legitimate interest</w:t>
            </w:r>
          </w:p>
        </w:tc>
        <w:tc>
          <w:tcPr>
            <w:tcW w:type="dxa" w:w="2187"/>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Consent + Vital interests</w:t>
            </w:r>
          </w:p>
        </w:tc>
        <w:tc>
          <w:tcPr>
            <w:tcW w:type="dxa" w:w="2186"/>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Consent (express for sensitive)</w:t>
            </w:r>
          </w:p>
        </w:tc>
      </w:tr>
      <w:tr>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Patient consent</w:t>
            </w:r>
          </w:p>
        </w:tc>
        <w:tc>
          <w:tcPr>
            <w:tcW w:type="dxa" w:w="2187"/>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Mandatory. Written preferred.</w:t>
            </w:r>
          </w:p>
        </w:tc>
        <w:tc>
          <w:tcPr>
            <w:tcW w:type="dxa" w:w="2187"/>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Mandatory. Documented.</w:t>
            </w:r>
          </w:p>
        </w:tc>
        <w:tc>
          <w:tcPr>
            <w:tcW w:type="dxa" w:w="2186"/>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Meaningful consent required.</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Data residency</w:t>
            </w:r>
          </w:p>
        </w:tc>
        <w:tc>
          <w:tcPr>
            <w:tcW w:type="dxa" w:w="2187"/>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Nigeria preferred. Transfer rules.</w:t>
            </w:r>
          </w:p>
        </w:tc>
        <w:tc>
          <w:tcPr>
            <w:tcW w:type="dxa" w:w="2187"/>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UK / EEA. SCCs for US transfer.</w:t>
            </w:r>
          </w:p>
        </w:tc>
        <w:tc>
          <w:tcPr>
            <w:tcW w:type="dxa" w:w="2186"/>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Canadian servers mandatory.</w:t>
            </w:r>
          </w:p>
        </w:tc>
      </w:tr>
      <w:tr>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Breach notification</w:t>
            </w:r>
          </w:p>
        </w:tc>
        <w:tc>
          <w:tcPr>
            <w:tcW w:type="dxa" w:w="2187"/>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NITDA within 72 hours</w:t>
            </w:r>
          </w:p>
        </w:tc>
        <w:tc>
          <w:tcPr>
            <w:tcW w:type="dxa" w:w="2187"/>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ICO within 72 hours</w:t>
            </w:r>
          </w:p>
        </w:tc>
        <w:tc>
          <w:tcPr>
            <w:tcW w:type="dxa" w:w="2186"/>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OPC + affected individuals</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Right to erasure</w:t>
            </w:r>
          </w:p>
        </w:tc>
        <w:tc>
          <w:tcPr>
            <w:tcW w:type="dxa" w:w="2187"/>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Supported (except clinical need)</w:t>
            </w:r>
          </w:p>
        </w:tc>
        <w:tc>
          <w:tcPr>
            <w:tcW w:type="dxa" w:w="2187"/>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Article 17 (with exceptions)</w:t>
            </w:r>
          </w:p>
        </w:tc>
        <w:tc>
          <w:tcPr>
            <w:tcW w:type="dxa" w:w="2186"/>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Supported (with legal exceptions)</w:t>
            </w:r>
          </w:p>
        </w:tc>
      </w:tr>
      <w:tr>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Retention period</w:t>
            </w:r>
          </w:p>
        </w:tc>
        <w:tc>
          <w:tcPr>
            <w:tcW w:type="dxa" w:w="2187"/>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Minimum 6 years</w:t>
            </w:r>
          </w:p>
        </w:tc>
        <w:tc>
          <w:tcPr>
            <w:tcW w:type="dxa" w:w="2187"/>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NHS standard: 8 years</w:t>
            </w:r>
          </w:p>
        </w:tc>
        <w:tc>
          <w:tcPr>
            <w:tcW w:type="dxa" w:w="2186"/>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Provincial rules: 10 years</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Encryption at rest</w:t>
            </w:r>
          </w:p>
        </w:tc>
        <w:tc>
          <w:tcPr>
            <w:tcW w:type="dxa" w:w="2187"/>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Required</w:t>
            </w:r>
          </w:p>
        </w:tc>
        <w:tc>
          <w:tcPr>
            <w:tcW w:type="dxa" w:w="2187"/>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Required (Cyber Essentials)</w:t>
            </w:r>
          </w:p>
        </w:tc>
        <w:tc>
          <w:tcPr>
            <w:tcW w:type="dxa" w:w="2186"/>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Required</w:t>
            </w:r>
          </w:p>
        </w:tc>
      </w:tr>
      <w:tr>
        <w:tc>
          <w:tcPr>
            <w:tcW w:type="dxa" w:w="2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Encryption in transit</w:t>
            </w:r>
          </w:p>
        </w:tc>
        <w:tc>
          <w:tcPr>
            <w:tcW w:type="dxa" w:w="2187"/>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TLS 1.3</w:t>
            </w:r>
          </w:p>
        </w:tc>
        <w:tc>
          <w:tcPr>
            <w:tcW w:type="dxa" w:w="2187"/>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TLS 1.3</w:t>
            </w:r>
          </w:p>
        </w:tc>
        <w:tc>
          <w:tcPr>
            <w:tcW w:type="dxa" w:w="2186"/>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TLS 1.3</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Audit log retention</w:t>
            </w:r>
          </w:p>
        </w:tc>
        <w:tc>
          <w:tcPr>
            <w:tcW w:type="dxa" w:w="2187"/>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7 years</w:t>
            </w:r>
          </w:p>
        </w:tc>
        <w:tc>
          <w:tcPr>
            <w:tcW w:type="dxa" w:w="2187"/>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8 years</w:t>
            </w:r>
          </w:p>
        </w:tc>
        <w:tc>
          <w:tcPr>
            <w:tcW w:type="dxa" w:w="2186"/>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10 years</w:t>
            </w:r>
          </w:p>
        </w:tc>
      </w:tr>
    </w:tbl>
    <w:p>
      <w:pPr>
        <w:spacing w:before="160" w:after="0"/>
      </w:pPr>
      <w:r>
        <w:t xml:space="preserve"/>
      </w:r>
    </w:p>
    <w:p>
      <w:pPr>
        <w:pStyle w:val="Heading2"/>
        <w:spacing w:before="280" w:after="120"/>
      </w:pPr>
      <w:r>
        <w:rPr>
          <w:rFonts w:ascii="Arial" w:cs="Arial" w:eastAsia="Arial" w:hAnsi="Arial"/>
          <w:b/>
          <w:bCs/>
          <w:color w:val="0A1628"/>
          <w:sz w:val="26"/>
          <w:szCs w:val="26"/>
        </w:rPr>
        <w:t xml:space="preserve">4.2 Encryption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0A896" w:sz="4"/>
              <w:left w:val="single" w:color="00A896" w:sz="4"/>
              <w:bottom w:val="single" w:color="00A896" w:sz="4"/>
              <w:right w:val="single" w:color="00A896" w:sz="4"/>
            </w:tcBorders>
            <w:shd w:fill="00A896" w:val="clear"/>
            <w:tcMar>
              <w:top w:type="dxa" w:w="60"/>
              <w:left w:type="dxa" w:w="120"/>
              <w:bottom w:type="dxa" w:w="60"/>
              <w:right w:type="dxa" w:w="120"/>
            </w:tcMar>
          </w:tcPr>
          <w:p>
            <w:r>
              <w:rPr>
                <w:rFonts w:ascii="Arial" w:cs="Arial" w:eastAsia="Arial" w:hAnsi="Arial"/>
                <w:b/>
                <w:bCs/>
                <w:color w:val="FFFFFF"/>
                <w:sz w:val="18"/>
                <w:szCs w:val="18"/>
              </w:rPr>
              <w:t xml:space="preserve">ENCRYPTION ARCHITECTURE</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AES-256-GCM for all PII fields (name, DOB, phone, email) — encrypted at the API layer before database write.</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Per-organisation encryption keys managed by AWS KMS / HashiCorp Vault. Keys never stored in the application database.</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TLS 1.3 enforced for all data in transit. HSTS headers with 1-year max-age.</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Refresh tokens stored as SHA-256 hashes only. Never stored in plaintext.</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MFA secrets (TOTP) encrypted with the user's derived key (PBKDF2, 100,000 iterations).</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Audio blobs (voice transcripts) encrypted with S3 SSE-KMS before write. Deleted 30 days post-transcription.</w:t>
            </w:r>
          </w:p>
        </w:tc>
      </w:tr>
    </w:tbl>
    <w:p>
      <w:pPr>
        <w:spacing w:before="160" w:after="0"/>
      </w:pPr>
      <w:r>
        <w:t xml:space="preserve"/>
      </w:r>
    </w:p>
    <w:p>
      <w:pPr>
        <w:pStyle w:val="Heading2"/>
        <w:spacing w:before="280" w:after="120"/>
      </w:pPr>
      <w:r>
        <w:rPr>
          <w:rFonts w:ascii="Arial" w:cs="Arial" w:eastAsia="Arial" w:hAnsi="Arial"/>
          <w:b/>
          <w:bCs/>
          <w:color w:val="0A1628"/>
          <w:sz w:val="26"/>
          <w:szCs w:val="26"/>
        </w:rPr>
        <w:t xml:space="preserve">4.3 Data Residency by Region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60"/>
        <w:gridCol w:w="3600"/>
      </w:tblGrid>
      <w:tr>
        <w:trPr>
          <w:tblHeader/>
        </w:trPr>
        <w:tc>
          <w:tcPr>
            <w:tcW w:type="dxa" w:w="18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2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Primary Server</w:t>
            </w:r>
          </w:p>
        </w:tc>
        <w:tc>
          <w:tcPr>
            <w:tcW w:type="dxa" w:w="176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Backup Region</w:t>
            </w:r>
          </w:p>
        </w:tc>
        <w:tc>
          <w:tcPr>
            <w:tcW w:type="dxa" w:w="36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Regulatory Constraint</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Lagos, Nigeria</w:t>
            </w:r>
          </w:p>
        </w:tc>
        <w:tc>
          <w:tcPr>
            <w:tcW w:type="dxa" w:w="2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AWS af-south-1 (Cape Town)
or own VPS (MTN DC Lagos)</w:t>
            </w:r>
          </w:p>
        </w:tc>
        <w:tc>
          <w:tcPr>
            <w:tcW w:type="dxa" w:w="17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EU-WEST-2</w:t>
            </w:r>
          </w:p>
        </w:tc>
        <w:tc>
          <w:tcPr>
            <w:tcW w:type="dxa" w:w="3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NDPR: prefer in-country. Transfer requires adequate protection finding.</w:t>
            </w:r>
          </w:p>
        </w:tc>
      </w:tr>
      <w:tr>
        <w:tc>
          <w:tcPr>
            <w:tcW w:type="dxa" w:w="1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United Kingdom</w:t>
            </w:r>
          </w:p>
        </w:tc>
        <w:tc>
          <w:tcPr>
            <w:tcW w:type="dxa" w:w="2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AWS eu-west-2 (London)</w:t>
            </w:r>
          </w:p>
        </w:tc>
        <w:tc>
          <w:tcPr>
            <w:tcW w:type="dxa" w:w="17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eu-west-1 (Ireland)</w:t>
            </w:r>
          </w:p>
        </w:tc>
        <w:tc>
          <w:tcPr>
            <w:tcW w:type="dxa" w:w="3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UK GDPR: UK-adequate destinations only. No US transfer without SCCs.</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Canada</w:t>
            </w:r>
          </w:p>
        </w:tc>
        <w:tc>
          <w:tcPr>
            <w:tcW w:type="dxa" w:w="2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AWS ca-central-1 (Montreal)</w:t>
            </w:r>
          </w:p>
        </w:tc>
        <w:tc>
          <w:tcPr>
            <w:tcW w:type="dxa" w:w="17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ca-west-1 (Calgary)</w:t>
            </w:r>
          </w:p>
        </w:tc>
        <w:tc>
          <w:tcPr>
            <w:tcW w:type="dxa" w:w="3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PIPEDA + provincial PHIPA: patient data must not leave Canada without consent.</w:t>
            </w:r>
          </w:p>
        </w:tc>
      </w:tr>
    </w:tbl>
    <w:p>
      <w:pPr>
        <w:spacing w:before="160" w:after="0"/>
      </w:pPr>
      <w:r>
        <w:t xml:space="preserve"/>
      </w:r>
    </w:p>
    <w:p>
      <w:r>
        <w:br w:type="page"/>
      </w:r>
    </w:p>
    <w:p>
      <w:pPr>
        <w:pStyle w:val="Heading1"/>
        <w:pBdr>
          <w:bottom w:val="single" w:color="00A896" w:sz="6" w:space="4"/>
        </w:pBdr>
        <w:spacing w:before="360" w:after="160"/>
      </w:pPr>
      <w:r>
        <w:rPr>
          <w:rFonts w:ascii="Arial" w:cs="Arial" w:eastAsia="Arial" w:hAnsi="Arial"/>
          <w:b/>
          <w:bCs/>
          <w:color w:val="0A1628"/>
          <w:sz w:val="36"/>
          <w:szCs w:val="36"/>
        </w:rPr>
        <w:t xml:space="preserve">5. Missing Calculator Logic (Layer 4 Gaps)</w:t>
      </w:r>
    </w:p>
    <w:p>
      <w:pPr>
        <w:pStyle w:val="Heading2"/>
        <w:spacing w:before="280" w:after="120"/>
      </w:pPr>
      <w:r>
        <w:rPr>
          <w:rFonts w:ascii="Arial" w:cs="Arial" w:eastAsia="Arial" w:hAnsi="Arial"/>
          <w:b/>
          <w:bCs/>
          <w:color w:val="0A1628"/>
          <w:sz w:val="26"/>
          <w:szCs w:val="26"/>
        </w:rPr>
        <w:t xml:space="preserve">5.1 Cockcroft-Gault Renal Function Calculator</w:t>
      </w:r>
    </w:p>
    <w:p>
      <w:pPr>
        <w:spacing w:before="80" w:after="120"/>
      </w:pPr>
      <w:r>
        <w:rPr>
          <w:rFonts w:ascii="Arial" w:cs="Arial" w:eastAsia="Arial" w:hAnsi="Arial"/>
          <w:color w:val="0F172A"/>
          <w:sz w:val="22"/>
          <w:szCs w:val="22"/>
        </w:rPr>
        <w:t xml:space="preserve">This is the most clinically critical missing calculator. Metformin, gentamicin, nitrofurantoin, and over 50 commonly prescribed drugs require dose adjustment based on estimated creatinine clearance. The formula: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CrCl (mL/min) = ((140 - age) x weight_kg x sex_factor) / (72 x serum_creatinine_mg_dL)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sex_factor: 1.0 (male), 0.85 (female)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API endpoint: GET /calculators/crcl</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Params: age, weight_kg, serum_creatinine (umol/L or mg/dL), sex</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Response:</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crcl_ml_min: 47.3,</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ckd_stage: 'Stage 3a',</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drug_adjustments: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drug: 'metformin',     action: 'reduce_dose',   note: 'Use with caution, max 1g/day'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drug: 'nitrofurantoin', action: 'avoid',        note: 'Ineffective and toxic if CrCl &lt;30'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 drug: 'gentamicin',    action: 'extend_interval', note: 'Extend to 48h dosing. Monitor levels.'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t>
      </w:r>
    </w:p>
    <w:p>
      <w:pPr>
        <w:pBdr>
          <w:left w:val="single" w:color="00A896" w:sz="12"/>
        </w:pBdr>
        <w:shd w:fill="F0FDF4" w:val="clear"/>
        <w:spacing w:before="0" w:after="0"/>
        <w:ind w:left="360" w:right="360"/>
      </w:pPr>
      <w:r>
        <w:rPr>
          <w:rFonts w:ascii="Courier New" w:cs="Courier New" w:eastAsia="Courier New" w:hAnsi="Courier New"/>
          <w:color w:val="1A3A2A"/>
          <w:sz w:val="18"/>
          <w:szCs w:val="18"/>
        </w:rPr>
        <w:t xml:space="preserve">// }</w:t>
      </w:r>
    </w:p>
    <w:p>
      <w:pPr>
        <w:spacing w:before="120" w:after="0"/>
      </w:pPr>
      <w:r>
        <w:t xml:space="preserve"/>
      </w:r>
    </w:p>
    <w:p>
      <w:pPr>
        <w:pStyle w:val="Heading2"/>
        <w:spacing w:before="280" w:after="120"/>
      </w:pPr>
      <w:r>
        <w:rPr>
          <w:rFonts w:ascii="Arial" w:cs="Arial" w:eastAsia="Arial" w:hAnsi="Arial"/>
          <w:b/>
          <w:bCs/>
          <w:color w:val="0A1628"/>
          <w:sz w:val="26"/>
          <w:szCs w:val="26"/>
        </w:rPr>
        <w:t xml:space="preserve">5.2 Drug Interaction Engine — Phase 1 (Top 200 Pairs)</w:t>
      </w:r>
    </w:p>
    <w:p>
      <w:pPr>
        <w:spacing w:before="80" w:after="120"/>
      </w:pPr>
      <w:r>
        <w:rPr>
          <w:rFonts w:ascii="Arial" w:cs="Arial" w:eastAsia="Arial" w:hAnsi="Arial"/>
          <w:color w:val="0F172A"/>
          <w:sz w:val="22"/>
          <w:szCs w:val="22"/>
        </w:rPr>
        <w:t xml:space="preserve">A full interaction engine is a Phase 2 feature. Phase 1 is a curated JSON of the 200 most clinically dangerous drug pairs, loaded into the formulary_drugs.interaction_flags JSONB column. This covers 80% of real-world interaction risk with 2% of the engineering effort.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2460"/>
        <w:gridCol w:w="2500"/>
      </w:tblGrid>
      <w:tr>
        <w:trPr>
          <w:tblHeader/>
        </w:trPr>
        <w:tc>
          <w:tcPr>
            <w:tcW w:type="dxa" w:w="16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Drug A</w:t>
            </w:r>
          </w:p>
        </w:tc>
        <w:tc>
          <w:tcPr>
            <w:tcW w:type="dxa" w:w="16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Drug B</w:t>
            </w:r>
          </w:p>
        </w:tc>
        <w:tc>
          <w:tcPr>
            <w:tcW w:type="dxa" w:w="12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46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5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Clinical Action</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Warfarin</w:t>
            </w:r>
          </w:p>
        </w:tc>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Metronidazole</w:t>
            </w:r>
          </w:p>
        </w:tc>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Major</w:t>
            </w:r>
          </w:p>
        </w:tc>
        <w:tc>
          <w:tcPr>
            <w:tcW w:type="dxa" w:w="24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CYP2C9 inhibition</w:t>
            </w:r>
          </w:p>
        </w:tc>
        <w:tc>
          <w:tcPr>
            <w:tcW w:type="dxa" w:w="2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Monitor INR closely. Consider dose reduction.</w:t>
            </w:r>
          </w:p>
        </w:tc>
      </w:tr>
      <w:tr>
        <w:tc>
          <w:tcPr>
            <w:tcW w:type="dxa" w:w="1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Metformin</w:t>
            </w:r>
          </w:p>
        </w:tc>
        <w:tc>
          <w:tcPr>
            <w:tcW w:type="dxa" w:w="1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IV Contrast</w:t>
            </w:r>
          </w:p>
        </w:tc>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Major</w:t>
            </w:r>
          </w:p>
        </w:tc>
        <w:tc>
          <w:tcPr>
            <w:tcW w:type="dxa" w:w="24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Lactic acidosis risk</w:t>
            </w:r>
          </w:p>
        </w:tc>
        <w:tc>
          <w:tcPr>
            <w:tcW w:type="dxa" w:w="25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Withhold 48h pre/post contrast. Check eGFR.</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Lithium</w:t>
            </w:r>
          </w:p>
        </w:tc>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NSAIDs</w:t>
            </w:r>
          </w:p>
        </w:tc>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Major</w:t>
            </w:r>
          </w:p>
        </w:tc>
        <w:tc>
          <w:tcPr>
            <w:tcW w:type="dxa" w:w="24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Reduced renal Li+ clearance</w:t>
            </w:r>
          </w:p>
        </w:tc>
        <w:tc>
          <w:tcPr>
            <w:tcW w:type="dxa" w:w="2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Avoid. Toxicity risk. Use paracetamol instead.</w:t>
            </w:r>
          </w:p>
        </w:tc>
      </w:tr>
      <w:tr>
        <w:tc>
          <w:tcPr>
            <w:tcW w:type="dxa" w:w="1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ACEi</w:t>
            </w:r>
          </w:p>
        </w:tc>
        <w:tc>
          <w:tcPr>
            <w:tcW w:type="dxa" w:w="1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Potassium sparing</w:t>
            </w:r>
          </w:p>
        </w:tc>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Major</w:t>
            </w:r>
          </w:p>
        </w:tc>
        <w:tc>
          <w:tcPr>
            <w:tcW w:type="dxa" w:w="24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Hyperkalaemia</w:t>
            </w:r>
          </w:p>
        </w:tc>
        <w:tc>
          <w:tcPr>
            <w:tcW w:type="dxa" w:w="25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Monitor K+. Avoid in CKD.</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Gentamicin</w:t>
            </w:r>
          </w:p>
        </w:tc>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Loop diuretics</w:t>
            </w:r>
          </w:p>
        </w:tc>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Moderate</w:t>
            </w:r>
          </w:p>
        </w:tc>
        <w:tc>
          <w:tcPr>
            <w:tcW w:type="dxa" w:w="24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Synergistic nephrotoxicity</w:t>
            </w:r>
          </w:p>
        </w:tc>
        <w:tc>
          <w:tcPr>
            <w:tcW w:type="dxa" w:w="2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Monitor renal function and drug levels.</w:t>
            </w:r>
          </w:p>
        </w:tc>
      </w:tr>
      <w:tr>
        <w:tc>
          <w:tcPr>
            <w:tcW w:type="dxa" w:w="1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SSRIs</w:t>
            </w:r>
          </w:p>
        </w:tc>
        <w:tc>
          <w:tcPr>
            <w:tcW w:type="dxa" w:w="1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Tramadol</w:t>
            </w:r>
          </w:p>
        </w:tc>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Moderate</w:t>
            </w:r>
          </w:p>
        </w:tc>
        <w:tc>
          <w:tcPr>
            <w:tcW w:type="dxa" w:w="24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Serotonin syndrome risk</w:t>
            </w:r>
          </w:p>
        </w:tc>
        <w:tc>
          <w:tcPr>
            <w:tcW w:type="dxa" w:w="25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Avoid combination. Use alternative analgesia.</w:t>
            </w:r>
          </w:p>
        </w:tc>
      </w:tr>
    </w:tbl>
    <w:p>
      <w:pPr>
        <w:spacing w:before="160" w:after="0"/>
      </w:pPr>
      <w:r>
        <w:t xml:space="preserve"/>
      </w:r>
    </w:p>
    <w:p>
      <w:r>
        <w:br w:type="page"/>
      </w:r>
    </w:p>
    <w:p>
      <w:pPr>
        <w:pStyle w:val="Heading1"/>
        <w:pBdr>
          <w:bottom w:val="single" w:color="00A896" w:sz="6" w:space="4"/>
        </w:pBdr>
        <w:spacing w:before="360" w:after="160"/>
      </w:pPr>
      <w:r>
        <w:rPr>
          <w:rFonts w:ascii="Arial" w:cs="Arial" w:eastAsia="Arial" w:hAnsi="Arial"/>
          <w:b/>
          <w:bCs/>
          <w:color w:val="0A1628"/>
          <w:sz w:val="36"/>
          <w:szCs w:val="36"/>
        </w:rPr>
        <w:t xml:space="preserve">6. Deployment Roadmap</w:t>
      </w:r>
    </w:p>
    <w:p>
      <w:pPr>
        <w:pStyle w:val="Heading2"/>
        <w:spacing w:before="280" w:after="120"/>
      </w:pPr>
      <w:r>
        <w:rPr>
          <w:rFonts w:ascii="Arial" w:cs="Arial" w:eastAsia="Arial" w:hAnsi="Arial"/>
          <w:b/>
          <w:bCs/>
          <w:color w:val="0A1628"/>
          <w:sz w:val="26"/>
          <w:szCs w:val="26"/>
        </w:rPr>
        <w:t xml:space="preserve">6.1 Phase Timeline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260"/>
        <w:gridCol w:w="2300"/>
      </w:tblGrid>
      <w:tr>
        <w:trPr>
          <w:tblHeader/>
        </w:trPr>
        <w:tc>
          <w:tcPr>
            <w:tcW w:type="dxa" w:w="16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26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Blocker if Skipped</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0 — Schema</w:t>
            </w:r>
          </w:p>
        </w:tc>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Week 1</w:t>
            </w:r>
          </w:p>
        </w:tc>
        <w:tc>
          <w:tcPr>
            <w:tcW w:type="dxa" w:w="42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All tables above deployed to Supabase (Lagos + UK instances). RLS active.</w:t>
            </w:r>
          </w:p>
        </w:tc>
        <w:tc>
          <w:tcPr>
            <w:tcW w:type="dxa" w:w="23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Everything below</w:t>
            </w:r>
          </w:p>
        </w:tc>
      </w:tr>
      <w:tr>
        <w:tc>
          <w:tcPr>
            <w:tcW w:type="dxa" w:w="1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1 — Auth + Org</w:t>
            </w:r>
          </w:p>
        </w:tc>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Week 2</w:t>
            </w:r>
          </w:p>
        </w:tc>
        <w:tc>
          <w:tcPr>
            <w:tcW w:type="dxa" w:w="42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JWT auth, org creation, user roles, MFA, audit logging.</w:t>
            </w:r>
          </w:p>
        </w:tc>
        <w:tc>
          <w:tcPr>
            <w:tcW w:type="dxa" w:w="23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No data security boundary</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2 — Notes + Loop</w:t>
            </w:r>
          </w:p>
        </w:tc>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Weeks 3-4</w:t>
            </w:r>
          </w:p>
        </w:tc>
        <w:tc>
          <w:tcPr>
            <w:tcW w:type="dxa" w:w="42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L1 persistence. NLP extraction (GPT-4o). Confirmation Loop writing to safety_log.</w:t>
            </w:r>
          </w:p>
        </w:tc>
        <w:tc>
          <w:tcPr>
            <w:tcW w:type="dxa" w:w="23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Notes disappear on refresh</w:t>
            </w:r>
          </w:p>
        </w:tc>
      </w:tr>
      <w:tr>
        <w:tc>
          <w:tcPr>
            <w:tcW w:type="dxa" w:w="1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3 — Follow-Up</w:t>
            </w:r>
          </w:p>
        </w:tc>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Weeks 5-6</w:t>
            </w:r>
          </w:p>
        </w:tc>
        <w:tc>
          <w:tcPr>
            <w:tcW w:type="dxa" w:w="42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L2 persistence. Background jobs. WhatsApp/SMS integration (Twilio).</w:t>
            </w:r>
          </w:p>
        </w:tc>
        <w:tc>
          <w:tcPr>
            <w:tcW w:type="dxa" w:w="23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Missed follow-ups continue</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4 — Formulary</w:t>
            </w:r>
          </w:p>
        </w:tc>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Week 7</w:t>
            </w:r>
          </w:p>
        </w:tc>
        <w:tc>
          <w:tcPr>
            <w:tcW w:type="dxa" w:w="42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Drug database seeded per region. Renal calculator. Top-200 interaction flags.</w:t>
            </w:r>
          </w:p>
        </w:tc>
        <w:tc>
          <w:tcPr>
            <w:tcW w:type="dxa" w:w="23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Safety Loop is static</w:t>
            </w:r>
          </w:p>
        </w:tc>
      </w:tr>
      <w:tr>
        <w:tc>
          <w:tcPr>
            <w:tcW w:type="dxa" w:w="1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5 — Knowledge</w:t>
            </w:r>
          </w:p>
        </w:tc>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Week 8</w:t>
            </w:r>
          </w:p>
        </w:tc>
        <w:tc>
          <w:tcPr>
            <w:tcW w:type="dxa" w:w="42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L3 persistence. Auto-pearl linking on note sign. Graph edge creation.</w:t>
            </w:r>
          </w:p>
        </w:tc>
        <w:tc>
          <w:tcPr>
            <w:tcW w:type="dxa" w:w="23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Pearl data lost on refresh</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6 — Dashboard</w:t>
            </w:r>
          </w:p>
        </w:tc>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Weeks 9-10</w:t>
            </w:r>
          </w:p>
        </w:tc>
        <w:tc>
          <w:tcPr>
            <w:tcW w:type="dxa" w:w="42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L5 from materialized view. Real metrics replace mock data.</w:t>
            </w:r>
          </w:p>
        </w:tc>
        <w:tc>
          <w:tcPr>
            <w:tcW w:type="dxa" w:w="23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No behavioral reinforcement</w:t>
            </w:r>
          </w:p>
        </w:tc>
      </w:tr>
      <w:tr>
        <w:tc>
          <w:tcPr>
            <w:tcW w:type="dxa" w:w="16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7 — Compliance</w:t>
            </w:r>
          </w:p>
        </w:tc>
        <w:tc>
          <w:tcPr>
            <w:tcW w:type="dxa" w:w="1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Week 11</w:t>
            </w:r>
          </w:p>
        </w:tc>
        <w:tc>
          <w:tcPr>
            <w:tcW w:type="dxa" w:w="42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Encryption audit. Penetration test. DPO review per jurisdiction.</w:t>
            </w:r>
          </w:p>
        </w:tc>
        <w:tc>
          <w:tcPr>
            <w:tcW w:type="dxa" w:w="23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Cannot deploy legally</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8 — Pilot</w:t>
            </w:r>
          </w:p>
        </w:tc>
        <w:tc>
          <w:tcPr>
            <w:tcW w:type="dxa" w:w="1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Week 12</w:t>
            </w:r>
          </w:p>
        </w:tc>
        <w:tc>
          <w:tcPr>
            <w:tcW w:type="dxa" w:w="42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10 doctors. Two clinics (one Lagos, one London). Closed beta.</w:t>
            </w:r>
          </w:p>
        </w:tc>
        <w:tc>
          <w:tcPr>
            <w:tcW w:type="dxa" w:w="23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No real-world validation</w:t>
            </w:r>
          </w:p>
        </w:tc>
      </w:tr>
    </w:tbl>
    <w:p>
      <w:pPr>
        <w:spacing w:before="160" w:after="0"/>
      </w:pPr>
      <w:r>
        <w:t xml:space="preserve"/>
      </w:r>
    </w:p>
    <w:p>
      <w:pPr>
        <w:pStyle w:val="Heading2"/>
        <w:spacing w:before="280" w:after="120"/>
      </w:pPr>
      <w:r>
        <w:rPr>
          <w:rFonts w:ascii="Arial" w:cs="Arial" w:eastAsia="Arial" w:hAnsi="Arial"/>
          <w:b/>
          <w:bCs/>
          <w:color w:val="0A1628"/>
          <w:sz w:val="26"/>
          <w:szCs w:val="26"/>
        </w:rPr>
        <w:t xml:space="preserve">6.2 Technology Stack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4500"/>
      </w:tblGrid>
      <w:tr>
        <w:trPr>
          <w:tblHeader/>
        </w:trPr>
        <w:tc>
          <w:tcPr>
            <w:tcW w:type="dxa" w:w="18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6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00"/>
            <w:tcBorders>
              <w:top w:val="single" w:color="CBD5E1" w:sz="4"/>
              <w:left w:val="single" w:color="CBD5E1" w:sz="4"/>
              <w:bottom w:val="single" w:color="CBD5E1" w:sz="4"/>
              <w:right w:val="single" w:color="CBD5E1"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Frontend</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React 18 + Vite + PouchDB</w:t>
            </w:r>
          </w:p>
        </w:tc>
        <w:tc>
          <w:tcPr>
            <w:tcW w:type="dxa" w:w="4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PWA offline support; PouchDB syncs to CouchDB/Supabase.</w:t>
            </w:r>
          </w:p>
        </w:tc>
      </w:tr>
      <w:tr>
        <w:tc>
          <w:tcPr>
            <w:tcW w:type="dxa" w:w="1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Backend API</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Node.js 20 + Express + Zod</w:t>
            </w:r>
          </w:p>
        </w:tc>
        <w:tc>
          <w:tcPr>
            <w:tcW w:type="dxa" w:w="45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Type-safe request validation; high I/O throughput.</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Voice Engine</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FastAPI (Python) + Whisper-v3-Turbo + GPT-4o</w:t>
            </w:r>
          </w:p>
        </w:tc>
        <w:tc>
          <w:tcPr>
            <w:tcW w:type="dxa" w:w="4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Whisper: best medical transcription accuracy. GPT-4o: structured extraction.</w:t>
            </w:r>
          </w:p>
        </w:tc>
      </w:tr>
      <w:tr>
        <w:tc>
          <w:tcPr>
            <w:tcW w:type="dxa" w:w="1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Database</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PostgreSQL 16 on Supabase</w:t>
            </w:r>
          </w:p>
        </w:tc>
        <w:tc>
          <w:tcPr>
            <w:tcW w:type="dxa" w:w="45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RLS built-in; Realtime subscription; managed backups.</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Job Queue</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BullMQ + Redis</w:t>
            </w:r>
          </w:p>
        </w:tc>
        <w:tc>
          <w:tcPr>
            <w:tcW w:type="dxa" w:w="4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Reliable job persistence; retry logic; cron scheduling.</w:t>
            </w:r>
          </w:p>
        </w:tc>
      </w:tr>
      <w:tr>
        <w:tc>
          <w:tcPr>
            <w:tcW w:type="dxa" w:w="1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Messaging</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Twilio (SMS) + WhatsApp Business API</w:t>
            </w:r>
          </w:p>
        </w:tc>
        <w:tc>
          <w:tcPr>
            <w:tcW w:type="dxa" w:w="45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Both support Nigeria, UK, Canada. Template messages for clinical reminders.</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Auth</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JWT (15min) + Refresh Token (7d) + TOTP MFA</w:t>
            </w:r>
          </w:p>
        </w:tc>
        <w:tc>
          <w:tcPr>
            <w:tcW w:type="dxa" w:w="4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Short-lived JWT prevents token theft impact.</w:t>
            </w:r>
          </w:p>
        </w:tc>
      </w:tr>
      <w:tr>
        <w:tc>
          <w:tcPr>
            <w:tcW w:type="dxa" w:w="1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Encryption</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pgcrypto (DB) + AWS KMS (key management)</w:t>
            </w:r>
          </w:p>
        </w:tc>
        <w:tc>
          <w:tcPr>
            <w:tcW w:type="dxa" w:w="45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Per-org keys; HSM-backed for healthcare compliance.</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Cache / Session</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Redis</w:t>
            </w:r>
          </w:p>
        </w:tc>
        <w:tc>
          <w:tcPr>
            <w:tcW w:type="dxa" w:w="45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Arial" w:cs="Arial" w:eastAsia="Arial" w:hAnsi="Arial"/>
                <w:color w:val="0F172A"/>
                <w:sz w:val="20"/>
                <w:szCs w:val="20"/>
              </w:rPr>
              <w:t xml:space="preserve">Session storage; rate limiting; temporary OTP codes.</w:t>
            </w:r>
          </w:p>
        </w:tc>
      </w:tr>
      <w:tr>
        <w:tc>
          <w:tcPr>
            <w:tcW w:type="dxa" w:w="18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Monitoring</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Sentry + Datadog + PagerDuty</w:t>
            </w:r>
          </w:p>
        </w:tc>
        <w:tc>
          <w:tcPr>
            <w:tcW w:type="dxa" w:w="45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Arial" w:cs="Arial" w:eastAsia="Arial" w:hAnsi="Arial"/>
                <w:color w:val="0F172A"/>
                <w:sz w:val="20"/>
                <w:szCs w:val="20"/>
              </w:rPr>
              <w:t xml:space="preserve">Error capture, uptime SLA, on-call rotation.</w:t>
            </w:r>
          </w:p>
        </w:tc>
      </w:tr>
    </w:tbl>
    <w:p>
      <w:pPr>
        <w:spacing w:before="160" w:after="0"/>
      </w:pPr>
      <w:r>
        <w:t xml:space="preserve"/>
      </w:r>
    </w:p>
    <w:p>
      <w:r>
        <w:br w:type="page"/>
      </w:r>
    </w:p>
    <w:p>
      <w:pPr>
        <w:pStyle w:val="Heading1"/>
        <w:pBdr>
          <w:bottom w:val="single" w:color="00A896" w:sz="6" w:space="4"/>
        </w:pBdr>
        <w:spacing w:before="360" w:after="160"/>
      </w:pPr>
      <w:r>
        <w:rPr>
          <w:rFonts w:ascii="Arial" w:cs="Arial" w:eastAsia="Arial" w:hAnsi="Arial"/>
          <w:b/>
          <w:bCs/>
          <w:color w:val="0A1628"/>
          <w:sz w:val="36"/>
          <w:szCs w:val="36"/>
        </w:rPr>
        <w:t xml:space="preserve">7. The Long-Term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0A896" w:sz="4"/>
              <w:left w:val="single" w:color="00A896" w:sz="4"/>
              <w:bottom w:val="single" w:color="00A896" w:sz="4"/>
              <w:right w:val="single" w:color="00A896" w:sz="4"/>
            </w:tcBorders>
            <w:shd w:fill="00A896" w:val="clear"/>
            <w:tcMar>
              <w:top w:type="dxa" w:w="60"/>
              <w:left w:type="dxa" w:w="120"/>
              <w:bottom w:type="dxa" w:w="60"/>
              <w:right w:type="dxa" w:w="120"/>
            </w:tcMar>
          </w:tcPr>
          <w:p>
            <w:r>
              <w:rPr>
                <w:rFonts w:ascii="Arial" w:cs="Arial" w:eastAsia="Arial" w:hAnsi="Arial"/>
                <w:b/>
                <w:bCs/>
                <w:color w:val="FFFFFF"/>
                <w:sz w:val="18"/>
                <w:szCs w:val="18"/>
              </w:rPr>
              <w:t xml:space="preserve">COMPOUNDING CLINICAL INTELLIGENCE</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Every signed note contributes structured ICD-10, medication safety decisions, and follow-up outcome data to an anonymised aggregate.</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After 10,000 signed notes: the system begins recognising diagnosis-prescribing patterns specific to a clinic population.</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After 100,000 notes (multi-clinic): pattern recognition across Lagos malaria seasons, UK winter pressures, Canadian rural access gaps emerges.</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The Knowledge Graph becomes a self-reinforcing clinical intelligence system: not 'Google for doctors' but 'your clinic's institutional memory'.</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The Confirmation Loop audit trail becomes a safety dataset: which drugs trigger the most overrides? In which clinic? By which cohort of doctors? This is gold for clinical governance bodies.</w:t>
            </w:r>
          </w:p>
        </w:tc>
      </w:tr>
      <w:tr>
        <w:tc>
          <w:tcPr>
            <w:tcBorders>
              <w:top w:val="none" w:color="FFFFFF" w:sz="0"/>
              <w:left w:val="single" w:color="00A896" w:sz="8"/>
              <w:bottom w:val="none" w:color="FFFFFF" w:sz="0"/>
              <w:right w:val="none" w:color="FFFFFF" w:sz="0"/>
            </w:tcBorders>
            <w:shd w:fill="E6F7F5" w:val="clear"/>
            <w:tcMar>
              <w:top w:type="dxa" w:w="60"/>
              <w:left w:type="dxa" w:w="120"/>
              <w:bottom w:type="dxa" w:w="60"/>
              <w:right w:type="dxa" w:w="120"/>
            </w:tcMar>
          </w:tcPr>
          <w:p>
            <w:pPr>
              <w:spacing w:before="20" w:after="20"/>
            </w:pPr>
            <w:r>
              <w:rPr>
                <w:rFonts w:ascii="Arial" w:cs="Arial" w:eastAsia="Arial" w:hAnsi="Arial"/>
                <w:color w:val="0F172A"/>
                <w:sz w:val="20"/>
                <w:szCs w:val="20"/>
              </w:rPr>
              <w:t xml:space="preserve">No competitor can replicate this without the same structured data pipeline. The moat is the data model, not the UI.</w:t>
            </w:r>
          </w:p>
        </w:tc>
      </w:tr>
    </w:tbl>
    <w:p>
      <w:pPr>
        <w:spacing w:before="200" w:after="0"/>
      </w:pPr>
      <w:r>
        <w:t xml:space="preserve"/>
      </w:r>
    </w:p>
    <w:p>
      <w:pPr>
        <w:spacing w:before="160" w:after="80"/>
        <w:jc w:val="center"/>
      </w:pPr>
      <w:r>
        <w:rPr>
          <w:rFonts w:ascii="Arial" w:cs="Arial" w:eastAsia="Arial" w:hAnsi="Arial"/>
          <w:i/>
          <w:iCs/>
          <w:color w:val="475569"/>
          <w:sz w:val="20"/>
          <w:szCs w:val="20"/>
        </w:rPr>
        <w:t xml:space="preserve">MedOS — Architecture Blueprint v1.0</w:t>
      </w:r>
    </w:p>
    <w:p>
      <w:pPr>
        <w:spacing w:before="0" w:after="0"/>
        <w:jc w:val="center"/>
      </w:pPr>
      <w:r>
        <w:rPr>
          <w:rFonts w:ascii="Arial" w:cs="Arial" w:eastAsia="Arial" w:hAnsi="Arial"/>
          <w:color w:val="475569"/>
          <w:sz w:val="18"/>
          <w:szCs w:val="18"/>
        </w:rPr>
        <w:t xml:space="preserve">Lagos · London · Toronto | Confidential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75569"/>
        <w:sz w:val="18"/>
        <w:szCs w:val="18"/>
      </w:rPr>
      <w:t xml:space="preserve">MedOS Architecture Blueprint  |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A162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2026-03-01T07:18:11.112Z</dcterms:created>
  <dcterms:modified xsi:type="dcterms:W3CDTF">2026-03-01T07:18:11.113Z</dcterms:modified>
</cp:coreProperties>
</file>

<file path=docProps/custom.xml><?xml version="1.0" encoding="utf-8"?>
<Properties xmlns="http://schemas.openxmlformats.org/officeDocument/2006/custom-properties" xmlns:vt="http://schemas.openxmlformats.org/officeDocument/2006/docPropsVTypes"/>
</file>