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52"/>
          <w:szCs w:val="52"/>
          <w:rtl w:val="0"/>
        </w:rPr>
        <w:t xml:space="preserve">MANOJ MUKHERJEE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AI Architect  ·  Agentic AI &amp; Multi-Agent Systems  ·  Enterprise GenAI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manojmukherjee777@gmail.com  ·  +91 8892525120  ·  Bengaluru, India  ·  Open to Relocation / Visa Sponsorship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before="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www.manojmukherjee.co.in</w:t>
        </w:r>
      </w:hyperlink>
      <w:r w:rsidDel="00000000" w:rsidR="00000000" w:rsidRPr="00000000">
        <w:rPr>
          <w:rFonts w:ascii="Arial" w:cs="Arial" w:eastAsia="Arial" w:hAnsi="Arial"/>
          <w:color w:val="64748b"/>
          <w:sz w:val="18"/>
          <w:szCs w:val="18"/>
          <w:rtl w:val="0"/>
        </w:rPr>
        <w:t xml:space="preserve">  ·  </w:t>
      </w:r>
      <w:hyperlink r:id="rId7">
        <w:r w:rsidDel="00000000" w:rsidR="00000000" w:rsidRPr="00000000">
          <w:rPr>
            <w:rFonts w:ascii="Arial" w:cs="Arial" w:eastAsia="Arial" w:hAnsi="Arial"/>
            <w:color w:val="2563eb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color w:val="64748b"/>
          <w:sz w:val="18"/>
          <w:szCs w:val="18"/>
          <w:rtl w:val="0"/>
        </w:rPr>
        <w:t xml:space="preserve">  ·  </w:t>
      </w:r>
      <w:hyperlink r:id="rId8">
        <w:r w:rsidDel="00000000" w:rsidR="00000000" w:rsidRPr="00000000">
          <w:rPr>
            <w:rFonts w:ascii="Arial" w:cs="Arial" w:eastAsia="Arial" w:hAnsi="Arial"/>
            <w:color w:val="2563eb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" w:cs="Arial" w:eastAsia="Arial" w:hAnsi="Arial"/>
          <w:color w:val="64748b"/>
          <w:sz w:val="18"/>
          <w:szCs w:val="18"/>
          <w:rtl w:val="0"/>
        </w:rPr>
        <w:t xml:space="preserve">  ·  </w:t>
      </w:r>
      <w:hyperlink r:id="rId9">
        <w:r w:rsidDel="00000000" w:rsidR="00000000" w:rsidRPr="00000000">
          <w:rPr>
            <w:rFonts w:ascii="Arial" w:cs="Arial" w:eastAsia="Arial" w:hAnsi="Arial"/>
            <w:color w:val="2563eb"/>
            <w:sz w:val="18"/>
            <w:szCs w:val="18"/>
            <w:u w:val="single"/>
            <w:rtl w:val="0"/>
          </w:rPr>
          <w:t xml:space="preserve">Medium / Technical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563eb" w:space="2" w:sz="8" w:val="single"/>
        </w:pBd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AI Architect and Engineering Leader with 10+ years delivering enterprise-scale AI systems, cloud-native platforms, and production GenAI applications across BFSI, Logistics, Cybersecurity, and Retail. Specializes in Agentic AI, multi-agent orchestration (LangGraph, Google ADK, MCP), and Enterprise RAG pipelines. Proven ability to drive 0 to 1 AI initiatives - from architecture and rapid prototyping through production deployment and scale, while partnering with C-suite stakeholders and mentoring high-performing engineering teams. Currently architecting AI platforms at Publicis Sapient that reduced manual workflows by 40%+ and accelerated delivery lifecycles by ~2x.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563eb" w:space="2" w:sz="8" w:val="single"/>
        </w:pBd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00"/>
        <w:gridCol w:w="7780"/>
        <w:tblGridChange w:id="0">
          <w:tblGrid>
            <w:gridCol w:w="2300"/>
            <w:gridCol w:w="7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Agentic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LangGraph, Google ADK, LangChain, MCP, Multi-Agent Orchestration, Agentic RAG, Tool Calling, Human-in-the-Loop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RAG &amp; Context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Hybrid Search, pgvector, Reranking, Long-Term Memory, Context Engineering, Retrieval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AI Reliability &amp;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LLM Evaluation, Responsible AI, Guardrails, AI Observability, Prompt/Context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AI Platforms &amp;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OpenAI, Anthropic Claude, AWS Bedrock, Vertex AI, Gemini, vLLM, Ollama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AWS AI 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AI/ML Services, Foundation Models, Generative AI, AWS Shared Responsibility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Backend &amp;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Python, FastAPI, Node.js, REST, GraphQL, WebSockets, Microservices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PostgreSQL, MongoDB, pgvector, Pinecone, ChromaDB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Cloud &amp; Platform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AWS, GCP, Kubernetes, Docker, OpenShift AI, NVIDIA Run:AI, CI/CD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Frontend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Next.js, React, TypeScript, Microfrontends, Module Federation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Architecture &amp; 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Enterprise AI Architecture, AI Strategy, System Design, Technical Governance, Stakeholder Management, Mentoring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bottom w:color="d9e2f3" w:space="1" w:sz="8" w:val="single"/>
        </w:pBdr>
        <w:spacing w:after="40" w:before="140" w:lineRule="auto"/>
        <w:rPr>
          <w:rFonts w:ascii="Aptos" w:cs="Aptos" w:eastAsia="Aptos" w:hAnsi="Aptos"/>
          <w:b w:val="1"/>
          <w:bCs w:val="1"/>
          <w:color w:val="1f4e7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d9e2f3" w:space="1" w:sz="8" w:val="single"/>
        </w:pBdr>
        <w:spacing w:after="40" w:before="140" w:lineRule="auto"/>
        <w:rPr>
          <w:rFonts w:ascii="Aptos" w:cs="Aptos" w:eastAsia="Aptos" w:hAnsi="Aptos"/>
          <w:sz w:val="17"/>
          <w:szCs w:val="17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18"/>
          <w:szCs w:val="18"/>
          <w:rtl w:val="0"/>
        </w:rPr>
        <w:t xml:space="preserve">AI ARCHITECTURE VALUE PROPOSITION</w:t>
      </w:r>
      <w:r w:rsidDel="00000000" w:rsidR="00000000" w:rsidRPr="00000000">
        <w:rPr>
          <w:rtl w:val="0"/>
        </w:rPr>
      </w:r>
    </w:p>
    <w:tbl>
      <w:tblPr>
        <w:tblStyle w:val="Table2"/>
        <w:tblW w:w="10856.0" w:type="dxa"/>
        <w:jc w:val="center"/>
        <w:tblLayout w:type="fixed"/>
        <w:tblLook w:val="0400"/>
      </w:tblPr>
      <w:tblGrid>
        <w:gridCol w:w="2714"/>
        <w:gridCol w:w="2714"/>
        <w:gridCol w:w="2714"/>
        <w:gridCol w:w="2714"/>
        <w:tblGridChange w:id="0">
          <w:tblGrid>
            <w:gridCol w:w="2714"/>
            <w:gridCol w:w="2714"/>
            <w:gridCol w:w="2714"/>
            <w:gridCol w:w="2714"/>
          </w:tblGrid>
        </w:tblGridChange>
      </w:tblGrid>
      <w:tr>
        <w:trPr>
          <w:cantSplit w:val="0"/>
          <w:tblHeader w:val="0"/>
        </w:trPr>
        <w:tc>
          <w:tcPr>
            <w:shd w:fill="f3f6fa" w:val="clear"/>
            <w:tcMar>
              <w:top w:w="5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ptos" w:cs="Aptos" w:eastAsia="Aptos" w:hAnsi="Aptos"/>
                <w:sz w:val="17"/>
                <w:szCs w:val="17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1"/>
                <w:szCs w:val="21"/>
                <w:rtl w:val="0"/>
              </w:rPr>
              <w:t xml:space="preserve">10+ yrs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5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ptos" w:cs="Aptos" w:eastAsia="Aptos" w:hAnsi="Aptos"/>
                <w:sz w:val="17"/>
                <w:szCs w:val="17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1"/>
                <w:szCs w:val="21"/>
                <w:rtl w:val="0"/>
              </w:rPr>
              <w:t xml:space="preserve">3.5+ yrs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5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ptos" w:cs="Aptos" w:eastAsia="Aptos" w:hAnsi="Aptos"/>
                <w:sz w:val="17"/>
                <w:szCs w:val="17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1"/>
                <w:szCs w:val="21"/>
                <w:rtl w:val="0"/>
              </w:rPr>
              <w:t xml:space="preserve">40%+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5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ptos" w:cs="Aptos" w:eastAsia="Aptos" w:hAnsi="Aptos"/>
                <w:sz w:val="17"/>
                <w:szCs w:val="17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1"/>
                <w:szCs w:val="21"/>
                <w:rtl w:val="0"/>
              </w:rPr>
              <w:t xml:space="preserve">~2x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5.0" w:type="dxa"/>
              <w:bottom w:w="55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ptos" w:cs="Aptos" w:eastAsia="Aptos" w:hAnsi="Aptos"/>
                <w:sz w:val="17"/>
                <w:szCs w:val="17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Enterprise software, cloud-native platforms, 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55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ptos" w:cs="Aptos" w:eastAsia="Aptos" w:hAnsi="Aptos"/>
                <w:sz w:val="17"/>
                <w:szCs w:val="17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Focused Enterprise GenAI, RAG, agents, LLM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55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ptos" w:cs="Aptos" w:eastAsia="Aptos" w:hAnsi="Aptos"/>
                <w:sz w:val="17"/>
                <w:szCs w:val="17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Manual workflow reduction via AI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55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ptos" w:cs="Aptos" w:eastAsia="Aptos" w:hAnsi="Aptos"/>
                <w:sz w:val="17"/>
                <w:szCs w:val="17"/>
              </w:rPr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Faster AI delivery lifecycle using reusable patterns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Bdr>
          <w:bottom w:color="d9e2f3" w:space="1" w:sz="8" w:val="single"/>
        </w:pBdr>
        <w:spacing w:after="40" w:before="140" w:lineRule="auto"/>
        <w:rPr>
          <w:rFonts w:ascii="Arial" w:cs="Arial" w:eastAsia="Arial" w:hAnsi="Arial"/>
          <w:b w:val="1"/>
          <w:bCs w:val="1"/>
          <w:color w:val="1b3a6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2563eb" w:space="2" w:sz="8" w:val="single"/>
        </w:pBd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SELECTED AI PRODUCTS, CASE STUDIES &amp; THOUGHT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before="8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sz w:val="19"/>
          <w:szCs w:val="19"/>
          <w:rtl w:val="0"/>
        </w:rPr>
        <w:t xml:space="preserve">Astra (অস্ত্র) – AI Assistant Platform -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19"/>
          <w:szCs w:val="19"/>
          <w:rtl w:val="0"/>
        </w:rPr>
        <w:t xml:space="preserve"> </w:t>
      </w: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9"/>
            <w:szCs w:val="19"/>
            <w:u w:val="single"/>
            <w:rtl w:val="0"/>
          </w:rPr>
          <w:t xml:space="preserve">https://www.manojmukherjee.co.in/chat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Designed and built a conversational AI assistant enabling users, engineers, students, architects, and business stakeholders to explore AI architectures, engineering practices, case studies, technical content, and consulting services through natural language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AI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Built a centralized AI Gateway architecture providing secure access to multiple LLM providers, AI services, and enterprise integrations through a unified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GraphRAG &amp; Enterprise Knowledge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Designed retrieval architectures and GraphRAG systems enabling enterprise knowledge discovery, contextual reasoning, and AI-powered decision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Engineering &amp; Architecture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Created a public platform for sharing real-world system design patterns, AI architecture frameworks, engineering practices, and production implementation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AI Case Studies &amp; Technical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Published practical case studies, engineering blogs, architecture deep dives, and implementation guides covering Agentic AI, Enterprise RAG, Multi-Agent Systems, AI Platform Engineering, and AI Transformation.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2563eb" w:space="2" w:sz="8" w:val="single"/>
        </w:pBdr>
        <w:spacing w:after="60" w:before="180" w:lineRule="auto"/>
        <w:rPr>
          <w:rFonts w:ascii="Arial" w:cs="Arial" w:eastAsia="Arial" w:hAnsi="Arial"/>
          <w:b w:val="1"/>
          <w:bCs w:val="1"/>
          <w:color w:val="1b3a6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2563eb" w:space="2" w:sz="8" w:val="single"/>
        </w:pBd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10080"/>
        </w:tabs>
        <w:spacing w:after="3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2"/>
          <w:szCs w:val="22"/>
          <w:rtl w:val="0"/>
        </w:rPr>
        <w:t xml:space="preserve">PUBLICIS SAPIENT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AI Architect / Technical Lead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Mar 2023 – Present  ·  Bengaluru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Architected enterprise Agentic RAG platforms using LangGraph, MCP, and multi-agent orchestration, serving complex BFSI workflows for Fortune 500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Designed multi-agent systems with dynamic tool calling, long-term memory, and contextual retrieval pipelines using pgvector + MongoDB hybrid search, improving retrieval relevance by 35%+.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Built production AI microservices (FastAPI, containerized Python) and full-stack AI applications (Next.js, TypeScript, AI SDKs) deployed on Kubernetes, OpenShift AI, and NVIDIA Run:AI.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Led AI architecture reviews, discovery workshops, and strategy sessions with enterprise stakeholders and senior leadership (CTO/VP level).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rapid prototyping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 for RFPs across BFSI, Retail, and Logistics; accelerated POC-to-production lifecycle by nearly 2×.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Mentored engineers in full-cycle AI engineering (design → deploy → scale)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 delivered AI workshops and L&amp;D programs across the org.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Reduced manual workflow effort by 40%+ via AI-driven automation; received FS WEST SUPERNOVA Award and Spot Award for AI Innovation.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10080"/>
        </w:tabs>
        <w:spacing w:after="3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KOTAK MAHINDRA BANK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Chief Manager (SDE III)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Sep 2022 – Feb 2023  ·  Bengaluru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Contributed to architecture initiatives for Kotak811 digital banking platform, focusing on fraud prevention, compliance, security, and UPI 2.0 modernization.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Collaborated with CTO and business stakeholders on product and architecture decisions; guided external/vendor engineering teams on standards and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10080"/>
        </w:tabs>
        <w:spacing w:after="3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A.P. MØLLER – MAERSK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Software Engineer III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Aug 2021 – Aug 2022  ·  Bengaluru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Established microfrontend architecture using Module Federation (React + Next.js), enabling independently deployable frontend modules at enterprise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Implemented SSR for microfrontends, improving performance by 25–30% and reducing initial load times; shaped the Anchor Design System across Maersk's React ecosystem.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Mentored engineers and provided architectural direction across teams; received Maersk Star Award.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10080"/>
        </w:tabs>
        <w:spacing w:after="3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KRISTA SOFTWARE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Senior Software Engineer / Founding Engineer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Jun 2020 – Jul 2021  ·  Bengaluru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Founding engineering member for an AI-driven enterprise automation platform; contributed to architecture, scalability strategy, and cross-platform product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Led functional development, code reviews, and mentored engineers; received Krista Excellence Award for outstanding impact on engineering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10080"/>
        </w:tabs>
        <w:spacing w:after="3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OPTIV INC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Software Engineer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Jun 2019 – Jun 2020  ·  Bengaluru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Built cybersecurity platforms, analytics dashboards, and internal APIs using React.js, GraphQL, Node.js, and MongoDB; contributed to CI/CD pipeline and production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10080"/>
        </w:tabs>
        <w:spacing w:after="3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HEWLETT PACKARD ENTERPRISE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Software Engineer I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Dec 2018 – Jun 2019  ·  Bengaluru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Built React.js / Redux interfaces for hybrid cloud products (OpenSphere, GreenLake); contributed to open-source Grommet design system and gained cloud-native infrastructure foundations.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right" w:leader="none" w:pos="10080"/>
        </w:tabs>
        <w:spacing w:after="3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WILLIAM O'NEIL INDIA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Software Engineer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Jul 2016 – Dec 2018  ·  Bengaluru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Built Panaray, a flagship financial analytics and real-time market intelligence platform, from scratch—including frontend architecture, state management (Flux → Redux/Saga), and BFF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Mentored junior engineers; multiple mentees progressed to senior/tech-lead roles. Received Excellence Award for Rapid Delivery.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2563eb" w:space="2" w:sz="8" w:val="single"/>
        </w:pBd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KEY AI PROJECTS &amp;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Enterprise Agentic RAG Platform  (BFSI)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Designed enterprise-grade multi-agent architecture for BFSI workflow automation using LangGraph and MCP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Implemented hybrid retrieval with pgvector + MongoDB, long-term memory, and contextual reasoning pipelines; significantly improved retrieval relevance and generative response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Deployed scalable AI infrastructure on Kubernetes and OpenShift AI; established reusable AI platform patterns across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AI Gateway — Unified Multi-LLM Enterprise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Architected a unified gateway abstracting OpenAI, Claude, Gemini, and self-hosted LLMs (vLLM, Ollama) behind a single FastAPI interface with routing, fallback, and rate-limiting.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Enabled enterprise teams to swap LLM providers without code changes; accelerated GenAI experimentation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Astra — Personal AI Architect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Built a production AI assistant powering engineering consulting, architecture case studies, and discovery (manojmukherjee.co.in).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Leverages Agentic RAG, MCP tools, and contextual memory; serves as a live demonstration of production-grade AI architecture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Vision AI &amp; OCR Intelligence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Built AI systems integrating OCR, Vision LLMs, and generative models for intelligent document extraction and contextual reasoning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2563eb" w:space="2" w:sz="8" w:val="single"/>
        </w:pBd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PUBLICATIONS &amp; THOUGHT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8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  <w:rtl w:val="0"/>
        </w:rPr>
        <w:t xml:space="preserve">Published on Medium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4748b"/>
          <w:sz w:val="18"/>
          <w:szCs w:val="18"/>
          <w:rtl w:val="0"/>
        </w:rPr>
        <w:t xml:space="preserve">( </w:t>
      </w: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https://www.medium.com/@manojmukherjee777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4748b"/>
          <w:sz w:val="18"/>
          <w:szCs w:val="18"/>
          <w:rtl w:val="0"/>
        </w:rPr>
        <w:t xml:space="preserve"> ) —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  <w:rtl w:val="0"/>
        </w:rPr>
        <w:t xml:space="preserve">selected technical writing: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Agent-to-Agent Communication Systems and orchestration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Advanced Retrieval-Augmented Generation (RAG): hybrid search, memory, and contextual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Building Real-Time AI Agents with LangChain, LangGraph, and Open Source LLMs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AI + OCR + Vision Systems: intelligent document extraction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AI-Powered Stock Analysis using LangGraph &amp; DeepSeek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2563eb" w:space="2" w:sz="8" w:val="single"/>
        </w:pBd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right" w:leader="none" w:pos="10080"/>
        </w:tabs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Master of Computer Applications (MCA)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2013 – 2016  ·  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Visvesvaraya Technological University,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right" w:leader="none" w:pos="10080"/>
        </w:tabs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Bachelor of Computer Applications – Honours (BCA)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2010 – 2013  ·  76%  ·  University 3rd Rank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University of Burdwan,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2563eb" w:space="2" w:sz="8" w:val="single"/>
        </w:pBd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CERTIFICATIONS &amp; PROFESSIONAL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30" w:before="30" w:lineRule="auto"/>
        <w:ind w:left="480" w:hanging="280"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AWS Certified AI Practitioner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https://www.credly.com/badges/7ea65b79-ee4d-449f-8d98-f52fd0734b88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30" w:before="30" w:lineRule="auto"/>
        <w:ind w:left="480" w:hanging="280"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AWS Partner: Generative AI Essentials - Training Badge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https://www.credly.com/badges/d73299c5-9799-40e3-aa36-3154e0e85933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30" w:before="30" w:lineRule="auto"/>
        <w:ind w:left="480" w:hanging="280"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Google AI Leadership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| Udemy coursework completed; Google certification exam planned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30" w:before="30" w:lineRule="auto"/>
        <w:ind w:left="480" w:hanging="280"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Applied Quantum AI PhD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| Planned pursuit from Jan 2027 (prospective; not yet enrolled)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2563eb" w:space="2" w:sz="8" w:val="single"/>
        </w:pBd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AWARDS &amp;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3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FS WEST SUPERNOVA Award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·  Publicis Sapient  ·  Industry recognition for AI innovation and thought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Spot Award for AI Innovation &amp; Mentoring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·  Publicis Sapient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Maersk Star Award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·  A.P. Møller – Maersk  ·  Engineering excellence and architectural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Krista Excellence Award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·  Krista Software  ·  Outstanding engineering impact as Founding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University 3rd Rank Holder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·  BCA Honours, University of Burdwan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2563eb" w:space="2" w:sz="8" w:val="single"/>
        </w:pBd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ADDITIONAL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3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Languages: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English (Professional)  ·  Hindi (Professional)  ·  Bengali (Native)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Open to: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Worldwide engagements  ·  Relocation  ·  Visa sponsorship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Architecture Lab &amp; Case Studies: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</w:r>
      <w:hyperlink r:id="rId14">
        <w:r w:rsidDel="00000000" w:rsidR="00000000" w:rsidRPr="00000000">
          <w:rPr>
            <w:rFonts w:ascii="Arial" w:cs="Arial" w:eastAsia="Arial" w:hAnsi="Arial"/>
            <w:color w:val="2563eb"/>
            <w:sz w:val="18"/>
            <w:szCs w:val="18"/>
            <w:u w:val="single"/>
            <w:rtl w:val="0"/>
          </w:rPr>
          <w:t xml:space="preserve">manojmukherjee.co.in/case-studies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Vrinda"/>
  <w:font w:name="Arial Unicode MS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48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edium.com/@manojmukherjee777" TargetMode="External"/><Relationship Id="rId10" Type="http://schemas.openxmlformats.org/officeDocument/2006/relationships/hyperlink" Target="https://www.manojmukherjee.co.in/chat" TargetMode="External"/><Relationship Id="rId13" Type="http://schemas.openxmlformats.org/officeDocument/2006/relationships/hyperlink" Target="https://www.credly.com/badges/d73299c5-9799-40e3-aa36-3154e0e85933" TargetMode="External"/><Relationship Id="rId12" Type="http://schemas.openxmlformats.org/officeDocument/2006/relationships/hyperlink" Target="https://www.credly.com/badges/7ea65b79-ee4d-449f-8d98-f52fd0734b8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@manojmukherjee777" TargetMode="External"/><Relationship Id="rId14" Type="http://schemas.openxmlformats.org/officeDocument/2006/relationships/hyperlink" Target="https://www.manojmukherjee.co.in/case-studi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anojmukherjee.co.in" TargetMode="External"/><Relationship Id="rId7" Type="http://schemas.openxmlformats.org/officeDocument/2006/relationships/hyperlink" Target="https://in.linkedin.com/in/manoj-mukherjee" TargetMode="External"/><Relationship Id="rId8" Type="http://schemas.openxmlformats.org/officeDocument/2006/relationships/hyperlink" Target="https://github.com/2manoj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