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Maritime Chokepoint Disruption Events</w:t>
      </w:r>
    </w:p>
    <w:p>
      <w:pPr>
        <w:spacing w:before="0" w:after="40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Comtrade Monthly Extraction Strategy &amp; API Budget Plan</w:t>
      </w:r>
    </w:p>
    <w:p>
      <w:pPr>
        <w:spacing w:before="0" w:after="20"/>
      </w:pPr>
      <w:r>
        <w:rPr>
          <w:rFonts w:ascii="Arial" w:cs="Arial" w:eastAsia="Arial" w:hAnsi="Arial"/>
          <w:color w:val="95A5A6"/>
          <w:sz w:val="17"/>
          <w:szCs w:val="17"/>
        </w:rPr>
        <w:t xml:space="preserve">Trade Pipeline Capstone  ·  Reporters: BGR, CHN, EUR, FRA, NLD, ROU, ESP, USA  ·  HS Codes: 10, 12, 2709, 2710  ·  2020–2025</w:t>
      </w:r>
    </w:p>
    <w:p>
      <w:pPr>
        <w:pBdr>
          <w:bottom w:val="single" w:color="2E5FA3" w:sz="8" w:space="1"/>
        </w:pBdr>
        <w:spacing w:before="0" w:after="240"/>
      </w:pPr>
    </w:p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Disruption Event Catalogue  —  Lead &amp; Lag Windows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row defines one measurable disruption, its affected chokepoints, and the recommended Comtrade extraction window. Lead months capture brewing effects before the trigger; lag months capture trailing disruption and recovery. The Comtrade window is what you should request as monthly data from the API.</w:t>
      </w:r>
    </w:p>
    <w:p/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80"/>
        <w:gridCol w:w="680"/>
        <w:gridCol w:w="1400"/>
        <w:gridCol w:w="680"/>
        <w:gridCol w:w="680"/>
        <w:gridCol w:w="1300"/>
        <w:gridCol w:w="680"/>
        <w:gridCol w:w="1880"/>
      </w:tblGrid>
      <w:tr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/ Disruption</w:t>
            </w:r>
          </w:p>
        </w:tc>
        <w:tc>
          <w:tcPr>
            <w:tcW w:type="dxa" w:w="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Chokepoints</w:t>
            </w:r>
          </w:p>
        </w:tc>
        <w:tc>
          <w:tcPr>
            <w:tcW w:type="dxa" w:w="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(−2m)</w:t>
            </w:r>
          </w:p>
        </w:tc>
        <w:tc>
          <w:tcPr>
            <w:tcW w:type="dxa" w:w="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 (+3m)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Comtrade Window</w:t>
            </w:r>
          </w:p>
        </w:tc>
        <w:tc>
          <w:tcPr>
            <w:tcW w:type="dxa" w:w="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Analytical Notes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Ever Given Blockage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Suez Canal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2021-01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2021-01 → 2021-06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Six-day full blockage. Immediate shock, very contained. Clean experiment.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Houthi / Red Sea Crisis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2023-11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2024-12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Suez, Bab el-Mandeb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2023-08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2025-03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2023-08 → 2025-03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Largest sustained disruption in your dataset. Major Cape diversion. Central event.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Saudi-Yemen War Escalation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2019-09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Bab el-Mandeb, Hormuz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2019-07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2019-07 → 2020-06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Pre-period baseline. Abqaiq attack Sep 2019. Limited monthly data available.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Iran-US Hormuz Tensions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Strait of Hormuz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2019-04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2019-04 → 2020-06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Tanker seizures mid-2019. Affects CHN crude imports most directly.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Iran Nuclear / JCPOA Crisis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2022-09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Strait of Hormuz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2022-12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 → 2022-12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Sanctions pressure. Relevant to CHN crude and NLD/EUR refined petrol.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 Sea → Cape Diversion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2023-12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2024-12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Cape of Good Hope, Suez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2023-10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2025-03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2023-10 → 2025-03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Massive surge in Cape routing. PortWatch data richest here. Ties to Houthi event.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Panama Drought / Low Water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2023-09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2024-04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Panama Canal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2024-06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2023-06 → 2024-06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Affects USA most directly. HS10/12 flows (grain) possibly re-routed.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COVID-19 Trade Shock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chokepoints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2020-01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2020-01 → 2021-03</w:t>
            </w:r>
          </w:p>
        </w:tc>
        <w:tc>
          <w:tcPr>
            <w:tcW w:type="dxa" w:w="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Baseline disruption. Not chokepoint-specific but anchors 2020 trade baseline.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</w:tcPr>
          <w:p/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 logic: Lead = event start − 2 months (to capture pre-disruption trend and any early signalling). Lag = event end + 3 months (to capture re-routing tail and trade normalisation). For the Houthi event still ongoing in 2024, lag extends to earliest available 2025 monthly data.</w:t>
            </w:r>
          </w:p>
        </w:tc>
      </w:tr>
    </w:tbl>
    <w:p/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Targeted Monthly Comtrade Pull Plan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Prioritise HIGH-priority events first. Pull world-total partner (partner_code=0) before drilling individual partners, to minimise calls while maximising analytical coverage. Each row below is one logical batch you can run as a single script execution with rate-limit controls.</w:t>
      </w:r>
    </w:p>
    <w:p/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260"/>
        <w:gridCol w:w="2500"/>
        <w:gridCol w:w="700"/>
      </w:tblGrid>
      <w:tr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Reporters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Commodities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API Calls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Ever Given (Suez 2021-03)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ESP, FRA, NLD, 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2709, 2710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2021-01 to 2021-06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6 reporters × 2 cmd × 6 months = 72 calls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Houthi / Red Sea 2023–2024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ESP, FRA, NLD, EUR, 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2709, 2710, 10, 12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2023-08 to 2025-03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5 reporters × 4 cmd × 20 months = 400 calls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Cape Diversion (PortWatch only)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N/A — use PortWatch daily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ports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2023-10 to 2025-03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No Comtrade calls needed; PortWatch already present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Iran/Hormuz Tensions 2019–2020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CHN, NLD, 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2709, 2710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2019-04 to 2020-06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3 reporters × 2 cmd × 15 months = 90 calls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JCPOA/Iran 2021–2022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CHN, NLD, 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2709, 2710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2021-03 to 2022-12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3 reporters × 2 cmd × 22 months = 132 calls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Panama Drought 2023–2024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10, 12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2023-06 to 2024-06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1 reporter × 2 cmd × 13 months = 26 calls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COVID Baseline 2020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7 reporters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4 cmd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2020-01 to 2021-03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7 × 4 × 15 = 420 calls — batch carefully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6"/>
                <w:szCs w:val="16"/>
              </w:rPr>
              <w:t xml:space="preserve">MEDIUM</w:t>
            </w:r>
          </w:p>
        </w:tc>
      </w:tr>
    </w:tbl>
    <w:p/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Free-Tier API Budget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Comtrade free tier provides 500 calls/month. Your extraction already consumed ~1,150 calls across multiple months. The table below estimates remaining capacity and recommended batching order.</w:t>
      </w:r>
    </w:p>
    <w:p/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Free tier monthly allowance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500 calls/month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Reset monthly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Already consumed (annual pulls)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~1,150 calls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Spread over multiple months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Est. remaining budget (this month)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~350–500 calls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Depends on reset date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 priority events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~472 calls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Ever Given + Houthi 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events incl. 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~720 calls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Requires 2 months at free tier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Recommended batch (Month 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Ever Given + Hormuz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~162 targeted calls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Recommended batch (Month 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Houthi/Red Sea full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~400 calls, single event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A10" w:val="clear"/>
          </w:tcPr>
          <w:p/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 strategy: Add a 1.2-second sleep between each API call. Batch by reporter, not by period — this is more cache-friendly on the Comtrade API side. Check your reset date before starting a large batch. Use your existing checkpoint pattern to resume safely if interrupted.</w:t>
            </w:r>
          </w:p>
        </w:tc>
      </w:tr>
    </w:tbl>
    <w:p/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Comtrade API Query Parameters for Monthly Pulls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These are the correct parameters for monthly event-window pulls. The most common mistake is leaving freq_code as 'A' (annual) when requesting a specific YYYYMM period — this silently returns no data or annual aggregates.</w:t>
      </w:r>
    </w:p>
    <w:p/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8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freq_code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M (monthly)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 A (annual) — required for event windows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type_code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C (commodity)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as annual pulls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cl_code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HS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as annual pulls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partner_code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0 (world total)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Aggregate first; drill partners after if budget allows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M and X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 and Export — both needed for full picture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YYYYMM per 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call per reporter × commodity × month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max per call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1 reporter only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 NOT batch reporters per call — separate requests</w:t>
            </w:r>
          </w:p>
        </w:tc>
      </w:tr>
    </w:tbl>
    <w:p/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Reporter × Event Relevance Matrix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this to prioritise which reporter × event combinations to pull first. HIGH = structurally exposed, clear analytical signal expected. MEDIUM = indirect exposure, worth including. LOW = limited relevance, pull only if budget allows.</w:t>
      </w:r>
    </w:p>
    <w:p/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50"/>
        <w:gridCol w:w="1200"/>
        <w:gridCol w:w="1350"/>
        <w:gridCol w:w="1200"/>
        <w:gridCol w:w="12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Suez/Ever Given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Houthi/Red Sea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Hormuz 2019–20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JCPOA 2021–22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Panama 2023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EUR (97)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FRA (251)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NLD (528)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ESP (724)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CHN (156)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BGR (100)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1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ROU (642)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USA (842)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China (CHN) returning zero records in your existing monthly pulls is a known Comtrade reporting lag — China historically submits monthly data with a 6–12 month delay. Annual data for CHN is reliable; monthly may remain sparse until mid-2026 for 2025 periods. This is not an extraction error.</w:t>
            </w:r>
          </w:p>
        </w:tc>
      </w:tr>
    </w:tbl>
    <w:p/>
    <w:p>
      <w:pPr>
        <w:pBdr>
          <w:bottom w:val="single" w:color="2E5FA3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How to Frame Lag/Lead Analysis in Your Pipeline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Once monthly data is loaded into your silver layer, create an 'event_context' dimension table with these columns: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7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event_name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chokepoint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period_label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EVT_HOUTHI_2023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period_yyyymm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202311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phase: pre / onset / peak / recovery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months_from_event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−2, −1, 0, +1, +2, +3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affected_chokepoints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ARRAY/VARCHAR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Suez, Bab el-Mandeb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Join to fact_comtrade_trade on period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Join this table to your fact_comtrade_trade on ref_year × ref_month. You can then compute a 'months_from_event' integer for each trade record and directly plot trade value against event timeline — exactly the kind of lead/lag chart that makes a capstone stand out.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</w:tcPr>
          <w:p/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Recommended gold-layer view: CREATE VIEW trade_event_window AS SELECT t.*, e.event_id, e.event_name, e.months_from_event, e.phase FROM fact_comtrade_trade t JOIN dim_event_context e ON t.period = e.period_yyyymm WHERE e.months_from_event BETWEEN -3 AND 6. This single view powers most of your dashboard tiles.</w:t>
            </w:r>
          </w:p>
        </w:tc>
      </w:tr>
    </w:tbl>
    <w:p/>
    <w:p/>
    <w:p>
      <w:pPr>
        <w:pBdr>
          <w:top w:val="single" w:color="2E5FA3" w:sz="4" w:space="2"/>
        </w:pBdr>
        <w:spacing w:before="120" w:after="0"/>
      </w:pPr>
      <w:r>
        <w:rPr>
          <w:rFonts w:ascii="Arial" w:cs="Arial" w:eastAsia="Arial" w:hAnsi="Arial"/>
          <w:color w:val="95A5A6"/>
          <w:sz w:val="15"/>
          <w:szCs w:val="15"/>
        </w:rPr>
        <w:t xml:space="preserve">Generated for Trade Pipeline Capstone  ·  March 2026  ·  Data: UN Comtrade + IMF PortWatch  ·  HS Codes: Cereals (10), Oilseeds (12), Crude Oil (2709), Refined Petroleum (2710)</w:t>
      </w:r>
    </w:p>
    <w:sectPr>
      <w:pgSz w:w="12240" w:h="15840" w:orient="landscape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2026-03-10T13:04:44.000Z</dcterms:created>
  <dcterms:modified xsi:type="dcterms:W3CDTF">2026-03-10T13:04:44.001Z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