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B1C79" w:rsidRDefault="00000000">
      <w:pPr>
        <w:pStyle w:val="Title"/>
      </w:pPr>
      <w:r>
        <w:t>EXECUTIVE BRIEFING</w:t>
      </w:r>
    </w:p>
    <w:p w:rsidR="005B1C79" w:rsidRDefault="00000000">
      <w:pPr>
        <w:spacing w:after="240"/>
      </w:pPr>
      <w:r>
        <w:rPr>
          <w:b/>
          <w:bCs/>
          <w:sz w:val="28"/>
          <w:szCs w:val="28"/>
        </w:rPr>
        <w:t xml:space="preserve">10X Impact, Zero Cost: </w:t>
      </w:r>
      <w:r>
        <w:rPr>
          <w:sz w:val="28"/>
          <w:szCs w:val="28"/>
        </w:rPr>
        <w:t>Messaging Strategy for Employer Value Proposition</w:t>
      </w:r>
    </w:p>
    <w:p w:rsidR="005B1C79" w:rsidRDefault="00000000">
      <w:pPr>
        <w:pStyle w:val="Heading1"/>
      </w:pPr>
      <w:r>
        <w:t>EXECUTIVE SUMMARY</w:t>
      </w:r>
    </w:p>
    <w:p w:rsidR="005B1C79" w:rsidRDefault="00000000">
      <w:pPr>
        <w:spacing w:after="180"/>
      </w:pPr>
      <w:r>
        <w:rPr>
          <w:b/>
          <w:bCs/>
        </w:rPr>
        <w:t xml:space="preserve">THE OPPORTUNITY: </w:t>
      </w:r>
      <w:r>
        <w:t>We can truthfully position EFFA as delivering a "10X transformation" of employer tuition assistance programs—while emphasizing that employers pay us zero fees. This messaging framework quantifies our value proposition in dollars and demonstrates how the same tuition budget reaches 10X more employees with dramatically better outcomes.</w:t>
      </w:r>
    </w:p>
    <w:p w:rsidR="005B1C79" w:rsidRDefault="00000000">
      <w:pPr>
        <w:spacing w:after="180"/>
      </w:pPr>
      <w:r>
        <w:rPr>
          <w:b/>
          <w:bCs/>
        </w:rPr>
        <w:t xml:space="preserve">THE GAME-CHANGER: </w:t>
      </w:r>
      <w:r>
        <w:t>Unlike TPAs that charge employers or inflate costs through 20-45% fees to universities, EFFA charges universities only 3.25%. This enables universities to offer steeper discounts that flow directly to employers—while employers pay us nothing. The entire value proposition is based on quantifiable savings and dramatically increased program effectiveness.</w:t>
      </w:r>
    </w:p>
    <w:p w:rsidR="005B1C79" w:rsidRDefault="00000000">
      <w:pPr>
        <w:spacing w:after="240"/>
      </w:pPr>
      <w:r>
        <w:rPr>
          <w:b/>
          <w:bCs/>
        </w:rPr>
        <w:t xml:space="preserve">THE PROOF: </w:t>
      </w:r>
      <w:r>
        <w:t>A company with 500 employees and a $600K tuition budget currently reaches 10 employees (2% participation). With EFFA, that same $600K reaches 100 employees (20% participation)—delivering 10X impact, zero additional cost, and $440K+ in quantifiable annual value.</w:t>
      </w:r>
    </w:p>
    <w:p w:rsidR="005B1C79" w:rsidRDefault="00000000">
      <w:pPr>
        <w:pStyle w:val="Heading1"/>
      </w:pPr>
      <w:r>
        <w:t>THE STRATEGIC NARRATIVE</w:t>
      </w:r>
    </w:p>
    <w:p w:rsidR="005B1C79" w:rsidRDefault="00000000">
      <w:pPr>
        <w:pStyle w:val="Heading2"/>
      </w:pPr>
      <w:r>
        <w:t>Why "10X" Is Truthful and Powerful</w:t>
      </w:r>
    </w:p>
    <w:p w:rsidR="005B1C79" w:rsidRDefault="00000000">
      <w:pPr>
        <w:spacing w:after="120"/>
      </w:pPr>
      <w:r>
        <w:t>The "10X" multiplier is not marketing hyperbole—it's a documented reality across multiple dimensions:</w:t>
      </w:r>
    </w:p>
    <w:p w:rsidR="005B1C79" w:rsidRDefault="00000000">
      <w:pPr>
        <w:pStyle w:val="ListParagraph"/>
        <w:numPr>
          <w:ilvl w:val="0"/>
          <w:numId w:val="2"/>
        </w:numPr>
      </w:pPr>
      <w:r>
        <w:rPr>
          <w:b/>
          <w:bCs/>
        </w:rPr>
        <w:t xml:space="preserve">Participation Multiplier: </w:t>
      </w:r>
      <w:r>
        <w:t>Industry data shows 80% of employees are interested in tuition assistance, but only 2% participate in traditional reimbursement programs. EFFA's direct billing removes the upfront cost barrier, increasing participation to 20-25%+. This is literally a 10X increase (2% → 20%).</w:t>
      </w:r>
    </w:p>
    <w:p w:rsidR="005B1C79" w:rsidRDefault="00000000">
      <w:pPr>
        <w:pStyle w:val="ListParagraph"/>
        <w:numPr>
          <w:ilvl w:val="0"/>
          <w:numId w:val="2"/>
        </w:numPr>
      </w:pPr>
      <w:r>
        <w:rPr>
          <w:b/>
          <w:bCs/>
        </w:rPr>
        <w:t xml:space="preserve">Administrative Efficiency: </w:t>
      </w:r>
      <w:r>
        <w:t>Documented 70-90% reduction in administrative time represents a 10X improvement in efficiency—from hundreds of hours to minutes per month.</w:t>
      </w:r>
    </w:p>
    <w:p w:rsidR="005B1C79" w:rsidRDefault="00000000">
      <w:pPr>
        <w:pStyle w:val="ListParagraph"/>
        <w:numPr>
          <w:ilvl w:val="0"/>
          <w:numId w:val="2"/>
        </w:numPr>
      </w:pPr>
      <w:r>
        <w:rPr>
          <w:b/>
          <w:bCs/>
        </w:rPr>
        <w:t xml:space="preserve">Cost Effectiveness: </w:t>
      </w:r>
      <w:r>
        <w:t xml:space="preserve">Our 3.25% fee versus TPAs' 20-45% fees </w:t>
      </w:r>
      <w:proofErr w:type="gramStart"/>
      <w:r>
        <w:t>represents</w:t>
      </w:r>
      <w:proofErr w:type="gramEnd"/>
      <w:r>
        <w:t xml:space="preserve"> a 6-14X better pricing model, enabling universities to offer 20-30% steeper discounts to employers.</w:t>
      </w:r>
    </w:p>
    <w:p w:rsidR="005B1C79" w:rsidRDefault="00000000">
      <w:pPr>
        <w:pStyle w:val="ListParagraph"/>
        <w:numPr>
          <w:ilvl w:val="0"/>
          <w:numId w:val="2"/>
        </w:numPr>
      </w:pPr>
      <w:r>
        <w:rPr>
          <w:b/>
          <w:bCs/>
        </w:rPr>
        <w:t xml:space="preserve">ROI Visibility: </w:t>
      </w:r>
      <w:r>
        <w:t>From "40% of employers lack metrics" to real-time dashboards showing retention impact—a complete transformation from blind spending to data-driven strategy.</w:t>
      </w:r>
    </w:p>
    <w:p w:rsidR="005B1C79" w:rsidRDefault="00000000">
      <w:pPr>
        <w:pStyle w:val="ListParagraph"/>
        <w:numPr>
          <w:ilvl w:val="0"/>
          <w:numId w:val="2"/>
        </w:numPr>
        <w:spacing w:after="240"/>
      </w:pPr>
      <w:r>
        <w:rPr>
          <w:b/>
          <w:bCs/>
        </w:rPr>
        <w:t xml:space="preserve">Compliance: </w:t>
      </w:r>
      <w:r>
        <w:t>From manual, error-prone processes to automated, zero-fraud verification—an infinite improvement in risk elimination.</w:t>
      </w:r>
    </w:p>
    <w:p w:rsidR="005B1C79" w:rsidRDefault="00000000">
      <w:pPr>
        <w:pStyle w:val="Heading2"/>
      </w:pPr>
      <w:r>
        <w:t>The Zero-Cost Advantage</w:t>
      </w:r>
    </w:p>
    <w:p w:rsidR="005B1C79" w:rsidRDefault="00000000">
      <w:pPr>
        <w:spacing w:after="180"/>
      </w:pPr>
      <w:r>
        <w:rPr>
          <w:b/>
          <w:bCs/>
        </w:rPr>
        <w:t xml:space="preserve">Critical Positioning: </w:t>
      </w:r>
      <w:r>
        <w:t>Employers pay EFFA zero fees. Universities absorb our 3.25% merchant fee. This means 100% of the employer's tuition budget goes to actual education—not to middlemen, not to administrative overhead, not to EFFA.</w:t>
      </w:r>
    </w:p>
    <w:p w:rsidR="005B1C79" w:rsidRDefault="00000000">
      <w:pPr>
        <w:spacing w:after="180"/>
      </w:pPr>
      <w:r>
        <w:rPr>
          <w:b/>
          <w:bCs/>
        </w:rPr>
        <w:lastRenderedPageBreak/>
        <w:t xml:space="preserve">The Hidden TPA Tax: </w:t>
      </w:r>
      <w:r>
        <w:t>Even though employers don't see TPA fees as line items, they pay them through inflated tuition pricing. When universities must absorb 20-45% TPA fees, they either charge higher tuition or offer smaller discounts. EFFA's lean 3.25% enables 20-30% better pricing.</w:t>
      </w:r>
    </w:p>
    <w:p w:rsidR="005B1C79" w:rsidRDefault="00000000">
      <w:pPr>
        <w:spacing w:after="240"/>
      </w:pPr>
      <w:r>
        <w:rPr>
          <w:b/>
          <w:bCs/>
          <w:i/>
          <w:iCs/>
        </w:rPr>
        <w:t xml:space="preserve">The Message: </w:t>
      </w:r>
      <w:r>
        <w:rPr>
          <w:i/>
          <w:iCs/>
        </w:rPr>
        <w:t>"Your existing $600K budget reaches 10X more employees, with 90% less admin work, at zero additional cost to you."</w:t>
      </w:r>
    </w:p>
    <w:p w:rsidR="005B1C79" w:rsidRDefault="00000000" w:rsidP="009A6B7E">
      <w:r>
        <w:t>DOLLAR-QUANTIFIED MODELS</w:t>
      </w:r>
    </w:p>
    <w:p w:rsidR="005B1C79" w:rsidRDefault="00000000">
      <w:pPr>
        <w:pStyle w:val="Heading2"/>
      </w:pPr>
      <w:r>
        <w:t>Model 1: The Participation Multiplier</w:t>
      </w:r>
    </w:p>
    <w:p w:rsidR="005B1C79" w:rsidRDefault="00000000">
      <w:pPr>
        <w:spacing w:after="120"/>
      </w:pPr>
      <w:r>
        <w:rPr>
          <w:b/>
          <w:bCs/>
        </w:rPr>
        <w:t xml:space="preserve">Scenario: </w:t>
      </w:r>
      <w:r>
        <w:t>500-employee company with $600,000 annual tuition budget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3031"/>
        <w:gridCol w:w="2996"/>
        <w:gridCol w:w="2997"/>
      </w:tblGrid>
      <w:tr w:rsidR="005B1C79">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F7931E"/>
          </w:tcPr>
          <w:p w:rsidR="005B1C79"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F7931E"/>
          </w:tcPr>
          <w:p w:rsidR="005B1C79" w:rsidRDefault="00000000">
            <w:pPr>
              <w:jc w:val="center"/>
            </w:pPr>
            <w:r>
              <w:rPr>
                <w:b/>
                <w:bCs/>
                <w:color w:val="FFFFFF"/>
                <w:sz w:val="20"/>
                <w:szCs w:val="20"/>
              </w:rPr>
              <w:t>Before EFFA</w:t>
            </w:r>
          </w:p>
        </w:tc>
        <w:tc>
          <w:tcPr>
            <w:tcW w:w="3120" w:type="dxa"/>
            <w:tcBorders>
              <w:top w:val="single" w:sz="1" w:space="0" w:color="CCCCCC"/>
              <w:left w:val="single" w:sz="1" w:space="0" w:color="CCCCCC"/>
              <w:bottom w:val="single" w:sz="1" w:space="0" w:color="CCCCCC"/>
              <w:right w:val="single" w:sz="1" w:space="0" w:color="CCCCCC"/>
            </w:tcBorders>
            <w:shd w:val="clear" w:color="auto" w:fill="F7931E"/>
          </w:tcPr>
          <w:p w:rsidR="005B1C79" w:rsidRDefault="00000000">
            <w:pPr>
              <w:jc w:val="center"/>
            </w:pPr>
            <w:r>
              <w:rPr>
                <w:b/>
                <w:bCs/>
                <w:color w:val="FFFFFF"/>
                <w:sz w:val="20"/>
                <w:szCs w:val="20"/>
              </w:rPr>
              <w:t>With EFFA</w:t>
            </w:r>
          </w:p>
        </w:tc>
      </w:tr>
      <w:tr w:rsidR="005B1C79">
        <w:tc>
          <w:tcPr>
            <w:tcW w:w="3120" w:type="dxa"/>
            <w:tcBorders>
              <w:top w:val="single" w:sz="1" w:space="0" w:color="CCCCCC"/>
              <w:left w:val="single" w:sz="1" w:space="0" w:color="CCCCCC"/>
              <w:bottom w:val="single" w:sz="1" w:space="0" w:color="CCCCCC"/>
              <w:right w:val="single" w:sz="1" w:space="0" w:color="CCCCCC"/>
            </w:tcBorders>
          </w:tcPr>
          <w:p w:rsidR="005B1C79" w:rsidRDefault="00000000">
            <w:r>
              <w:rPr>
                <w:b/>
                <w:bCs/>
              </w:rPr>
              <w:t>TA Participation</w:t>
            </w:r>
          </w:p>
        </w:tc>
        <w:tc>
          <w:tcPr>
            <w:tcW w:w="3120" w:type="dxa"/>
            <w:tcBorders>
              <w:top w:val="single" w:sz="1" w:space="0" w:color="CCCCCC"/>
              <w:left w:val="single" w:sz="1" w:space="0" w:color="CCCCCC"/>
              <w:bottom w:val="single" w:sz="1" w:space="0" w:color="CCCCCC"/>
              <w:right w:val="single" w:sz="1" w:space="0" w:color="CCCCCC"/>
            </w:tcBorders>
          </w:tcPr>
          <w:p w:rsidR="005B1C79" w:rsidRDefault="00000000">
            <w:r>
              <w:t>10 employees (2%)</w:t>
            </w:r>
          </w:p>
        </w:tc>
        <w:tc>
          <w:tcPr>
            <w:tcW w:w="3120" w:type="dxa"/>
            <w:tcBorders>
              <w:top w:val="single" w:sz="1" w:space="0" w:color="CCCCCC"/>
              <w:left w:val="single" w:sz="1" w:space="0" w:color="CCCCCC"/>
              <w:bottom w:val="single" w:sz="1" w:space="0" w:color="CCCCCC"/>
              <w:right w:val="single" w:sz="1" w:space="0" w:color="CCCCCC"/>
            </w:tcBorders>
            <w:shd w:val="clear" w:color="auto" w:fill="E6F7ED"/>
          </w:tcPr>
          <w:p w:rsidR="005B1C79" w:rsidRDefault="00000000">
            <w:r>
              <w:rPr>
                <w:b/>
                <w:bCs/>
              </w:rPr>
              <w:t>100 employees (20%)</w:t>
            </w:r>
          </w:p>
        </w:tc>
      </w:tr>
      <w:tr w:rsidR="005B1C79">
        <w:tc>
          <w:tcPr>
            <w:tcW w:w="3120" w:type="dxa"/>
            <w:tcBorders>
              <w:top w:val="single" w:sz="1" w:space="0" w:color="CCCCCC"/>
              <w:left w:val="single" w:sz="1" w:space="0" w:color="CCCCCC"/>
              <w:bottom w:val="single" w:sz="1" w:space="0" w:color="CCCCCC"/>
              <w:right w:val="single" w:sz="1" w:space="0" w:color="CCCCCC"/>
            </w:tcBorders>
          </w:tcPr>
          <w:p w:rsidR="005B1C79" w:rsidRDefault="00000000">
            <w:r>
              <w:rPr>
                <w:b/>
                <w:bCs/>
              </w:rPr>
              <w:t>Effective Cost/Employee</w:t>
            </w:r>
          </w:p>
        </w:tc>
        <w:tc>
          <w:tcPr>
            <w:tcW w:w="3120" w:type="dxa"/>
            <w:tcBorders>
              <w:top w:val="single" w:sz="1" w:space="0" w:color="CCCCCC"/>
              <w:left w:val="single" w:sz="1" w:space="0" w:color="CCCCCC"/>
              <w:bottom w:val="single" w:sz="1" w:space="0" w:color="CCCCCC"/>
              <w:right w:val="single" w:sz="1" w:space="0" w:color="CCCCCC"/>
            </w:tcBorders>
          </w:tcPr>
          <w:p w:rsidR="005B1C79" w:rsidRDefault="00000000">
            <w:r>
              <w:t>$7,800 (with TPA tax)</w:t>
            </w:r>
          </w:p>
        </w:tc>
        <w:tc>
          <w:tcPr>
            <w:tcW w:w="3120" w:type="dxa"/>
            <w:tcBorders>
              <w:top w:val="single" w:sz="1" w:space="0" w:color="CCCCCC"/>
              <w:left w:val="single" w:sz="1" w:space="0" w:color="CCCCCC"/>
              <w:bottom w:val="single" w:sz="1" w:space="0" w:color="CCCCCC"/>
              <w:right w:val="single" w:sz="1" w:space="0" w:color="CCCCCC"/>
            </w:tcBorders>
            <w:shd w:val="clear" w:color="auto" w:fill="E6F7ED"/>
          </w:tcPr>
          <w:p w:rsidR="005B1C79" w:rsidRDefault="00000000">
            <w:r>
              <w:rPr>
                <w:b/>
                <w:bCs/>
              </w:rPr>
              <w:t>$6,200 (better pricing)</w:t>
            </w:r>
          </w:p>
        </w:tc>
      </w:tr>
      <w:tr w:rsidR="005B1C79">
        <w:tc>
          <w:tcPr>
            <w:tcW w:w="3120" w:type="dxa"/>
            <w:tcBorders>
              <w:top w:val="single" w:sz="1" w:space="0" w:color="CCCCCC"/>
              <w:left w:val="single" w:sz="1" w:space="0" w:color="CCCCCC"/>
              <w:bottom w:val="single" w:sz="1" w:space="0" w:color="CCCCCC"/>
              <w:right w:val="single" w:sz="1" w:space="0" w:color="CCCCCC"/>
            </w:tcBorders>
          </w:tcPr>
          <w:p w:rsidR="005B1C79" w:rsidRDefault="00000000">
            <w:r>
              <w:rPr>
                <w:b/>
                <w:bCs/>
              </w:rPr>
              <w:t>HR Admin Hours/Year</w:t>
            </w:r>
          </w:p>
        </w:tc>
        <w:tc>
          <w:tcPr>
            <w:tcW w:w="3120" w:type="dxa"/>
            <w:tcBorders>
              <w:top w:val="single" w:sz="1" w:space="0" w:color="CCCCCC"/>
              <w:left w:val="single" w:sz="1" w:space="0" w:color="CCCCCC"/>
              <w:bottom w:val="single" w:sz="1" w:space="0" w:color="CCCCCC"/>
              <w:right w:val="single" w:sz="1" w:space="0" w:color="CCCCCC"/>
            </w:tcBorders>
          </w:tcPr>
          <w:p w:rsidR="005B1C79" w:rsidRDefault="00000000">
            <w:r>
              <w:t>500 hours ($50,000)</w:t>
            </w:r>
          </w:p>
        </w:tc>
        <w:tc>
          <w:tcPr>
            <w:tcW w:w="3120" w:type="dxa"/>
            <w:tcBorders>
              <w:top w:val="single" w:sz="1" w:space="0" w:color="CCCCCC"/>
              <w:left w:val="single" w:sz="1" w:space="0" w:color="CCCCCC"/>
              <w:bottom w:val="single" w:sz="1" w:space="0" w:color="CCCCCC"/>
              <w:right w:val="single" w:sz="1" w:space="0" w:color="CCCCCC"/>
            </w:tcBorders>
            <w:shd w:val="clear" w:color="auto" w:fill="E6F7ED"/>
          </w:tcPr>
          <w:p w:rsidR="005B1C79" w:rsidRDefault="00000000">
            <w:r>
              <w:rPr>
                <w:b/>
                <w:bCs/>
              </w:rPr>
              <w:t>50 hours ($5,000)</w:t>
            </w:r>
          </w:p>
        </w:tc>
      </w:tr>
      <w:tr w:rsidR="005B1C79">
        <w:tc>
          <w:tcPr>
            <w:tcW w:w="3120" w:type="dxa"/>
            <w:tcBorders>
              <w:top w:val="single" w:sz="1" w:space="0" w:color="CCCCCC"/>
              <w:left w:val="single" w:sz="1" w:space="0" w:color="CCCCCC"/>
              <w:bottom w:val="single" w:sz="1" w:space="0" w:color="CCCCCC"/>
              <w:right w:val="single" w:sz="1" w:space="0" w:color="CCCCCC"/>
            </w:tcBorders>
          </w:tcPr>
          <w:p w:rsidR="005B1C79" w:rsidRDefault="00000000">
            <w:r>
              <w:rPr>
                <w:b/>
                <w:bCs/>
              </w:rPr>
              <w:t>Platform Cost to Employer</w:t>
            </w:r>
          </w:p>
        </w:tc>
        <w:tc>
          <w:tcPr>
            <w:tcW w:w="3120" w:type="dxa"/>
            <w:tcBorders>
              <w:top w:val="single" w:sz="1" w:space="0" w:color="CCCCCC"/>
              <w:left w:val="single" w:sz="1" w:space="0" w:color="CCCCCC"/>
              <w:bottom w:val="single" w:sz="1" w:space="0" w:color="CCCCCC"/>
              <w:right w:val="single" w:sz="1" w:space="0" w:color="CCCCCC"/>
            </w:tcBorders>
          </w:tcPr>
          <w:p w:rsidR="005B1C79" w:rsidRDefault="00000000">
            <w:r>
              <w:t>$50K-$100K/year</w:t>
            </w:r>
            <w:r w:rsidR="009A6B7E">
              <w:t xml:space="preserve"> (Need to check with JC)</w:t>
            </w:r>
          </w:p>
        </w:tc>
        <w:tc>
          <w:tcPr>
            <w:tcW w:w="3120" w:type="dxa"/>
            <w:tcBorders>
              <w:top w:val="single" w:sz="1" w:space="0" w:color="CCCCCC"/>
              <w:left w:val="single" w:sz="1" w:space="0" w:color="CCCCCC"/>
              <w:bottom w:val="single" w:sz="1" w:space="0" w:color="CCCCCC"/>
              <w:right w:val="single" w:sz="1" w:space="0" w:color="CCCCCC"/>
            </w:tcBorders>
            <w:shd w:val="clear" w:color="auto" w:fill="E6F7ED"/>
          </w:tcPr>
          <w:p w:rsidR="005B1C79" w:rsidRDefault="00000000">
            <w:r>
              <w:rPr>
                <w:b/>
                <w:bCs/>
                <w:sz w:val="26"/>
                <w:szCs w:val="26"/>
              </w:rPr>
              <w:t>$0</w:t>
            </w:r>
          </w:p>
        </w:tc>
      </w:tr>
    </w:tbl>
    <w:p w:rsidR="005B1C79" w:rsidRDefault="00000000">
      <w:pPr>
        <w:spacing w:before="180" w:after="240"/>
      </w:pPr>
      <w:r>
        <w:rPr>
          <w:b/>
          <w:bCs/>
        </w:rPr>
        <w:t xml:space="preserve">Result: </w:t>
      </w:r>
      <w:r>
        <w:t xml:space="preserve">10X more employees reached (10 → 100), 90% less admin work (500 </w:t>
      </w:r>
      <w:proofErr w:type="spellStart"/>
      <w:r>
        <w:t>hrs</w:t>
      </w:r>
      <w:proofErr w:type="spellEnd"/>
      <w:r>
        <w:t xml:space="preserve"> → 50 </w:t>
      </w:r>
      <w:proofErr w:type="spellStart"/>
      <w:r>
        <w:t>hrs</w:t>
      </w:r>
      <w:proofErr w:type="spellEnd"/>
      <w:r>
        <w:t>), and $160,000+ in tuition savings—all at zero cost to the employer.</w:t>
      </w:r>
    </w:p>
    <w:p w:rsidR="005B1C79" w:rsidRDefault="00000000">
      <w:pPr>
        <w:pStyle w:val="Heading2"/>
      </w:pPr>
      <w:r>
        <w:t>Model 2: Total Value Delivered (Annual ROI)</w:t>
      </w:r>
    </w:p>
    <w:p w:rsidR="005B1C79" w:rsidRDefault="00000000">
      <w:pPr>
        <w:spacing w:after="120"/>
      </w:pPr>
      <w:r>
        <w:rPr>
          <w:b/>
          <w:bCs/>
        </w:rPr>
        <w:t>From a $600,000 tuition investment, EFFA delivers: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6005"/>
        <w:gridCol w:w="3019"/>
      </w:tblGrid>
      <w:tr w:rsidR="005B1C79">
        <w:trPr>
          <w:tblHeader/>
        </w:trPr>
        <w:tc>
          <w:tcPr>
            <w:tcW w:w="6240" w:type="dxa"/>
            <w:tcBorders>
              <w:top w:val="single" w:sz="1" w:space="0" w:color="CCCCCC"/>
              <w:left w:val="single" w:sz="1" w:space="0" w:color="CCCCCC"/>
              <w:bottom w:val="single" w:sz="1" w:space="0" w:color="CCCCCC"/>
              <w:right w:val="single" w:sz="1" w:space="0" w:color="CCCCCC"/>
            </w:tcBorders>
            <w:shd w:val="clear" w:color="auto" w:fill="2D3748"/>
          </w:tcPr>
          <w:p w:rsidR="005B1C79" w:rsidRDefault="00000000">
            <w:pPr>
              <w:jc w:val="center"/>
            </w:pPr>
            <w:r>
              <w:rPr>
                <w:b/>
                <w:bCs/>
                <w:color w:val="FFFFFF"/>
                <w:sz w:val="20"/>
                <w:szCs w:val="20"/>
              </w:rPr>
              <w:t>Value Category</w:t>
            </w:r>
          </w:p>
        </w:tc>
        <w:tc>
          <w:tcPr>
            <w:tcW w:w="3120" w:type="dxa"/>
            <w:tcBorders>
              <w:top w:val="single" w:sz="1" w:space="0" w:color="CCCCCC"/>
              <w:left w:val="single" w:sz="1" w:space="0" w:color="CCCCCC"/>
              <w:bottom w:val="single" w:sz="1" w:space="0" w:color="CCCCCC"/>
              <w:right w:val="single" w:sz="1" w:space="0" w:color="CCCCCC"/>
            </w:tcBorders>
            <w:shd w:val="clear" w:color="auto" w:fill="2D3748"/>
          </w:tcPr>
          <w:p w:rsidR="005B1C79" w:rsidRDefault="00000000">
            <w:pPr>
              <w:jc w:val="center"/>
            </w:pPr>
            <w:r>
              <w:rPr>
                <w:b/>
                <w:bCs/>
                <w:color w:val="FFFFFF"/>
                <w:sz w:val="20"/>
                <w:szCs w:val="20"/>
              </w:rPr>
              <w:t>Annual Value</w:t>
            </w:r>
          </w:p>
        </w:tc>
      </w:tr>
      <w:tr w:rsidR="005B1C79">
        <w:tc>
          <w:tcPr>
            <w:tcW w:w="6240" w:type="dxa"/>
            <w:tcBorders>
              <w:top w:val="single" w:sz="1" w:space="0" w:color="CCCCCC"/>
              <w:left w:val="single" w:sz="1" w:space="0" w:color="CCCCCC"/>
              <w:bottom w:val="single" w:sz="1" w:space="0" w:color="CCCCCC"/>
              <w:right w:val="single" w:sz="1" w:space="0" w:color="CCCCCC"/>
            </w:tcBorders>
          </w:tcPr>
          <w:p w:rsidR="005B1C79" w:rsidRDefault="00000000">
            <w:r>
              <w:t>Reduced Turnover (15 employees × $45K avg replacement cost)</w:t>
            </w:r>
          </w:p>
        </w:tc>
        <w:tc>
          <w:tcPr>
            <w:tcW w:w="3120" w:type="dxa"/>
            <w:tcBorders>
              <w:top w:val="single" w:sz="1" w:space="0" w:color="CCCCCC"/>
              <w:left w:val="single" w:sz="1" w:space="0" w:color="CCCCCC"/>
              <w:bottom w:val="single" w:sz="1" w:space="0" w:color="CCCCCC"/>
              <w:right w:val="single" w:sz="1" w:space="0" w:color="CCCCCC"/>
            </w:tcBorders>
          </w:tcPr>
          <w:p w:rsidR="005B1C79" w:rsidRDefault="00000000">
            <w:pPr>
              <w:jc w:val="right"/>
            </w:pPr>
            <w:r>
              <w:rPr>
                <w:b/>
                <w:bCs/>
              </w:rPr>
              <w:t>$675,000</w:t>
            </w:r>
          </w:p>
        </w:tc>
      </w:tr>
      <w:tr w:rsidR="005B1C79">
        <w:tc>
          <w:tcPr>
            <w:tcW w:w="6240" w:type="dxa"/>
            <w:tcBorders>
              <w:top w:val="single" w:sz="1" w:space="0" w:color="CCCCCC"/>
              <w:left w:val="single" w:sz="1" w:space="0" w:color="CCCCCC"/>
              <w:bottom w:val="single" w:sz="1" w:space="0" w:color="CCCCCC"/>
              <w:right w:val="single" w:sz="1" w:space="0" w:color="CCCCCC"/>
            </w:tcBorders>
          </w:tcPr>
          <w:p w:rsidR="005B1C79" w:rsidRDefault="00000000">
            <w:r>
              <w:t>Better University Pricing (20-30% improvement vs TPA model)</w:t>
            </w:r>
          </w:p>
        </w:tc>
        <w:tc>
          <w:tcPr>
            <w:tcW w:w="3120" w:type="dxa"/>
            <w:tcBorders>
              <w:top w:val="single" w:sz="1" w:space="0" w:color="CCCCCC"/>
              <w:left w:val="single" w:sz="1" w:space="0" w:color="CCCCCC"/>
              <w:bottom w:val="single" w:sz="1" w:space="0" w:color="CCCCCC"/>
              <w:right w:val="single" w:sz="1" w:space="0" w:color="CCCCCC"/>
            </w:tcBorders>
          </w:tcPr>
          <w:p w:rsidR="005B1C79" w:rsidRDefault="00000000">
            <w:pPr>
              <w:jc w:val="right"/>
            </w:pPr>
            <w:r>
              <w:rPr>
                <w:b/>
                <w:bCs/>
              </w:rPr>
              <w:t>$160,000</w:t>
            </w:r>
          </w:p>
        </w:tc>
      </w:tr>
      <w:tr w:rsidR="005B1C79">
        <w:tc>
          <w:tcPr>
            <w:tcW w:w="6240" w:type="dxa"/>
            <w:tcBorders>
              <w:top w:val="single" w:sz="1" w:space="0" w:color="CCCCCC"/>
              <w:left w:val="single" w:sz="1" w:space="0" w:color="CCCCCC"/>
              <w:bottom w:val="single" w:sz="1" w:space="0" w:color="CCCCCC"/>
              <w:right w:val="single" w:sz="1" w:space="0" w:color="CCCCCC"/>
            </w:tcBorders>
          </w:tcPr>
          <w:p w:rsidR="005B1C79" w:rsidRDefault="00000000">
            <w:r>
              <w:t>Admin Time Savings (450 hours saved)</w:t>
            </w:r>
          </w:p>
        </w:tc>
        <w:tc>
          <w:tcPr>
            <w:tcW w:w="3120" w:type="dxa"/>
            <w:tcBorders>
              <w:top w:val="single" w:sz="1" w:space="0" w:color="CCCCCC"/>
              <w:left w:val="single" w:sz="1" w:space="0" w:color="CCCCCC"/>
              <w:bottom w:val="single" w:sz="1" w:space="0" w:color="CCCCCC"/>
              <w:right w:val="single" w:sz="1" w:space="0" w:color="CCCCCC"/>
            </w:tcBorders>
          </w:tcPr>
          <w:p w:rsidR="005B1C79" w:rsidRDefault="00000000">
            <w:pPr>
              <w:jc w:val="right"/>
            </w:pPr>
            <w:r>
              <w:rPr>
                <w:b/>
                <w:bCs/>
              </w:rPr>
              <w:t>$45,000</w:t>
            </w:r>
          </w:p>
        </w:tc>
      </w:tr>
      <w:tr w:rsidR="005B1C79">
        <w:tc>
          <w:tcPr>
            <w:tcW w:w="6240" w:type="dxa"/>
            <w:tcBorders>
              <w:top w:val="single" w:sz="1" w:space="0" w:color="CCCCCC"/>
              <w:left w:val="single" w:sz="1" w:space="0" w:color="CCCCCC"/>
              <w:bottom w:val="single" w:sz="1" w:space="0" w:color="CCCCCC"/>
              <w:right w:val="single" w:sz="1" w:space="0" w:color="CCCCCC"/>
            </w:tcBorders>
          </w:tcPr>
          <w:p w:rsidR="005B1C79" w:rsidRDefault="00000000">
            <w:r>
              <w:t>Fraud Risk Elimination</w:t>
            </w:r>
          </w:p>
        </w:tc>
        <w:tc>
          <w:tcPr>
            <w:tcW w:w="3120" w:type="dxa"/>
            <w:tcBorders>
              <w:top w:val="single" w:sz="1" w:space="0" w:color="CCCCCC"/>
              <w:left w:val="single" w:sz="1" w:space="0" w:color="CCCCCC"/>
              <w:bottom w:val="single" w:sz="1" w:space="0" w:color="CCCCCC"/>
              <w:right w:val="single" w:sz="1" w:space="0" w:color="CCCCCC"/>
            </w:tcBorders>
          </w:tcPr>
          <w:p w:rsidR="005B1C79" w:rsidRDefault="00000000">
            <w:pPr>
              <w:jc w:val="right"/>
            </w:pPr>
            <w:r>
              <w:rPr>
                <w:b/>
                <w:bCs/>
              </w:rPr>
              <w:t>$50,000</w:t>
            </w:r>
          </w:p>
        </w:tc>
      </w:tr>
      <w:tr w:rsidR="005B1C79">
        <w:tc>
          <w:tcPr>
            <w:tcW w:w="6240" w:type="dxa"/>
            <w:tcBorders>
              <w:top w:val="single" w:sz="1" w:space="0" w:color="CCCCCC"/>
              <w:left w:val="single" w:sz="1" w:space="0" w:color="CCCCCC"/>
              <w:bottom w:val="single" w:sz="1" w:space="0" w:color="CCCCCC"/>
              <w:right w:val="single" w:sz="1" w:space="0" w:color="CCCCCC"/>
            </w:tcBorders>
          </w:tcPr>
          <w:p w:rsidR="005B1C79" w:rsidRDefault="00000000">
            <w:r>
              <w:t>Platform Implementation Savings (vs TPA setup)</w:t>
            </w:r>
            <w:r w:rsidR="009A6B7E">
              <w:t xml:space="preserve"> (Have to check with JC)</w:t>
            </w:r>
          </w:p>
        </w:tc>
        <w:tc>
          <w:tcPr>
            <w:tcW w:w="3120" w:type="dxa"/>
            <w:tcBorders>
              <w:top w:val="single" w:sz="1" w:space="0" w:color="CCCCCC"/>
              <w:left w:val="single" w:sz="1" w:space="0" w:color="CCCCCC"/>
              <w:bottom w:val="single" w:sz="1" w:space="0" w:color="CCCCCC"/>
              <w:right w:val="single" w:sz="1" w:space="0" w:color="CCCCCC"/>
            </w:tcBorders>
          </w:tcPr>
          <w:p w:rsidR="005B1C79" w:rsidRDefault="00000000">
            <w:pPr>
              <w:jc w:val="right"/>
            </w:pPr>
            <w:r>
              <w:rPr>
                <w:b/>
                <w:bCs/>
              </w:rPr>
              <w:t>$50,000</w:t>
            </w:r>
          </w:p>
        </w:tc>
      </w:tr>
      <w:tr w:rsidR="005B1C79">
        <w:tc>
          <w:tcPr>
            <w:tcW w:w="6240" w:type="dxa"/>
            <w:tcBorders>
              <w:top w:val="single" w:sz="1" w:space="0" w:color="CCCCCC"/>
              <w:left w:val="single" w:sz="1" w:space="0" w:color="CCCCCC"/>
              <w:bottom w:val="single" w:sz="2" w:space="0" w:color="CCCCCC"/>
              <w:right w:val="single" w:sz="1" w:space="0" w:color="CCCCCC"/>
            </w:tcBorders>
            <w:shd w:val="clear" w:color="auto" w:fill="F0F0F0"/>
          </w:tcPr>
          <w:p w:rsidR="005B1C79" w:rsidRDefault="00000000">
            <w:r>
              <w:rPr>
                <w:b/>
                <w:bCs/>
                <w:sz w:val="24"/>
                <w:szCs w:val="24"/>
              </w:rPr>
              <w:t>TOTAL QUANTIFIABLE VALUE</w:t>
            </w:r>
          </w:p>
        </w:tc>
        <w:tc>
          <w:tcPr>
            <w:tcW w:w="3120" w:type="dxa"/>
            <w:tcBorders>
              <w:top w:val="single" w:sz="1" w:space="0" w:color="CCCCCC"/>
              <w:left w:val="single" w:sz="1" w:space="0" w:color="CCCCCC"/>
              <w:bottom w:val="single" w:sz="2" w:space="0" w:color="CCCCCC"/>
              <w:right w:val="single" w:sz="1" w:space="0" w:color="CCCCCC"/>
            </w:tcBorders>
            <w:shd w:val="clear" w:color="auto" w:fill="F0F0F0"/>
          </w:tcPr>
          <w:p w:rsidR="005B1C79" w:rsidRDefault="00000000">
            <w:pPr>
              <w:jc w:val="right"/>
            </w:pPr>
            <w:r>
              <w:rPr>
                <w:b/>
                <w:bCs/>
                <w:color w:val="F7931E"/>
                <w:sz w:val="24"/>
                <w:szCs w:val="24"/>
              </w:rPr>
              <w:t>$980,000</w:t>
            </w:r>
          </w:p>
        </w:tc>
      </w:tr>
    </w:tbl>
    <w:p w:rsidR="005B1C79" w:rsidRDefault="00000000">
      <w:pPr>
        <w:spacing w:before="180" w:after="120"/>
      </w:pPr>
      <w:r>
        <w:rPr>
          <w:b/>
          <w:bCs/>
        </w:rPr>
        <w:t>ROI Calculation:</w:t>
      </w:r>
    </w:p>
    <w:p w:rsidR="005B1C79" w:rsidRDefault="00000000">
      <w:pPr>
        <w:pStyle w:val="ListParagraph"/>
        <w:numPr>
          <w:ilvl w:val="0"/>
          <w:numId w:val="3"/>
        </w:numPr>
      </w:pPr>
      <w:r>
        <w:rPr>
          <w:b/>
          <w:bCs/>
        </w:rPr>
        <w:t xml:space="preserve">Investment: </w:t>
      </w:r>
      <w:r>
        <w:t>$600,000 (existing tuition budget)</w:t>
      </w:r>
    </w:p>
    <w:p w:rsidR="005B1C79" w:rsidRDefault="00000000">
      <w:pPr>
        <w:pStyle w:val="ListParagraph"/>
        <w:numPr>
          <w:ilvl w:val="0"/>
          <w:numId w:val="3"/>
        </w:numPr>
      </w:pPr>
      <w:r>
        <w:rPr>
          <w:b/>
          <w:bCs/>
        </w:rPr>
        <w:t xml:space="preserve">Value Created: </w:t>
      </w:r>
      <w:r>
        <w:t>$980,000</w:t>
      </w:r>
    </w:p>
    <w:p w:rsidR="005B1C79" w:rsidRDefault="00000000">
      <w:pPr>
        <w:pStyle w:val="ListParagraph"/>
        <w:numPr>
          <w:ilvl w:val="0"/>
          <w:numId w:val="3"/>
        </w:numPr>
      </w:pPr>
      <w:r>
        <w:rPr>
          <w:b/>
          <w:bCs/>
        </w:rPr>
        <w:t xml:space="preserve">Net Gain: </w:t>
      </w:r>
      <w:r>
        <w:t>$380,000 (63% return)</w:t>
      </w:r>
    </w:p>
    <w:p w:rsidR="005B1C79" w:rsidRDefault="00000000">
      <w:pPr>
        <w:pStyle w:val="ListParagraph"/>
        <w:numPr>
          <w:ilvl w:val="0"/>
          <w:numId w:val="3"/>
        </w:numPr>
        <w:spacing w:after="240"/>
      </w:pPr>
      <w:r>
        <w:rPr>
          <w:b/>
          <w:bCs/>
        </w:rPr>
        <w:t xml:space="preserve">Cost to Employer for Platform: </w:t>
      </w:r>
      <w:r>
        <w:rPr>
          <w:b/>
          <w:bCs/>
          <w:color w:val="F7931E"/>
          <w:sz w:val="26"/>
          <w:szCs w:val="26"/>
        </w:rPr>
        <w:t>$0</w:t>
      </w:r>
    </w:p>
    <w:p w:rsidR="005B1C79" w:rsidRDefault="00000000">
      <w:r>
        <w:br w:type="page"/>
      </w:r>
    </w:p>
    <w:p w:rsidR="005B1C79" w:rsidRDefault="00000000">
      <w:pPr>
        <w:pStyle w:val="Heading1"/>
      </w:pPr>
      <w:r>
        <w:lastRenderedPageBreak/>
        <w:t>KEY MESSAGING RECOMMENDATIONS</w:t>
      </w:r>
    </w:p>
    <w:p w:rsidR="005B1C79" w:rsidRDefault="00000000">
      <w:pPr>
        <w:pStyle w:val="Heading2"/>
      </w:pPr>
      <w:r>
        <w:t>Primary Value Proposition</w:t>
      </w:r>
    </w:p>
    <w:p w:rsidR="005B1C79" w:rsidRDefault="00000000">
      <w:pPr>
        <w:spacing w:after="120"/>
      </w:pPr>
      <w:r>
        <w:rPr>
          <w:b/>
          <w:bCs/>
          <w:color w:val="F7931E"/>
        </w:rPr>
        <w:t xml:space="preserve">Headline: </w:t>
      </w:r>
      <w:r>
        <w:rPr>
          <w:b/>
          <w:bCs/>
          <w:i/>
          <w:iCs/>
          <w:sz w:val="26"/>
          <w:szCs w:val="26"/>
        </w:rPr>
        <w:t>"10X Your Tuition Assistance Impact—At Zero Additional Cost"</w:t>
      </w:r>
    </w:p>
    <w:p w:rsidR="005B1C79" w:rsidRDefault="00000000">
      <w:pPr>
        <w:spacing w:after="240"/>
      </w:pPr>
      <w:r>
        <w:rPr>
          <w:b/>
          <w:bCs/>
        </w:rPr>
        <w:t xml:space="preserve">Supporting: </w:t>
      </w:r>
      <w:r>
        <w:rPr>
          <w:i/>
          <w:iCs/>
        </w:rPr>
        <w:t>Your existing budget. 10X more employees. 90% less admin. Zero fees. Proven ROI.</w:t>
      </w:r>
    </w:p>
    <w:p w:rsidR="005B1C79" w:rsidRDefault="00000000">
      <w:pPr>
        <w:pStyle w:val="Heading2"/>
      </w:pPr>
      <w:r>
        <w:t>The Three-Part Story</w:t>
      </w:r>
    </w:p>
    <w:p w:rsidR="005B1C79" w:rsidRDefault="00000000">
      <w:pPr>
        <w:spacing w:after="120"/>
      </w:pPr>
      <w:r>
        <w:rPr>
          <w:b/>
          <w:bCs/>
        </w:rPr>
        <w:t>Part 1 - The Problem (Hook):</w:t>
      </w:r>
    </w:p>
    <w:p w:rsidR="005B1C79" w:rsidRDefault="00000000">
      <w:pPr>
        <w:spacing w:after="180"/>
      </w:pPr>
      <w:r>
        <w:rPr>
          <w:i/>
          <w:iCs/>
        </w:rPr>
        <w:t>"You're investing $600,000 in tuition assistance. But only 2% of your employees use it. Why? Because they can't afford $6,000 upfront—even with 100% reimbursement. Meanwhile, your HR team spends 500 hours annually processing paperwork, you have zero visibility into ROI, and you're paying hidden fees embedded in inflated tuition costs."</w:t>
      </w:r>
    </w:p>
    <w:p w:rsidR="005B1C79" w:rsidRDefault="00000000">
      <w:pPr>
        <w:spacing w:after="120"/>
      </w:pPr>
      <w:r>
        <w:rPr>
          <w:b/>
          <w:bCs/>
        </w:rPr>
        <w:t>Part 2 - The Transformation (Solution):</w:t>
      </w:r>
    </w:p>
    <w:p w:rsidR="005B1C79" w:rsidRDefault="00000000">
      <w:pPr>
        <w:spacing w:after="180"/>
      </w:pPr>
      <w:r>
        <w:rPr>
          <w:i/>
          <w:iCs/>
        </w:rPr>
        <w:t>"EFFA transforms your program by removing the upfront cost barrier—employers pay universities directly, so employees never need to finance tuition. This single change increases participation from 2% to 20%+, reaching 10X more employees with your same budget. Plus, you get automated compliance, real-time ROI tracking, and 90% less admin work. Best part? You pay us nothing—universities absorb our lean 3.25% fee, which actually enables them to offer you better pricing than TPAs ever could."</w:t>
      </w:r>
    </w:p>
    <w:p w:rsidR="005B1C79" w:rsidRDefault="00000000">
      <w:pPr>
        <w:spacing w:after="120"/>
      </w:pPr>
      <w:r>
        <w:rPr>
          <w:b/>
          <w:bCs/>
        </w:rPr>
        <w:t>Part 3 - The Proof (Quantified Value):</w:t>
      </w:r>
    </w:p>
    <w:p w:rsidR="005B1C79" w:rsidRDefault="00000000">
      <w:pPr>
        <w:spacing w:after="240"/>
      </w:pPr>
      <w:r>
        <w:rPr>
          <w:i/>
          <w:iCs/>
        </w:rPr>
        <w:t>"For a 500-employee company with a $600K tuition budget, EFFA delivers nearly $1M in quantifiable annual value: $675K in prevented turnover, $160K in better pricing, $45K in admin savings, plus fraud elimination and setup cost avoidance—all at zero cost to you. That's a 63% ROI on an investment you're already making."</w:t>
      </w:r>
    </w:p>
    <w:p w:rsidR="005B1C79" w:rsidRDefault="00000000">
      <w:pPr>
        <w:pStyle w:val="Heading2"/>
      </w:pPr>
      <w:r>
        <w:t>Alternative Headlines for Testing</w:t>
      </w:r>
    </w:p>
    <w:p w:rsidR="005B1C79" w:rsidRDefault="00000000">
      <w:pPr>
        <w:pStyle w:val="ListParagraph"/>
        <w:numPr>
          <w:ilvl w:val="0"/>
          <w:numId w:val="3"/>
        </w:numPr>
      </w:pPr>
      <w:r>
        <w:rPr>
          <w:b/>
          <w:bCs/>
        </w:rPr>
        <w:t xml:space="preserve">Direct Approach: </w:t>
      </w:r>
      <w:r>
        <w:t>"What If Your $600K Tuition Budget Could Reach 100 Employees Instead of 10?"</w:t>
      </w:r>
    </w:p>
    <w:p w:rsidR="005B1C79" w:rsidRDefault="00000000">
      <w:pPr>
        <w:pStyle w:val="ListParagraph"/>
        <w:numPr>
          <w:ilvl w:val="0"/>
          <w:numId w:val="3"/>
        </w:numPr>
      </w:pPr>
      <w:r>
        <w:rPr>
          <w:b/>
          <w:bCs/>
        </w:rPr>
        <w:t xml:space="preserve">Economic Focus: </w:t>
      </w:r>
      <w:r>
        <w:t>"Stop Paying the Hidden TPA Tax—Save $160K+ While Reaching 10X More Employees"</w:t>
      </w:r>
    </w:p>
    <w:p w:rsidR="005B1C79" w:rsidRDefault="00000000">
      <w:pPr>
        <w:pStyle w:val="ListParagraph"/>
        <w:numPr>
          <w:ilvl w:val="0"/>
          <w:numId w:val="3"/>
        </w:numPr>
      </w:pPr>
      <w:r>
        <w:rPr>
          <w:b/>
          <w:bCs/>
        </w:rPr>
        <w:t xml:space="preserve">ROI Focus: </w:t>
      </w:r>
      <w:r>
        <w:t>"Turn Your $600K Tuition Budget Into $1M+ of Measurable Value"</w:t>
      </w:r>
    </w:p>
    <w:p w:rsidR="005B1C79" w:rsidRDefault="00000000">
      <w:pPr>
        <w:pStyle w:val="ListParagraph"/>
        <w:numPr>
          <w:ilvl w:val="0"/>
          <w:numId w:val="3"/>
        </w:numPr>
        <w:spacing w:after="240"/>
      </w:pPr>
      <w:r>
        <w:rPr>
          <w:b/>
          <w:bCs/>
        </w:rPr>
        <w:t xml:space="preserve">Challenge Format: </w:t>
      </w:r>
      <w:r>
        <w:t>"Your Tuition Benefit Should Prevent $675K in Turnover Costs. Here's How."</w:t>
      </w:r>
    </w:p>
    <w:p w:rsidR="005B1C79" w:rsidRDefault="00000000">
      <w:pPr>
        <w:pStyle w:val="Heading1"/>
      </w:pPr>
      <w:r>
        <w:t>IMPLEMENTATION STRATEGY</w:t>
      </w:r>
    </w:p>
    <w:p w:rsidR="005B1C79" w:rsidRDefault="00000000">
      <w:pPr>
        <w:pStyle w:val="Heading2"/>
      </w:pPr>
      <w:r>
        <w:t>Immediate Next Steps</w:t>
      </w:r>
    </w:p>
    <w:p w:rsidR="005B1C79" w:rsidRDefault="00000000">
      <w:pPr>
        <w:pStyle w:val="ListParagraph"/>
        <w:numPr>
          <w:ilvl w:val="0"/>
          <w:numId w:val="2"/>
        </w:numPr>
      </w:pPr>
      <w:r>
        <w:rPr>
          <w:b/>
          <w:bCs/>
        </w:rPr>
        <w:t xml:space="preserve">Update Homepage Hero: </w:t>
      </w:r>
      <w:r>
        <w:t>Lead with "10X Your Tuition Assistance Impact—At Zero Cost" messaging and immediately quantify the transformation.</w:t>
      </w:r>
    </w:p>
    <w:p w:rsidR="005B1C79" w:rsidRDefault="00000000">
      <w:pPr>
        <w:pStyle w:val="ListParagraph"/>
        <w:numPr>
          <w:ilvl w:val="0"/>
          <w:numId w:val="2"/>
        </w:numPr>
      </w:pPr>
      <w:r>
        <w:rPr>
          <w:b/>
          <w:bCs/>
        </w:rPr>
        <w:t xml:space="preserve">Revise Employer Page: </w:t>
      </w:r>
      <w:r>
        <w:t>Add a prominent "Zero Cost to You" section early in the page, followed by the dollar-quantified ROI models.</w:t>
      </w:r>
    </w:p>
    <w:p w:rsidR="005B1C79" w:rsidRDefault="00000000">
      <w:pPr>
        <w:pStyle w:val="ListParagraph"/>
        <w:numPr>
          <w:ilvl w:val="0"/>
          <w:numId w:val="2"/>
        </w:numPr>
      </w:pPr>
      <w:r>
        <w:rPr>
          <w:b/>
          <w:bCs/>
        </w:rPr>
        <w:t xml:space="preserve">Create ROI Calculator: </w:t>
      </w:r>
      <w:r>
        <w:t>Build an interactive web tool where prospects input their employee count, current budget, and participation rate—then see their specific 10X transformation and dollar savings.</w:t>
      </w:r>
    </w:p>
    <w:p w:rsidR="005B1C79" w:rsidRDefault="00000000">
      <w:pPr>
        <w:pStyle w:val="ListParagraph"/>
        <w:numPr>
          <w:ilvl w:val="0"/>
          <w:numId w:val="2"/>
        </w:numPr>
      </w:pPr>
      <w:r>
        <w:rPr>
          <w:b/>
          <w:bCs/>
        </w:rPr>
        <w:lastRenderedPageBreak/>
        <w:t xml:space="preserve">Develop Sales Collateral: </w:t>
      </w:r>
      <w:r>
        <w:t xml:space="preserve">Create a one-page "10X Impact Brief" PDF with the comparison tables and ROI model for </w:t>
      </w:r>
      <w:r w:rsidR="009A6B7E">
        <w:t>biz dev</w:t>
      </w:r>
      <w:r>
        <w:t xml:space="preserve"> team use.</w:t>
      </w:r>
    </w:p>
    <w:p w:rsidR="005B1C79" w:rsidRDefault="00000000">
      <w:pPr>
        <w:pStyle w:val="Heading2"/>
      </w:pPr>
      <w:r>
        <w:t>Sales Enablement</w:t>
      </w:r>
    </w:p>
    <w:p w:rsidR="005B1C79" w:rsidRDefault="00000000">
      <w:pPr>
        <w:pStyle w:val="ListParagraph"/>
        <w:numPr>
          <w:ilvl w:val="0"/>
          <w:numId w:val="3"/>
        </w:numPr>
      </w:pPr>
      <w:r>
        <w:rPr>
          <w:b/>
          <w:bCs/>
        </w:rPr>
        <w:t xml:space="preserve">Email Sequence: </w:t>
      </w:r>
      <w:r>
        <w:t>Develop 3-5 email sequence around "free transformation" story with specific dollar examples.</w:t>
      </w:r>
    </w:p>
    <w:p w:rsidR="005B1C79" w:rsidRDefault="00000000">
      <w:pPr>
        <w:pStyle w:val="ListParagraph"/>
        <w:numPr>
          <w:ilvl w:val="0"/>
          <w:numId w:val="3"/>
        </w:numPr>
      </w:pPr>
      <w:r>
        <w:rPr>
          <w:b/>
          <w:bCs/>
        </w:rPr>
        <w:t xml:space="preserve">Demo Script: </w:t>
      </w:r>
      <w:r w:rsidR="009A6B7E">
        <w:t>We all work through this</w:t>
      </w:r>
      <w:r>
        <w:t xml:space="preserve"> zero-cost positioning and </w:t>
      </w:r>
      <w:r w:rsidR="009A6B7E">
        <w:t xml:space="preserve">use an </w:t>
      </w:r>
      <w:r>
        <w:t>ROI calculator during first conversation.</w:t>
      </w:r>
    </w:p>
    <w:p w:rsidR="005B1C79" w:rsidRDefault="00000000">
      <w:pPr>
        <w:pStyle w:val="ListParagraph"/>
        <w:numPr>
          <w:ilvl w:val="0"/>
          <w:numId w:val="3"/>
        </w:numPr>
      </w:pPr>
      <w:r>
        <w:rPr>
          <w:b/>
          <w:bCs/>
        </w:rPr>
        <w:t xml:space="preserve">Case Study Template: </w:t>
      </w:r>
      <w:r>
        <w:t>Once we have pilot customers, document their specific participation increase and dollar savings.</w:t>
      </w:r>
    </w:p>
    <w:p w:rsidR="005B1C79" w:rsidRDefault="00000000">
      <w:pPr>
        <w:pStyle w:val="ListParagraph"/>
        <w:numPr>
          <w:ilvl w:val="0"/>
          <w:numId w:val="3"/>
        </w:numPr>
        <w:spacing w:after="240"/>
      </w:pPr>
      <w:r>
        <w:rPr>
          <w:b/>
          <w:bCs/>
        </w:rPr>
        <w:t xml:space="preserve">Objection Handling: </w:t>
      </w:r>
      <w:r>
        <w:t>Create responses for common objections around implementation complexity, university adoption, etc.</w:t>
      </w:r>
    </w:p>
    <w:p w:rsidR="005B1C79" w:rsidRDefault="00000000">
      <w:pPr>
        <w:pStyle w:val="Heading1"/>
      </w:pPr>
      <w:r>
        <w:t>CONCLUSION</w:t>
      </w:r>
    </w:p>
    <w:p w:rsidR="005B1C79" w:rsidRDefault="009A6B7E">
      <w:pPr>
        <w:spacing w:after="180"/>
      </w:pPr>
      <w:r>
        <w:t xml:space="preserve">We cannot afford hyperbole – it impacts trust and our target hates it. </w:t>
      </w:r>
      <w:r w:rsidR="00000000">
        <w:t>The "10X Impact, Zero Cost" narrative is not marketing hyperbole—it's a truthful, quantifiable story supported by industry data and basic math. By emphasizing that employers pay us nothing while receiving dramatically better outcomes, we remove the primary objection (cost) while delivering a compelling value proposition.</w:t>
      </w:r>
    </w:p>
    <w:p w:rsidR="005B1C79" w:rsidRDefault="00000000">
      <w:pPr>
        <w:spacing w:after="180"/>
      </w:pPr>
      <w:r>
        <w:t>The key insight is that even though employers don't pay EFFA directly, they benefit massively from our business model: universities can offer 20-30% better pricing because we charge 3.25% instead of 20-45%, and this savings flows directly to employers. Combined with 10X participation, 90% admin reduction, and $675K+ in prevented turnover, we deliver nearly $1M in annual value from a $600K investment.</w:t>
      </w:r>
    </w:p>
    <w:p w:rsidR="005B1C79" w:rsidRDefault="00000000">
      <w:pPr>
        <w:spacing w:after="180"/>
      </w:pPr>
      <w:r>
        <w:rPr>
          <w:b/>
          <w:bCs/>
          <w:i/>
          <w:iCs/>
        </w:rPr>
        <w:t>This is the strongest competitive positioning available to us: transformation without cost.</w:t>
      </w:r>
    </w:p>
    <w:p w:rsidR="005B1C79" w:rsidRDefault="00000000">
      <w:r>
        <w:t>I recommend we move forward with implementing this messaging framework across all employer-facing channels, starting with the homepage and employer page, followed by the interactive ROI calculator and sales collateral.</w:t>
      </w:r>
    </w:p>
    <w:sectPr w:rsidR="005B1C7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7C7692"/>
    <w:multiLevelType w:val="hybridMultilevel"/>
    <w:tmpl w:val="2C58ADFC"/>
    <w:lvl w:ilvl="0" w:tplc="15803496">
      <w:start w:val="1"/>
      <w:numFmt w:val="bullet"/>
      <w:lvlText w:val="●"/>
      <w:lvlJc w:val="left"/>
      <w:pPr>
        <w:ind w:left="720" w:hanging="360"/>
      </w:pPr>
    </w:lvl>
    <w:lvl w:ilvl="1" w:tplc="D4F20684">
      <w:start w:val="1"/>
      <w:numFmt w:val="bullet"/>
      <w:lvlText w:val="○"/>
      <w:lvlJc w:val="left"/>
      <w:pPr>
        <w:ind w:left="1440" w:hanging="360"/>
      </w:pPr>
    </w:lvl>
    <w:lvl w:ilvl="2" w:tplc="709EDEB2">
      <w:start w:val="1"/>
      <w:numFmt w:val="bullet"/>
      <w:lvlText w:val="■"/>
      <w:lvlJc w:val="left"/>
      <w:pPr>
        <w:ind w:left="2160" w:hanging="360"/>
      </w:pPr>
    </w:lvl>
    <w:lvl w:ilvl="3" w:tplc="0C0EC1C4">
      <w:start w:val="1"/>
      <w:numFmt w:val="bullet"/>
      <w:lvlText w:val="●"/>
      <w:lvlJc w:val="left"/>
      <w:pPr>
        <w:ind w:left="2880" w:hanging="360"/>
      </w:pPr>
    </w:lvl>
    <w:lvl w:ilvl="4" w:tplc="12800756">
      <w:start w:val="1"/>
      <w:numFmt w:val="bullet"/>
      <w:lvlText w:val="○"/>
      <w:lvlJc w:val="left"/>
      <w:pPr>
        <w:ind w:left="3600" w:hanging="360"/>
      </w:pPr>
    </w:lvl>
    <w:lvl w:ilvl="5" w:tplc="CAC8DD3C">
      <w:start w:val="1"/>
      <w:numFmt w:val="bullet"/>
      <w:lvlText w:val="■"/>
      <w:lvlJc w:val="left"/>
      <w:pPr>
        <w:ind w:left="4320" w:hanging="360"/>
      </w:pPr>
    </w:lvl>
    <w:lvl w:ilvl="6" w:tplc="E608422A">
      <w:start w:val="1"/>
      <w:numFmt w:val="bullet"/>
      <w:lvlText w:val="●"/>
      <w:lvlJc w:val="left"/>
      <w:pPr>
        <w:ind w:left="5040" w:hanging="360"/>
      </w:pPr>
    </w:lvl>
    <w:lvl w:ilvl="7" w:tplc="9488B93E">
      <w:start w:val="1"/>
      <w:numFmt w:val="bullet"/>
      <w:lvlText w:val="●"/>
      <w:lvlJc w:val="left"/>
      <w:pPr>
        <w:ind w:left="5760" w:hanging="360"/>
      </w:pPr>
    </w:lvl>
    <w:lvl w:ilvl="8" w:tplc="09CE8824">
      <w:start w:val="1"/>
      <w:numFmt w:val="bullet"/>
      <w:lvlText w:val="●"/>
      <w:lvlJc w:val="left"/>
      <w:pPr>
        <w:ind w:left="6480" w:hanging="360"/>
      </w:pPr>
    </w:lvl>
  </w:abstractNum>
  <w:abstractNum w:abstractNumId="1" w15:restartNumberingAfterBreak="0">
    <w:nsid w:val="53954F06"/>
    <w:multiLevelType w:val="hybridMultilevel"/>
    <w:tmpl w:val="A062392E"/>
    <w:lvl w:ilvl="0" w:tplc="EEE8C33E">
      <w:start w:val="1"/>
      <w:numFmt w:val="decimal"/>
      <w:lvlText w:val="%1."/>
      <w:lvlJc w:val="left"/>
      <w:pPr>
        <w:ind w:left="720" w:hanging="360"/>
      </w:pPr>
    </w:lvl>
    <w:lvl w:ilvl="1" w:tplc="D728B644">
      <w:numFmt w:val="decimal"/>
      <w:lvlText w:val=""/>
      <w:lvlJc w:val="left"/>
    </w:lvl>
    <w:lvl w:ilvl="2" w:tplc="DD84D456">
      <w:numFmt w:val="decimal"/>
      <w:lvlText w:val=""/>
      <w:lvlJc w:val="left"/>
    </w:lvl>
    <w:lvl w:ilvl="3" w:tplc="9102A1DE">
      <w:numFmt w:val="decimal"/>
      <w:lvlText w:val=""/>
      <w:lvlJc w:val="left"/>
    </w:lvl>
    <w:lvl w:ilvl="4" w:tplc="52CCABFC">
      <w:numFmt w:val="decimal"/>
      <w:lvlText w:val=""/>
      <w:lvlJc w:val="left"/>
    </w:lvl>
    <w:lvl w:ilvl="5" w:tplc="8E4C6BC2">
      <w:numFmt w:val="decimal"/>
      <w:lvlText w:val=""/>
      <w:lvlJc w:val="left"/>
    </w:lvl>
    <w:lvl w:ilvl="6" w:tplc="4DD41112">
      <w:numFmt w:val="decimal"/>
      <w:lvlText w:val=""/>
      <w:lvlJc w:val="left"/>
    </w:lvl>
    <w:lvl w:ilvl="7" w:tplc="27EE5B2C">
      <w:numFmt w:val="decimal"/>
      <w:lvlText w:val=""/>
      <w:lvlJc w:val="left"/>
    </w:lvl>
    <w:lvl w:ilvl="8" w:tplc="17EC16E2">
      <w:numFmt w:val="decimal"/>
      <w:lvlText w:val=""/>
      <w:lvlJc w:val="left"/>
    </w:lvl>
  </w:abstractNum>
  <w:abstractNum w:abstractNumId="2" w15:restartNumberingAfterBreak="0">
    <w:nsid w:val="684A25EC"/>
    <w:multiLevelType w:val="hybridMultilevel"/>
    <w:tmpl w:val="1E983900"/>
    <w:lvl w:ilvl="0" w:tplc="20FCD5DE">
      <w:start w:val="1"/>
      <w:numFmt w:val="bullet"/>
      <w:lvlText w:val="•"/>
      <w:lvlJc w:val="left"/>
      <w:pPr>
        <w:ind w:left="720" w:hanging="360"/>
      </w:pPr>
    </w:lvl>
    <w:lvl w:ilvl="1" w:tplc="5412BDE6">
      <w:numFmt w:val="decimal"/>
      <w:lvlText w:val=""/>
      <w:lvlJc w:val="left"/>
    </w:lvl>
    <w:lvl w:ilvl="2" w:tplc="A1EED7B4">
      <w:numFmt w:val="decimal"/>
      <w:lvlText w:val=""/>
      <w:lvlJc w:val="left"/>
    </w:lvl>
    <w:lvl w:ilvl="3" w:tplc="AC547E68">
      <w:numFmt w:val="decimal"/>
      <w:lvlText w:val=""/>
      <w:lvlJc w:val="left"/>
    </w:lvl>
    <w:lvl w:ilvl="4" w:tplc="D60AB514">
      <w:numFmt w:val="decimal"/>
      <w:lvlText w:val=""/>
      <w:lvlJc w:val="left"/>
    </w:lvl>
    <w:lvl w:ilvl="5" w:tplc="646E4C0E">
      <w:numFmt w:val="decimal"/>
      <w:lvlText w:val=""/>
      <w:lvlJc w:val="left"/>
    </w:lvl>
    <w:lvl w:ilvl="6" w:tplc="22240CEE">
      <w:numFmt w:val="decimal"/>
      <w:lvlText w:val=""/>
      <w:lvlJc w:val="left"/>
    </w:lvl>
    <w:lvl w:ilvl="7" w:tplc="7088AAB2">
      <w:numFmt w:val="decimal"/>
      <w:lvlText w:val=""/>
      <w:lvlJc w:val="left"/>
    </w:lvl>
    <w:lvl w:ilvl="8" w:tplc="F6220648">
      <w:numFmt w:val="decimal"/>
      <w:lvlText w:val=""/>
      <w:lvlJc w:val="left"/>
    </w:lvl>
  </w:abstractNum>
  <w:num w:numId="1" w16cid:durableId="1142386294">
    <w:abstractNumId w:val="0"/>
    <w:lvlOverride w:ilvl="0">
      <w:startOverride w:val="1"/>
    </w:lvlOverride>
  </w:num>
  <w:num w:numId="2" w16cid:durableId="850529932">
    <w:abstractNumId w:val="1"/>
    <w:lvlOverride w:ilvl="0">
      <w:startOverride w:val="1"/>
    </w:lvlOverride>
  </w:num>
  <w:num w:numId="3" w16cid:durableId="104051676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C79"/>
    <w:rsid w:val="005B1C79"/>
    <w:rsid w:val="009A6B7E"/>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F372A7E"/>
  <w15:docId w15:val="{CA0B4C6A-66DA-CA47-84E7-65175917C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202C"/>
      <w:sz w:val="32"/>
      <w:szCs w:val="32"/>
    </w:rPr>
  </w:style>
  <w:style w:type="paragraph" w:styleId="Heading2">
    <w:name w:val="heading 2"/>
    <w:uiPriority w:val="9"/>
    <w:unhideWhenUsed/>
    <w:qFormat/>
    <w:pPr>
      <w:spacing w:before="280" w:after="140"/>
      <w:outlineLvl w:val="1"/>
    </w:pPr>
    <w:rPr>
      <w:b/>
      <w:bCs/>
      <w:color w:val="2D3748"/>
      <w:sz w:val="28"/>
      <w:szCs w:val="28"/>
    </w:rPr>
  </w:style>
  <w:style w:type="paragraph" w:styleId="Heading3">
    <w:name w:val="heading 3"/>
    <w:uiPriority w:val="9"/>
    <w:semiHidden/>
    <w:unhideWhenUsed/>
    <w:qFormat/>
    <w:pPr>
      <w:spacing w:before="200" w:after="100"/>
      <w:outlineLvl w:val="2"/>
    </w:pPr>
    <w:rPr>
      <w:b/>
      <w:bCs/>
      <w:color w:val="4A556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color w:val="F7931E"/>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1179</Words>
  <Characters>7009</Characters>
  <Application>Microsoft Office Word</Application>
  <DocSecurity>0</DocSecurity>
  <Lines>146</Lines>
  <Paragraphs>124</Paragraphs>
  <ScaleCrop>false</ScaleCrop>
  <Company/>
  <LinksUpToDate>false</LinksUpToDate>
  <CharactersWithSpaces>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Jeff Nelder</cp:lastModifiedBy>
  <cp:revision>2</cp:revision>
  <dcterms:created xsi:type="dcterms:W3CDTF">2025-10-31T21:51:00Z</dcterms:created>
  <dcterms:modified xsi:type="dcterms:W3CDTF">2025-10-31T21:51:00Z</dcterms:modified>
</cp:coreProperties>
</file>