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ECB7" w14:textId="6283F8BF" w:rsidR="006849D3" w:rsidRDefault="006849D3">
      <w:pPr>
        <w:rPr>
          <w:b/>
          <w:bCs/>
        </w:rPr>
      </w:pPr>
      <w:r w:rsidRPr="006849D3">
        <w:rPr>
          <w:b/>
          <w:bCs/>
        </w:rPr>
        <w:t>Data Diary</w:t>
      </w:r>
    </w:p>
    <w:p w14:paraId="7BEAAC92" w14:textId="74EB6089" w:rsidR="006849D3" w:rsidRPr="006849D3" w:rsidRDefault="006849D3"/>
    <w:p w14:paraId="04E35F95" w14:textId="3CB0C5CD" w:rsidR="006849D3" w:rsidRPr="006849D3" w:rsidRDefault="006849D3">
      <w:r w:rsidRPr="006849D3">
        <w:t>DCA Inspections Spreadsheet:</w:t>
      </w:r>
    </w:p>
    <w:p w14:paraId="64A11898" w14:textId="76CA4D8A" w:rsidR="006849D3" w:rsidRDefault="006849D3">
      <w:hyperlink r:id="rId4" w:history="1">
        <w:r w:rsidRPr="006849D3">
          <w:rPr>
            <w:rStyle w:val="Hyperlink"/>
          </w:rPr>
          <w:t>https://data.cityofnewyork.us/Business/Inspections/jzhd-m6uv</w:t>
        </w:r>
      </w:hyperlink>
    </w:p>
    <w:p w14:paraId="4A0DA84F" w14:textId="08FEBE3D" w:rsidR="006849D3" w:rsidRDefault="006849D3"/>
    <w:p w14:paraId="42AD94FC" w14:textId="25B30244" w:rsidR="007F04BF" w:rsidRDefault="006849D3">
      <w:r>
        <w:t>DCA</w:t>
      </w:r>
      <w:r w:rsidR="007F04BF">
        <w:t xml:space="preserve"> Inspections Data Dictionary:</w:t>
      </w:r>
    </w:p>
    <w:p w14:paraId="5F6AAC1D" w14:textId="1A59C455" w:rsidR="0005322A" w:rsidRDefault="0005322A"/>
    <w:p w14:paraId="00CDA4A9" w14:textId="55562314" w:rsidR="0005322A" w:rsidRDefault="0005322A">
      <w:hyperlink r:id="rId5" w:history="1">
        <w:r w:rsidRPr="00B84438">
          <w:rPr>
            <w:rStyle w:val="Hyperlink"/>
          </w:rPr>
          <w:t>https://data.cityofnewyork.us/api/views/jzhd-m6uv/files/8831a57e-fa51-40cb-850f-4f6293e73979?download=true&amp;filename=DCA%20Inspections%20Data%20Dictionary.pdf</w:t>
        </w:r>
      </w:hyperlink>
    </w:p>
    <w:p w14:paraId="6279036B" w14:textId="648CAA07" w:rsidR="0005322A" w:rsidRDefault="0005322A"/>
    <w:p w14:paraId="0363C0BD" w14:textId="5FF3CC54" w:rsidR="0005322A" w:rsidRDefault="0005322A">
      <w:r>
        <w:t>Pivot Table of All inspections, by year and result:</w:t>
      </w:r>
    </w:p>
    <w:p w14:paraId="26F28A55" w14:textId="41B1B439" w:rsidR="0005322A" w:rsidRDefault="0005322A"/>
    <w:p w14:paraId="01214CC6" w14:textId="758AFFD3" w:rsidR="0005322A" w:rsidRDefault="0005322A">
      <w:r>
        <w:t xml:space="preserve">See Appendix 1. </w:t>
      </w:r>
    </w:p>
    <w:p w14:paraId="1341866C" w14:textId="53CE99B3" w:rsidR="00F27FB4" w:rsidRDefault="00F27FB4"/>
    <w:p w14:paraId="37EB5845" w14:textId="5AA62CA7" w:rsidR="00F27FB4" w:rsidRDefault="00F27FB4"/>
    <w:p w14:paraId="2DCEDC6A" w14:textId="122A5CDF" w:rsidR="007F04BF" w:rsidRPr="007F04BF" w:rsidRDefault="007F04BF">
      <w:pPr>
        <w:rPr>
          <w:b/>
          <w:bCs/>
        </w:rPr>
      </w:pPr>
      <w:r w:rsidRPr="007F04BF">
        <w:rPr>
          <w:b/>
          <w:bCs/>
        </w:rPr>
        <w:t>The following results can be considered non-disciplinary outcomes:</w:t>
      </w:r>
    </w:p>
    <w:p w14:paraId="06696622" w14:textId="147FCA65" w:rsidR="007F04BF" w:rsidRDefault="007F04BF"/>
    <w:p w14:paraId="05844655" w14:textId="72110AAD" w:rsidR="007F04BF" w:rsidRDefault="007F04BF">
      <w:r>
        <w:t>Pass, No Warning Issued, No Violation Issued, No Evidence of Activity.</w:t>
      </w:r>
    </w:p>
    <w:p w14:paraId="12D39546" w14:textId="5A124CCF" w:rsidR="0005322A" w:rsidRDefault="0005322A"/>
    <w:p w14:paraId="0B198BC0" w14:textId="358BF680" w:rsidR="0005322A" w:rsidRDefault="0005322A">
      <w:r w:rsidRPr="0005322A">
        <w:rPr>
          <w:i/>
          <w:iCs/>
        </w:rPr>
        <w:t>Note</w:t>
      </w:r>
      <w:r>
        <w:t xml:space="preserve">: “No Evidence of Activity” means that inspectors could not find activity that was alleged in a prior complaint or reason for visiting. </w:t>
      </w:r>
    </w:p>
    <w:p w14:paraId="1914A983" w14:textId="48B7CCA6" w:rsidR="007F04BF" w:rsidRDefault="007F04BF"/>
    <w:p w14:paraId="4E32CFC6" w14:textId="4FD7D286" w:rsidR="007F04BF" w:rsidRPr="007F04BF" w:rsidRDefault="007F04BF">
      <w:pPr>
        <w:rPr>
          <w:b/>
          <w:bCs/>
        </w:rPr>
      </w:pPr>
      <w:r w:rsidRPr="007F04BF">
        <w:rPr>
          <w:b/>
          <w:bCs/>
        </w:rPr>
        <w:t>These tags indicate an inspection that ended in disciplinary action:</w:t>
      </w:r>
    </w:p>
    <w:p w14:paraId="25B44C74" w14:textId="7FFFB8F2" w:rsidR="007F04BF" w:rsidRDefault="007F04BF">
      <w:r>
        <w:t>Warning, Violation, Fail, License Confiscated, Condemned, Confiscated</w:t>
      </w:r>
    </w:p>
    <w:p w14:paraId="10672AA8" w14:textId="60DC238E" w:rsidR="007F04BF" w:rsidRDefault="007F04BF"/>
    <w:p w14:paraId="784CE516" w14:textId="0256E99C" w:rsidR="007F04BF" w:rsidRPr="007F04BF" w:rsidRDefault="007F04BF">
      <w:pPr>
        <w:rPr>
          <w:b/>
          <w:bCs/>
        </w:rPr>
      </w:pPr>
      <w:r w:rsidRPr="007F04BF">
        <w:rPr>
          <w:b/>
          <w:bCs/>
        </w:rPr>
        <w:t>These tags indicate that an inspection could not be performed, because a business was closed, could not be located, or otherwise inaccessible to inspectors.</w:t>
      </w:r>
    </w:p>
    <w:p w14:paraId="5B4CAFB5" w14:textId="27FD88C7" w:rsidR="007F04BF" w:rsidRDefault="007F04BF"/>
    <w:p w14:paraId="4474F27D" w14:textId="55869696" w:rsidR="007F04BF" w:rsidRDefault="007F04BF">
      <w:r>
        <w:t>Business Padlocked, Closed, Out of Business, Residential, Unable to Locate, Unable to Seize Vehicle, Unidentified Vendor/Business</w:t>
      </w:r>
    </w:p>
    <w:p w14:paraId="274BE2F8" w14:textId="254EFBD8" w:rsidR="007F04BF" w:rsidRDefault="007F04BF"/>
    <w:p w14:paraId="2C387E39" w14:textId="10B96EC5" w:rsidR="00F27FB4" w:rsidRDefault="007F04BF">
      <w:r>
        <w:t>By omitting these neutral outcomes,</w:t>
      </w:r>
      <w:r w:rsidR="00F27FB4">
        <w:t xml:space="preserve"> and removing pre-pandemic years, the table can be simplified </w:t>
      </w:r>
      <w:r w:rsidR="0005322A">
        <w:t>as seen in Appendix 2:</w:t>
      </w:r>
    </w:p>
    <w:p w14:paraId="0D2319EA" w14:textId="77777777" w:rsidR="00F27FB4" w:rsidRDefault="00F27FB4"/>
    <w:p w14:paraId="568C0AC9" w14:textId="19536644" w:rsidR="007F04BF" w:rsidRDefault="00F27FB4">
      <w:r>
        <w:t xml:space="preserve">Interview Quotes from </w:t>
      </w:r>
    </w:p>
    <w:p w14:paraId="6491F0C3" w14:textId="16A5EA6C" w:rsidR="007F04BF" w:rsidRDefault="007F04BF"/>
    <w:p w14:paraId="761EDE7D" w14:textId="194A5687" w:rsidR="00F27FB4" w:rsidRDefault="00F27FB4"/>
    <w:p w14:paraId="53E628EC" w14:textId="77777777" w:rsidR="00F27FB4" w:rsidRDefault="00F27FB4"/>
    <w:p w14:paraId="7FFFFAED" w14:textId="1A4A5B19" w:rsidR="007F04BF" w:rsidRDefault="007F04BF"/>
    <w:p w14:paraId="31959172" w14:textId="77777777" w:rsidR="007F04BF" w:rsidRPr="006849D3" w:rsidRDefault="007F04BF"/>
    <w:p w14:paraId="7B3F053E" w14:textId="77777777" w:rsidR="006849D3" w:rsidRPr="006849D3" w:rsidRDefault="006849D3"/>
    <w:p w14:paraId="7A4FF368" w14:textId="77777777" w:rsidR="006849D3" w:rsidRPr="006849D3" w:rsidRDefault="006849D3"/>
    <w:p w14:paraId="0BAC463B" w14:textId="77777777" w:rsidR="006849D3" w:rsidRDefault="006849D3"/>
    <w:p w14:paraId="4D21A8BC" w14:textId="4A058B08" w:rsidR="00BB4885" w:rsidRDefault="00BB4885"/>
    <w:p w14:paraId="51B3921D" w14:textId="25A34AA8" w:rsidR="00BB4885" w:rsidRDefault="00BB21C0">
      <w:r>
        <w:t>Inspectors Step Up Enforcement on NYC Businesses</w:t>
      </w:r>
    </w:p>
    <w:p w14:paraId="4F1DEBE4" w14:textId="49EF76B3" w:rsidR="00BB4885" w:rsidRDefault="00BB4885"/>
    <w:p w14:paraId="7C0D2FDF" w14:textId="719720C6" w:rsidR="00BB4885" w:rsidRDefault="00BB4885">
      <w:r>
        <w:lastRenderedPageBreak/>
        <w:t xml:space="preserve">Enforcement </w:t>
      </w:r>
      <w:r w:rsidR="00BB21C0">
        <w:t>actions have</w:t>
      </w:r>
      <w:r>
        <w:t xml:space="preserve"> increased after the city’s reopening, with inspectors giving </w:t>
      </w:r>
      <w:r w:rsidR="00BB21C0">
        <w:t xml:space="preserve">more warnings and penalties. </w:t>
      </w:r>
    </w:p>
    <w:p w14:paraId="4DD13C52" w14:textId="6F04014F" w:rsidR="00BB21C0" w:rsidRDefault="00BB21C0"/>
    <w:p w14:paraId="2FE221A5" w14:textId="22D49A88" w:rsidR="00BB4885" w:rsidRDefault="00BB21C0">
      <w:r>
        <w:t xml:space="preserve">As New Yorkers go back to work, so do government inspectors. The Department of Consumer and Worker Protection, which regulates everything from price tags to horse-drawn buggies, has released the latest inspection results for NYC’s 51,000 businesses. Those results indicate that 44% of inspections end with a warning, violation, or other disciplinary action, up from 34% last year. </w:t>
      </w:r>
    </w:p>
    <w:p w14:paraId="513922E8" w14:textId="17FCED69" w:rsidR="00BB21C0" w:rsidRDefault="00BB21C0"/>
    <w:p w14:paraId="5D2C816D" w14:textId="762AD831" w:rsidR="00BB21C0" w:rsidRDefault="00BB21C0">
      <w:r>
        <w:t xml:space="preserve">There are two likely reasons for the increase in enforcement, according to Michael Brady, CEO of the Third Avenue Business Improvement District. </w:t>
      </w:r>
      <w:r w:rsidR="002A7699">
        <w:t xml:space="preserve">The most innocent explanation, Brady says, is that city inspectors are simply making up for lost time after pausing many inspections during the COVID-19 pandemic. </w:t>
      </w:r>
    </w:p>
    <w:p w14:paraId="2BFBFA73" w14:textId="77777777" w:rsidR="00BB21C0" w:rsidRDefault="00BB21C0"/>
    <w:p w14:paraId="43400568" w14:textId="64B4D0FA" w:rsidR="00585871" w:rsidRDefault="00585871">
      <w:r>
        <w:t xml:space="preserve">“Eventually the city has to restart </w:t>
      </w:r>
      <w:proofErr w:type="spellStart"/>
      <w:r>
        <w:t>it’s</w:t>
      </w:r>
      <w:proofErr w:type="spellEnd"/>
      <w:r>
        <w:t xml:space="preserve"> purpose, and that’s to keep people safe</w:t>
      </w:r>
      <w:r w:rsidR="002A7699">
        <w:t>,</w:t>
      </w:r>
      <w:r>
        <w:t>”</w:t>
      </w:r>
      <w:r w:rsidR="002A7699">
        <w:t xml:space="preserve"> Brady said. </w:t>
      </w:r>
      <w:r>
        <w:t>“You’re restarting the engine. That includes putting more inspectors out, coming in with a firm hand</w:t>
      </w:r>
      <w:r w:rsidR="002A7699">
        <w:t xml:space="preserve">. </w:t>
      </w:r>
      <w:r>
        <w:t>There is an expected uptick in fines and inspection visits.”</w:t>
      </w:r>
    </w:p>
    <w:p w14:paraId="07C1E65C" w14:textId="066D7651" w:rsidR="002A7699" w:rsidRDefault="002A7699"/>
    <w:p w14:paraId="3060A7B7" w14:textId="713108CF" w:rsidR="002A7699" w:rsidRDefault="002A7699">
      <w:r>
        <w:t>But there is another explanation as well. “T</w:t>
      </w:r>
      <w:r>
        <w:t>he city and the state and the Federal government are looking down the road and they’re finding a huge budget gap</w:t>
      </w:r>
      <w:r>
        <w:t>,” Brady said. “</w:t>
      </w:r>
      <w:r>
        <w:t>The government will find ways to fill that budget gap. I think fines and things like that are a piece of it</w:t>
      </w:r>
      <w:r>
        <w:t>.”</w:t>
      </w:r>
    </w:p>
    <w:p w14:paraId="012BD49B" w14:textId="0987E4E6" w:rsidR="002A7699" w:rsidRDefault="002A7699"/>
    <w:p w14:paraId="3D6513F0" w14:textId="3F2E67B4" w:rsidR="002A7699" w:rsidRDefault="002A7699">
      <w:r>
        <w:t>Notes from Brady Interview</w:t>
      </w:r>
    </w:p>
    <w:p w14:paraId="5820BE5A" w14:textId="77777777" w:rsidR="002A7699" w:rsidRDefault="002A7699"/>
    <w:p w14:paraId="0BAD43BC" w14:textId="110C2F48" w:rsidR="00585871" w:rsidRDefault="00585871"/>
    <w:p w14:paraId="1B7EA889" w14:textId="428F985C" w:rsidR="00585871" w:rsidRDefault="00585871">
      <w:r>
        <w:t xml:space="preserve">“It’s fine to be inspected. </w:t>
      </w:r>
      <w:r w:rsidR="006849D3">
        <w:t xml:space="preserve"> </w:t>
      </w:r>
      <w:r>
        <w:t xml:space="preserve">What is not fine is when untrained inspectors are </w:t>
      </w:r>
      <w:r w:rsidR="006849D3">
        <w:t>sent</w:t>
      </w:r>
      <w:r>
        <w:t xml:space="preserve"> </w:t>
      </w:r>
      <w:proofErr w:type="gramStart"/>
      <w:r>
        <w:t xml:space="preserve">in </w:t>
      </w:r>
      <w:r w:rsidR="006849D3">
        <w:t>to</w:t>
      </w:r>
      <w:proofErr w:type="gramEnd"/>
      <w:r w:rsidR="006849D3">
        <w:t xml:space="preserve"> businesses because they’ve been pulled from a different agency</w:t>
      </w:r>
      <w:r>
        <w:t>. Then you have business owners draining their personal savings accounts</w:t>
      </w:r>
      <w:r w:rsidR="006849D3">
        <w:t>, draining their college fund accounts, draining their checking accounts</w:t>
      </w:r>
      <w:r>
        <w:t xml:space="preserve"> to keep their businesses open, to have someone</w:t>
      </w:r>
      <w:r w:rsidR="006849D3">
        <w:t xml:space="preserve"> who was sent through a three-hour training telling them what they’re doing wrong.”</w:t>
      </w:r>
    </w:p>
    <w:p w14:paraId="19D4D951" w14:textId="15A1AE61" w:rsidR="006849D3" w:rsidRDefault="006849D3"/>
    <w:p w14:paraId="76AB6A52" w14:textId="6A9656D7" w:rsidR="006849D3" w:rsidRDefault="006849D3">
      <w:r>
        <w:t xml:space="preserve">“We </w:t>
      </w:r>
      <w:proofErr w:type="gramStart"/>
      <w:r>
        <w:t>have to</w:t>
      </w:r>
      <w:proofErr w:type="gramEnd"/>
      <w:r>
        <w:t xml:space="preserve"> maintain the critical safety of New Yorkers, </w:t>
      </w:r>
    </w:p>
    <w:p w14:paraId="248E73FD" w14:textId="08046A62" w:rsidR="006849D3" w:rsidRDefault="006849D3"/>
    <w:p w14:paraId="2C71F14B" w14:textId="3AE612EE" w:rsidR="006849D3" w:rsidRDefault="006849D3">
      <w:r>
        <w:t>There’s also the fundamental question, which is that the city and the state and the Federal government are looking down the road and they’re finding a huge budget gap. The government will find ways to fill that budget gap. I think fines and things like that are a piece of it.”</w:t>
      </w:r>
    </w:p>
    <w:p w14:paraId="0BF8C54F" w14:textId="61B6134E" w:rsidR="006849D3" w:rsidRDefault="006849D3"/>
    <w:p w14:paraId="210F8C9A" w14:textId="77777777" w:rsidR="006849D3" w:rsidRDefault="006849D3"/>
    <w:p w14:paraId="763BC436" w14:textId="77777777" w:rsidR="00585871" w:rsidRDefault="00585871"/>
    <w:p w14:paraId="7C98E83B" w14:textId="1112287B" w:rsidR="00F27FB4" w:rsidRDefault="00F27FB4"/>
    <w:p w14:paraId="00A7B2B5" w14:textId="3C7F69D3" w:rsidR="00F27FB4" w:rsidRDefault="00F27FB4"/>
    <w:p w14:paraId="7BF3816D" w14:textId="0C01B0B1" w:rsidR="00F27FB4" w:rsidRDefault="0005322A">
      <w:r>
        <w:t>Appendix I: Pivot Table of All Inspections by Year and Outcome</w:t>
      </w:r>
    </w:p>
    <w:p w14:paraId="26AAF68D" w14:textId="07C136AC" w:rsidR="00F27FB4" w:rsidRDefault="00F27FB4"/>
    <w:p w14:paraId="48E4ABD8" w14:textId="4512A0C3" w:rsidR="00F27FB4" w:rsidRDefault="00F27FB4"/>
    <w:p w14:paraId="76AE293C" w14:textId="1270DF2E" w:rsidR="0005322A" w:rsidRDefault="0005322A"/>
    <w:p w14:paraId="0F2EAF45" w14:textId="0D06AF74" w:rsidR="0005322A" w:rsidRDefault="0005322A"/>
    <w:p w14:paraId="5485B042" w14:textId="27C7B9E1" w:rsidR="0005322A" w:rsidRDefault="0005322A"/>
    <w:p w14:paraId="3432C7C7" w14:textId="1B26EB5F" w:rsidR="0005322A" w:rsidRDefault="0005322A"/>
    <w:p w14:paraId="123B6F6F" w14:textId="77777777" w:rsidR="0005322A" w:rsidRDefault="0005322A"/>
    <w:tbl>
      <w:tblPr>
        <w:tblpPr w:leftFromText="180" w:rightFromText="180" w:horzAnchor="margin" w:tblpXSpec="center" w:tblpY="806"/>
        <w:tblW w:w="10228" w:type="dxa"/>
        <w:tblLook w:val="04A0" w:firstRow="1" w:lastRow="0" w:firstColumn="1" w:lastColumn="0" w:noHBand="0" w:noVBand="1"/>
      </w:tblPr>
      <w:tblGrid>
        <w:gridCol w:w="2538"/>
        <w:gridCol w:w="1466"/>
        <w:gridCol w:w="825"/>
        <w:gridCol w:w="825"/>
        <w:gridCol w:w="825"/>
        <w:gridCol w:w="825"/>
        <w:gridCol w:w="825"/>
        <w:gridCol w:w="825"/>
        <w:gridCol w:w="825"/>
        <w:gridCol w:w="825"/>
        <w:gridCol w:w="1024"/>
      </w:tblGrid>
      <w:tr w:rsidR="00F27FB4" w:rsidRPr="00F27FB4" w14:paraId="7D36628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618710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Count of Inspection Result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87501E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1990E5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D8A717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8EE79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5825BD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AC83E1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4BF566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123FC4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2529C1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BFAC0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</w:tr>
      <w:tr w:rsidR="00F27FB4" w:rsidRPr="00F27FB4" w14:paraId="493D1B69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DB4EC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2954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5B2F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E7B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A3CC7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E6CBB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21FC0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E7C7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8AF9D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E8D2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2022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932C3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Grand Total</w:t>
            </w:r>
          </w:p>
        </w:tc>
      </w:tr>
      <w:tr w:rsidR="00F27FB4" w:rsidRPr="00F27FB4" w14:paraId="107EF049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6A4E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Business Padlocked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00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40F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52E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DFA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10A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EFE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0F7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0C7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49A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710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F27FB4" w:rsidRPr="00F27FB4" w14:paraId="4B9FDE9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77B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Closed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A4E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2F6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259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62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26E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9B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B71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7B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4312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89C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3685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011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16540</w:t>
            </w:r>
          </w:p>
        </w:tc>
      </w:tr>
      <w:tr w:rsidR="00F27FB4" w:rsidRPr="00F27FB4" w14:paraId="0071DA6D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1288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Completed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D6C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754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B8C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9D4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8CA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BC2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F35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CF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B4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798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F27FB4" w:rsidRPr="00F27FB4" w14:paraId="047EAE5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408B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Condemned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02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335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55E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A66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8FF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36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E4C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90DF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9348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E39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F27FB4" w:rsidRPr="00F27FB4" w14:paraId="1673DAF4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DF9A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Confiscated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DFE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5DC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EE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79E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77C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AD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8F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CD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DC9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86D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F27FB4" w:rsidRPr="00F27FB4" w14:paraId="41D36F4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701F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ECB Summons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8EB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595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A9B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573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0EA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938E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9BD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0DC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52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1523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323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2290</w:t>
            </w:r>
          </w:p>
        </w:tc>
      </w:tr>
      <w:tr w:rsidR="00F27FB4" w:rsidRPr="00F27FB4" w14:paraId="2C655C4B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FEAE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ECB Summons Withdrawn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52E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F46E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069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8909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336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B727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70D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3D4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B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E13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F27FB4" w:rsidRPr="00F27FB4" w14:paraId="1D3317CF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642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ECB Warning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8A1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E24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974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BA43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82A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7558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92C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AB2B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34D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DF2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254</w:t>
            </w:r>
          </w:p>
        </w:tc>
      </w:tr>
      <w:tr w:rsidR="00F27FB4" w:rsidRPr="00F27FB4" w14:paraId="6A9C208E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EB9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Fail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6D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0B3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DF2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1099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E2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916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BE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06F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E8F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D3B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772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6497</w:t>
            </w:r>
          </w:p>
        </w:tc>
      </w:tr>
      <w:tr w:rsidR="00F27FB4" w:rsidRPr="00F27FB4" w14:paraId="5B098F0F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DE80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License Confiscated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921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20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D06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F73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56E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4FF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5AF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BF2F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19AF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1D7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F27FB4" w:rsidRPr="00F27FB4" w14:paraId="4A0EE253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2611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Licensed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81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1F5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0ED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3E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FF3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0E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A4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6637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FB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29E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509</w:t>
            </w:r>
          </w:p>
        </w:tc>
      </w:tr>
      <w:tr w:rsidR="00F27FB4" w:rsidRPr="00F27FB4" w14:paraId="22DD137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6378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 Evidence of Activity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B9D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1775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01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6E4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FF3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0E9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2958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B6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3880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B78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1885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346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2864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E0A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5004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2D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24954</w:t>
            </w:r>
          </w:p>
        </w:tc>
      </w:tr>
      <w:tr w:rsidR="00F27FB4" w:rsidRPr="00F27FB4" w14:paraId="10BA668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EAA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 Violation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047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35211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38B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35804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F5D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38314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EA7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33380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56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24090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B9E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23154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CD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12246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D90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15503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159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11724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2E9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229426</w:t>
            </w:r>
          </w:p>
        </w:tc>
      </w:tr>
      <w:tr w:rsidR="00F27FB4" w:rsidRPr="00F27FB4" w14:paraId="114B2ACB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F792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 Warning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9486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B58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64D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3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286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16E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C44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DD9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2362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99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2497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6CE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8900</w:t>
            </w:r>
          </w:p>
        </w:tc>
      </w:tr>
      <w:tr w:rsidR="00F27FB4" w:rsidRPr="00F27FB4" w14:paraId="23D86BF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78F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NOH Withdrawn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CA1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BB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F8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16A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1BD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02F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7AF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7F1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564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93F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1194</w:t>
            </w:r>
          </w:p>
        </w:tc>
      </w:tr>
      <w:tr w:rsidR="00F27FB4" w:rsidRPr="00F27FB4" w14:paraId="579837D1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A8E9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Out of Business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A7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4742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1C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6779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60A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8161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A91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7460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0F2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9011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3AA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9487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4A0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9FD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4634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0F3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4813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74F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58894</w:t>
            </w:r>
          </w:p>
        </w:tc>
      </w:tr>
      <w:tr w:rsidR="00F27FB4" w:rsidRPr="00F27FB4" w14:paraId="585E8ADC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215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Pass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0B5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15339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264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14593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C0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18086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D96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16265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3F5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13826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68C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B6D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4252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5AE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5748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F84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6045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E4B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103055</w:t>
            </w:r>
          </w:p>
        </w:tc>
      </w:tr>
      <w:tr w:rsidR="00F27FB4" w:rsidRPr="00F27FB4" w14:paraId="202AE64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0B3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Posting Order Served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90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FC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660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D83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55E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40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C54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DF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E6F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2B9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885</w:t>
            </w:r>
          </w:p>
        </w:tc>
      </w:tr>
      <w:tr w:rsidR="00F27FB4" w:rsidRPr="00F27FB4" w14:paraId="5585E56C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F24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Re-inspection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5D2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15A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9C6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F56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504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471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B17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1A7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F59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4C3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1670</w:t>
            </w:r>
          </w:p>
        </w:tc>
      </w:tr>
      <w:tr w:rsidR="00F27FB4" w:rsidRPr="00F27FB4" w14:paraId="6965C449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3B5A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Residential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61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34F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896A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AA7B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1E0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E6C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298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FED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DC5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C5F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322</w:t>
            </w:r>
          </w:p>
        </w:tc>
      </w:tr>
      <w:tr w:rsidR="00F27FB4" w:rsidRPr="00F27FB4" w14:paraId="3DAABDB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4C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Samples Obtained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5A6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DC6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CE69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6E4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903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345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EDC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EFE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1766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98A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F27FB4" w:rsidRPr="00F27FB4" w14:paraId="7C9A6810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21A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Unable to Complete Inspection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717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906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FB9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AC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51E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5F0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CA7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89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52B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5C7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F27FB4" w:rsidRPr="00F27FB4" w14:paraId="3DE75B7B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82C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Unable to Locate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EB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3E6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3BC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2D6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F38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3D5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F38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7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C44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1A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2580</w:t>
            </w:r>
          </w:p>
        </w:tc>
      </w:tr>
      <w:tr w:rsidR="00F27FB4" w:rsidRPr="00F27FB4" w14:paraId="2CA5859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423E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Unable to Seize Vehicle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2614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BA4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676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941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CB09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F73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650E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716D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23F0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0A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7FB4" w:rsidRPr="00F27FB4" w14:paraId="7ECC4FE4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EFC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Unidentified Vendor/Business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8E9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E089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C2F4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0D04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2E65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874C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47B3" w14:textId="77777777" w:rsidR="00F27FB4" w:rsidRPr="00F27FB4" w:rsidRDefault="00F27FB4" w:rsidP="00F27FB4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76B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34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5BD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1450</w:t>
            </w:r>
          </w:p>
        </w:tc>
      </w:tr>
      <w:tr w:rsidR="00F27FB4" w:rsidRPr="00F27FB4" w14:paraId="4AB9A592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DE67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Violation Issued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09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12597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AB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12957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2A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14997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69F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16772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012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14359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CF2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16094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7F9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7191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649A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7699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29E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8979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96F3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111645</w:t>
            </w:r>
          </w:p>
        </w:tc>
      </w:tr>
      <w:tr w:rsidR="00F27FB4" w:rsidRPr="00F27FB4" w14:paraId="44F5C9B7" w14:textId="77777777" w:rsidTr="00F27FB4">
        <w:trPr>
          <w:trHeight w:val="292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9BD8" w14:textId="77777777" w:rsidR="00F27FB4" w:rsidRPr="00F27FB4" w:rsidRDefault="00F27FB4" w:rsidP="00F27FB4">
            <w:pPr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Warning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841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1254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18E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53A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811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FF4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1712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C3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3515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505D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4023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FFB1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5574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DF2C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5224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8BD4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9504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0CC5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color w:val="000000"/>
              </w:rPr>
            </w:pPr>
            <w:r w:rsidRPr="00F27FB4">
              <w:rPr>
                <w:rFonts w:ascii="Calibri" w:hAnsi="Calibri" w:cs="Calibri"/>
                <w:color w:val="000000"/>
              </w:rPr>
              <w:t>32562</w:t>
            </w:r>
          </w:p>
        </w:tc>
      </w:tr>
      <w:tr w:rsidR="00F27FB4" w:rsidRPr="00F27FB4" w14:paraId="05A92FEA" w14:textId="77777777" w:rsidTr="00F27FB4">
        <w:trPr>
          <w:trHeight w:val="292"/>
        </w:trPr>
        <w:tc>
          <w:tcPr>
            <w:tcW w:w="25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85DC1" w14:textId="77777777" w:rsidR="00F27FB4" w:rsidRPr="00F27FB4" w:rsidRDefault="00F27FB4" w:rsidP="00F27FB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417AA7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74374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0AFB5B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76414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59D61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85180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76BF90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81690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9FF2A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71897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C7D2F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69073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CB345E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39464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A4A7C8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50507</w:t>
            </w:r>
          </w:p>
        </w:tc>
        <w:tc>
          <w:tcPr>
            <w:tcW w:w="6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56EE2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55600</w:t>
            </w:r>
          </w:p>
        </w:tc>
        <w:tc>
          <w:tcPr>
            <w:tcW w:w="102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3BBC06" w14:textId="77777777" w:rsidR="00F27FB4" w:rsidRPr="00F27FB4" w:rsidRDefault="00F27FB4" w:rsidP="00F27FB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FB4">
              <w:rPr>
                <w:rFonts w:ascii="Calibri" w:hAnsi="Calibri" w:cs="Calibri"/>
                <w:b/>
                <w:bCs/>
                <w:color w:val="000000"/>
              </w:rPr>
              <w:t>604199</w:t>
            </w:r>
          </w:p>
        </w:tc>
      </w:tr>
    </w:tbl>
    <w:p w14:paraId="26B37CF1" w14:textId="0D2EAA87" w:rsidR="00F27FB4" w:rsidRDefault="00F27FB4"/>
    <w:p w14:paraId="5250AF2B" w14:textId="1DD9FE7F" w:rsidR="0005322A" w:rsidRDefault="0005322A"/>
    <w:p w14:paraId="4F0518B1" w14:textId="11910DE1" w:rsidR="00925BB6" w:rsidRDefault="00925BB6"/>
    <w:p w14:paraId="04CE2079" w14:textId="72C06A1E" w:rsidR="00925BB6" w:rsidRDefault="00925BB6"/>
    <w:p w14:paraId="5AB3E886" w14:textId="42EC3E9C" w:rsidR="00925BB6" w:rsidRDefault="00925BB6"/>
    <w:p w14:paraId="7C2AD005" w14:textId="77777777" w:rsidR="00925BB6" w:rsidRDefault="00925BB6"/>
    <w:p w14:paraId="2DC93D63" w14:textId="716D7B23" w:rsidR="0005322A" w:rsidRDefault="0005322A">
      <w:r>
        <w:t>Appendix II: All Inspections by Year and Outcome (201</w:t>
      </w:r>
      <w:r w:rsidR="00925BB6">
        <w:t>8</w:t>
      </w:r>
      <w:r>
        <w:t>-22</w:t>
      </w:r>
      <w:r w:rsidR="00925BB6">
        <w:t>)</w:t>
      </w:r>
    </w:p>
    <w:p w14:paraId="1019EF1F" w14:textId="4DF7200C" w:rsidR="00925BB6" w:rsidRDefault="00925BB6"/>
    <w:p w14:paraId="1C955782" w14:textId="534F4B84" w:rsidR="00925BB6" w:rsidRDefault="00925BB6">
      <w:r>
        <w:t xml:space="preserve">Note: Neutral outcomes, such as Business Closed or Unable to Locate, are omitted from this table. </w:t>
      </w:r>
    </w:p>
    <w:p w14:paraId="2410F7A6" w14:textId="39F955F9" w:rsidR="00925BB6" w:rsidRDefault="00925BB6"/>
    <w:p w14:paraId="2D6413EA" w14:textId="5F9F7C09" w:rsidR="00925BB6" w:rsidRDefault="00925BB6">
      <w:r>
        <w:t xml:space="preserve">Some disciplinary actions, such as License Confiscated, are grouped together with Fail/Other Disciplinary Action. </w:t>
      </w:r>
    </w:p>
    <w:p w14:paraId="489976E9" w14:textId="4273AD46" w:rsidR="00925BB6" w:rsidRDefault="00925BB6"/>
    <w:tbl>
      <w:tblPr>
        <w:tblW w:w="9360" w:type="dxa"/>
        <w:tblLook w:val="04A0" w:firstRow="1" w:lastRow="0" w:firstColumn="1" w:lastColumn="0" w:noHBand="0" w:noVBand="1"/>
      </w:tblPr>
      <w:tblGrid>
        <w:gridCol w:w="2880"/>
        <w:gridCol w:w="1296"/>
        <w:gridCol w:w="1296"/>
        <w:gridCol w:w="1296"/>
        <w:gridCol w:w="1296"/>
        <w:gridCol w:w="1296"/>
      </w:tblGrid>
      <w:tr w:rsidR="00925BB6" w14:paraId="3A218122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220A" w14:textId="77777777" w:rsidR="00925BB6" w:rsidRDefault="00925BB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DA48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7B7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F30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D7C2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06B8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</w:tr>
      <w:tr w:rsidR="00925BB6" w14:paraId="600C87FB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959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Pass/ No Disciplinary Action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2690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42168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23E1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FBD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8DEB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5EAB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25270</w:t>
            </w:r>
          </w:p>
        </w:tc>
      </w:tr>
      <w:tr w:rsidR="00925BB6" w14:paraId="2DBE0F32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9B6C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Warning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6602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4A85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4023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A74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11B0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55D8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9504</w:t>
            </w:r>
          </w:p>
        </w:tc>
      </w:tr>
      <w:tr w:rsidR="00925BB6" w14:paraId="0AD52002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AED4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Violation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E7A9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26EC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EE1F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F28E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7699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FC83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8979</w:t>
            </w:r>
          </w:p>
        </w:tc>
      </w:tr>
      <w:tr w:rsidR="00925BB6" w14:paraId="6A10B418" w14:textId="77777777" w:rsidTr="00925BB6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AE37" w14:textId="77777777" w:rsidR="00925BB6" w:rsidRDefault="00925B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Fail/Other Disciplinary Action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4462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1341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9289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573B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3486" w14:textId="77777777" w:rsidR="00925BB6" w:rsidRDefault="00925B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1755</w:t>
            </w:r>
          </w:p>
        </w:tc>
      </w:tr>
    </w:tbl>
    <w:p w14:paraId="6ACB2E18" w14:textId="77777777" w:rsidR="00925BB6" w:rsidRDefault="00925BB6"/>
    <w:sectPr w:rsidR="0092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A"/>
    <w:rsid w:val="0005322A"/>
    <w:rsid w:val="001C2D15"/>
    <w:rsid w:val="002A7699"/>
    <w:rsid w:val="002B23B1"/>
    <w:rsid w:val="00585871"/>
    <w:rsid w:val="005A2869"/>
    <w:rsid w:val="006849D3"/>
    <w:rsid w:val="007C0565"/>
    <w:rsid w:val="007F04BF"/>
    <w:rsid w:val="00925BB6"/>
    <w:rsid w:val="00967BD4"/>
    <w:rsid w:val="009F279A"/>
    <w:rsid w:val="00A15A55"/>
    <w:rsid w:val="00A95B1B"/>
    <w:rsid w:val="00BB21C0"/>
    <w:rsid w:val="00BB4885"/>
    <w:rsid w:val="00DE0D1F"/>
    <w:rsid w:val="00DF66AA"/>
    <w:rsid w:val="00F2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FD3D"/>
  <w15:chartTrackingRefBased/>
  <w15:docId w15:val="{770BE55E-020E-1D45-8BAE-6321513A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api/views/jzhd-m6uv/files/8831a57e-fa51-40cb-850f-4f6293e73979?download=true&amp;filename=DCA%20Inspections%20Data%20Dictionary.pdf" TargetMode="External"/><Relationship Id="rId4" Type="http://schemas.openxmlformats.org/officeDocument/2006/relationships/hyperlink" Target="https://data.cityofnewyork.us/Business/Inspections/jzhd-m6u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Ancheta</dc:creator>
  <cp:keywords/>
  <dc:description/>
  <cp:lastModifiedBy>Andrew Ancheta</cp:lastModifiedBy>
  <cp:revision>3</cp:revision>
  <dcterms:created xsi:type="dcterms:W3CDTF">2022-11-15T22:52:00Z</dcterms:created>
  <dcterms:modified xsi:type="dcterms:W3CDTF">2022-11-15T23:57:00Z</dcterms:modified>
</cp:coreProperties>
</file>