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Pre-lab CKD Early Detection using Random Forest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.streamlit/config.toml         App theme (colors and font)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(deployed URL in the README, 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>For many patients, use Upload a CSV. If the clinic can only test some people, enter Tests available first: only that many patients are referred, highest scores first, and every row gets a Priority (1 = highest score).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ListBullet"/>
      </w:pPr>
      <w:r>
        <w:t>On F2 the model is tied with a simple risk-factor rule (test difference 0.003, 95% CI -0.017 to 0.024). Its advantage is ranking when tests are limited, and that is a post-hoc finding (notebook 03, section 11).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813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813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5171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7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5730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7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 with 2 tests available: the two highest scores are referred, row 5 is skipped with the reason.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table, including each row's priority.</w:t>
      </w:r>
    </w:p>
    <w:p>
      <w:r>
        <w:drawing>
          <wp:inline xmlns:a="http://schemas.openxmlformats.org/drawingml/2006/main" xmlns:pic="http://schemas.openxmlformats.org/drawingml/2006/picture">
            <wp:extent cx="3291840" cy="4634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634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