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Diagnostic Feature Leakage Behind Near-Perfect CKD Prediction: A Feature-Tier Ablation with a Pre-Laboratory Screening Check</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Many machine learning studies report close to 100% accuracy for predicting chronic kidney disease (CKD) on the UCI CKD dataset. I asked where that accuracy comes from. Before modeling, I sorted the 24 UCI features into pre-registered tiers by when they become known: features that define CKD (such as serum creatinine and urine albumin), features caused by CKD (such as low hemoglobin), and features available before any laboratory test. Logistic Regression, Random Forest and Gradient Boosting reached about 99% accuracy with all features, and single diagnostic features almost separated the classes on their own (hemoglobin ROC-AUC 0.98). Removing the tiers step by step showed that the accuracy depends on diagnostic features: with pre-laboratory features only, accuracy fell to 0.69 to 0.76 and F2 was no better than referring everyone, while the all-feature model still scored 98.8% on unseen data, which points to leakage rather than overfitting. As a practical check, I trained the same three algorithms on 13 pre-laboratory features for 7,363 US adults from NHANES 2017-March 2020 (16.5% with CKD), with F2 as the primary metric. The models tied (cross-validated F2 0.578 to 0.580). Random Forest, selected by a pre-registered rule, referred 86% of the test participants with CKD for testing (F2 0.586), close to a simple risk-factor rule (F2 0.583), and ranked patients better when testing capacity was limited. Near-perfect CKD prediction reflects diagnostic leakage; pre-laboratory data supports screening, but only modestly.</w:t>
      </w:r>
    </w:p>
    <w:p>
      <w:pPr>
        <w:jc w:val="both"/>
      </w:pPr>
      <w:r>
        <w:rPr>
          <w:b/>
          <w:i/>
          <w:sz w:val="18"/>
        </w:rPr>
        <w:t xml:space="preserve">Index Terms - </w:t>
      </w:r>
      <w:r>
        <w:rPr>
          <w:b/>
          <w:sz w:val="18"/>
        </w:rPr>
        <w:t>chronic kidney disease, data leakage, feature ablation, screening, machine learning</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may be largely re-deriving the diagnosis. This is a form of data leakage, in which information about the outcome enters the inputs. Kapoor and Narayanan found leakage in hundreds of published machine learning studies across 17 fields, where it produced overly optimistic results [5]. Before starting this project, I ran the UCI dataset through a free no-code browser tool that trains a neural network, and it reached about 99% accuracy in under a minute. That experience, which is not part of the model comparison in this paper, led to the main question of this study.</w:t>
      </w:r>
    </w:p>
    <w:p>
      <w:pPr>
        <w:ind w:firstLine="216"/>
        <w:jc w:val="both"/>
      </w:pPr>
      <w:r>
        <w:t>Pre-laboratory risk scores already exist. SCORED, developed on NHANES data with logistic regression, uses age, sex, hypertension, diabetes, cardiovascular disease, anemia and proteinuria [6]. Anemia and proteinuria still require a test, however. This study asks two questions. The main question is: (1) How much of the accuracy reported on the UCI dataset comes from features that are part of the diagnosis itself? The secondary, practical question is: (2) Once those features are removed, can a model that uses only information available before any laboratory test flag adults for kidney testing better than a simple rule? The scope is limited to adults aged 20 and over who have never been told they have kidney disease, and to traditional machine learning algorithms.</w:t>
      </w:r>
    </w:p>
    <w:p>
      <w:pPr>
        <w:ind w:firstLine="216"/>
        <w:jc w:val="both"/>
      </w:pPr>
      <w:r>
        <w:t>The contributions are: (1) a pre-registered framework that sorts features by when they become available; (2) a feature-tier ablation showing that near-perfect accuracy on the UCI dataset depends on diagnostic features; (3) a check on NHANES of what pre-laboratory features can do, using the same three algorithms and an F2 metric that reflects the cost of a missed case; and (4) an open screening application and code.</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[7],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[8],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[9]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[10] and Histogram Gradient Boosting [11],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 After peer review, I added post-hoc analyses on the test set: a comparison at the same number of referrals, the cases found at each testing capacity against a points rule (the number of the four risk factors a person has), bootstrap 95% confidence intervals with 2,000 resamples, and recall by age. They are reported separately and did not change the selected model.</w:t>
      </w:r>
    </w:p>
    <w:p>
      <w:pPr>
        <w:spacing w:before="80"/>
      </w:pPr>
      <w:r>
        <w:rPr>
          <w:i/>
        </w:rPr>
        <w:t>G. Application</w:t>
      </w:r>
    </w:p>
    <w:p>
      <w:pPr>
        <w:ind w:firstLine="216"/>
        <w:jc w:val="both"/>
      </w:pPr>
      <w:r>
        <w:t>The selected pipeline, including preprocessing and the tuned threshold, was saved with joblib and loaded by a Streamlit [12] application. The deployed application is available online [13]. The application accepts one patient through a validated form or several through a CSV upload, and it rejects missing, invalid or out-of-range inputs with a readable message. For a CSV upload, the user can also enter the number of available tests, and only that many patients are referred, highest scores first. It was tested with automated tests covering valid, invalid and boundary inputs.</w:t>
      </w:r>
    </w:p>
    <w:p>
      <w:pPr>
        <w:spacing w:before="160"/>
        <w:jc w:val="center"/>
      </w:pPr>
      <w:r>
        <w:rPr>
          <w:sz w:val="20"/>
        </w:rPr>
        <w:t>III. RESULTS</w:t>
      </w:r>
    </w:p>
    <w:p>
      <w:pPr>
        <w:spacing w:before="80"/>
      </w:pPr>
      <w:r>
        <w:rPr>
          <w:i/>
        </w:rPr>
        <w:t>A. UCI feature-tier ablation</w:t>
      </w:r>
    </w:p>
    <w:p>
      <w:pPr>
        <w:ind w:firstLine="216"/>
        <w:jc w:val="both"/>
      </w:pPr>
      <w:r>
        <w:t>Table II and Fig. 1 show the ablation. With all 24 features, every model reached about 99% cross-validated accuracy and a ROC-AUC of 1.00, reproducing the literature. Single diagnostic features almost separated the classes on their own: hemoglobin had a ROC-AUC of 0.98, packed cell volume 0.96 and serum creatinine 0.92, against 0.79 for the best Tier 3 feature (hypertension). Removing Tier 1 therefore changed almost nothing, because Tier 2 features carried the same signal.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 Because the all-feature model performed as well on unseen data as in cross-validation, the high accuracy is not overfitting; it comes from inputs that contain the diagnosis.</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keepNext/>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1.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B. NHANES exploratory data analysis</w:t>
      </w:r>
    </w:p>
    <w:p>
      <w:pPr>
        <w:ind w:firstLine="216"/>
        <w:jc w:val="both"/>
      </w:pPr>
      <w:r>
        <w:t>Of the 7,363 adults, 1,217 (16.5%) had CKD: 766 by albuminuria only, 302 by low eGFR only and 149 by both. So most cases were early disease found in the urine. CKD rose from 7% in adults in their 20s to 38% at 70 and over (Fig. 2).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3 shows that part of the age effect comes from the eGFR equation itself: a man with creatinine 1.3 mg/dL is labeled CKD from about age 67.</w:t>
      </w:r>
    </w:p>
    <w:p>
      <w:pPr>
        <w:keepNext/>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2. </w:t>
      </w:r>
      <w:r>
        <w:rPr>
          <w:sz w:val="16"/>
        </w:rPr>
        <w:t>Class balance in the NHANES training set (left) and CKD prevalence by age group (right). Dashed line: overall prevalence.</w:t>
      </w:r>
    </w:p>
    <w:p>
      <w:pPr>
        <w:keepNext/>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3. </w:t>
      </w:r>
      <w:r>
        <w:rPr>
          <w:sz w:val="16"/>
        </w:rPr>
        <w:t>eGFR against age in the training set. Curves show eGFR from the CKD-EPI 2021 equation for a man with fixed creatinine; the same creatinine crosses the CKD threshold at an older age.</w:t>
      </w:r>
    </w:p>
    <w:p>
      <w:pPr>
        <w:spacing w:before="80"/>
      </w:pPr>
      <w:r>
        <w:rPr>
          <w:i/>
        </w:rPr>
        <w:t>C. NHANES model comparison</w:t>
      </w:r>
    </w:p>
    <w:p>
      <w:pPr>
        <w:ind w:firstLine="216"/>
        <w:jc w:val="both"/>
      </w:pPr>
      <w:r>
        <w:t>Table III and Fig. 4 show the cross-validation results; accuracy and per-class precision, recall and F1 for all three models are in Table IV (Appendix C).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keepNext/>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referred 210 of the 243 participants with CKD for testing, and 820 participants in total, 610 of whom did not have CKD (Fig. 6). The risk-factor rule reached F2 0.583 on the same people. In the 175 Non-Hispanic Asian test participants (26 cases), recall was 0.808 and ROC-AUC 0.795.</w:t>
      </w:r>
    </w:p>
    <w:p>
      <w:pPr>
        <w:keepNext/>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keepNext/>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Post-hoc analysis: testing capacity</w:t>
      </w:r>
    </w:p>
    <w:p>
      <w:pPr>
        <w:ind w:firstLine="216"/>
        <w:jc w:val="both"/>
      </w:pPr>
      <w:r>
        <w:t>After the final test, a peer reviewer asked whether the model adds value over the risk-factor rule. I added post-hoc analyses that do not change the model or its threshold. When the model was given the same number of referrals as the rule (804), the two found almost the same cases (208 against 207 of 243). Fig. 8 shows the cases found at every testing capacity when people are tested in order of score. With 300 tests the model found 122 cases, a points rule counting the four risk factors 107, and the yes/no rule in random order 77. Bootstrap 95% confidence intervals put the model's gain over the points rule at 15.2 cases (3.9 to 25.3) with 300 tests and 13.0 (2.4 to 22.6) with 500, but not clearly above zero with 150 (3.6, -5.9 to 13.1). On F2 the model and the yes/no rule were tied (difference 0.003, 95% CI -0.017 to 0.024). Recall among test participants aged 20 to 49 was 0.47 (51 cases), against 0.97 from age 50.</w:t>
      </w:r>
    </w:p>
    <w:p>
      <w:pPr>
        <w:keepNext/>
        <w:jc w:val="center"/>
      </w:pPr>
      <w:r>
        <w:drawing>
          <wp:inline xmlns:a="http://schemas.openxmlformats.org/drawingml/2006/main" xmlns:pic="http://schemas.openxmlformats.org/drawingml/2006/picture">
            <wp:extent cx="3063240" cy="1821506"/>
            <wp:docPr id="14" name="Picture 14"/>
            <wp:cNvGraphicFramePr>
              <a:graphicFrameLocks noChangeAspect="1"/>
            </wp:cNvGraphicFramePr>
            <a:graphic>
              <a:graphicData uri="http://schemas.openxmlformats.org/drawingml/2006/picture">
                <pic:pic>
                  <pic:nvPicPr>
                    <pic:cNvPr id="0" name="nhanes_13_capacity.png"/>
                    <pic:cNvPicPr/>
                  </pic:nvPicPr>
                  <pic:blipFill>
                    <a:blip r:embed="rId22"/>
                    <a:stretch>
                      <a:fillRect/>
                    </a:stretch>
                  </pic:blipFill>
                  <pic:spPr>
                    <a:xfrm>
                      <a:off x="0" y="0"/>
                      <a:ext cx="3063240" cy="1821506"/>
                    </a:xfrm>
                    <a:prstGeom prst="rect"/>
                  </pic:spPr>
                </pic:pic>
              </a:graphicData>
            </a:graphic>
          </wp:inline>
        </w:drawing>
      </w:r>
    </w:p>
    <w:p>
      <w:pPr>
        <w:jc w:val="both"/>
      </w:pPr>
      <w:r>
        <w:rPr>
          <w:sz w:val="16"/>
        </w:rPr>
        <w:t xml:space="preserve">Fig. 8. </w:t>
      </w:r>
      <w:r>
        <w:rPr>
          <w:sz w:val="16"/>
        </w:rPr>
        <w:t>Post-hoc: CKD cases found on the test set when people are tested in order of score, for every testing capacity, compared with a points rule and with the yes/no rule in random order.</w:t>
      </w:r>
    </w:p>
    <w:p>
      <w:pPr>
        <w:spacing w:before="80"/>
      </w:pPr>
      <w:r>
        <w:rPr>
          <w:i/>
        </w:rPr>
        <w:t>G. Application</w:t>
      </w:r>
    </w:p>
    <w:p>
      <w:pPr>
        <w:ind w:firstLine="216"/>
        <w:jc w:val="both"/>
      </w:pPr>
      <w:r>
        <w:t>The deployed application loads the saved pipeline and model card. Sample inputs and outputs, and screenshots of the application,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main finding is that near-perfect CKD prediction on the UCI dataset depends on diagnostic leakage. The accuracy comes from Tier 1 and Tier 2 features, which are measured after a patient is already suspected of kidney disease, and single features such as hemoglobin almost reproduce the label on their own. A model built on them re-derives a diagnosis that has already been made, so its accuracy says little about its value for finding undiagnosed patients. This matches the wider pattern of leakage in machine learning research [5]. For future CKD prediction studies, I recommend reporting when each feature becomes available and running a tier ablation like this one before claiming high accuracy.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I kept Random Forest because changing the choice after seeing the results would break the pre-registration, and because it ranked patients slightly better (cross-validated ROC-AUC 0.770 against 0.758, with the best PR-AUC and Brier score), which is where its value turned out to be. The model did not beat the risk-factor rule on F2: the test-set difference was 0.003 (95% CI -0.017 to 0.024). Its practical advantage is ranking. When both refer 804 people they find almost the same cases, but when a health unit can test only 300 or 500 of 1,473 people, the model finds 15.2 and 13.0 more cases than a points rule. The tenth of training patients with the highest scores had CKD 50% of the time, against 3.7% in the lowest tenth. This gain is modest, post-hoc and limited to that range of capacity, so I present the model as a ranking aid, not a better classifier.</w:t>
      </w:r>
    </w:p>
    <w:p>
      <w:pPr>
        <w:ind w:firstLine="216"/>
        <w:jc w:val="both"/>
      </w:pPr>
      <w:r>
        <w:t>On the other selection criteria the models were also close. Grid search with threshold tuning took 46 s for Logistic Regression, 135 s for Random Forest and 165 s for Gradient Boosting on my computer, and each model scores a patient instantly, so speed did not separate them. Logistic Regression is the easiest to interpret, because each coefficient shows the direction and size of a feature's effect. Random Forest needs permutation importance to be explained (Fig. 7), and it gave a clinically sensible order: age, then diabetes and systolic blood pressure. For practical use, the saved Random Forest pipeline is 5.4 MB and runs in the Streamlit app without delay. I accept the small loss in interpretability for the slightly better ranking.</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refer 86% of the people with CKD for testing.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The near-perfect accuracy reported for CKD prediction on the UCI dataset comes from diagnostic leakage. In a pre-registered feature-tier ablation, the same three algorithms reached about 99% accuracy only while features that define or follow from the diagnosis were included; with pre-laboratory features alone they were no better than referring everyone. As a practical check on NHANES, a Random Forest using 13 features that need no laboratory referred 86% of the test participants with CKD for testing, with ROC-AUC 0.77, and was deployed as a working Streamlit application. It performs about as well as a simple risk-factor rule, with a modest advantage in ranking patients when testing capacity is limited.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 Before any local use, I set these stop rules for a validation study in a Philippine health unit: if the model does not find more cases than the points rule at the unit's real testing capacity, use the simpler points rule instead; if recall at the 0.32 threshold is below 0.75, stop and recalibrate or retrain; and if the top tenth of scores does not have at least twice the local CKD prevalence, the ranking has not transferred and the model should not be used. Adults under 50 are a known gap (test-set recall 0.47), so for them the model should not be used alone, and a urine dipstick for anyone with a risk factor should be tested instead.</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[5]  S. Kapoor and A. Narayanan, "Leakage and the reproducibility crisis in machine-learning-based science," Patterns, vol. 4, no. 9, p. 100804, 2023, doi: 10.1016/j.patter.2023.100804.</w:t>
      </w:r>
    </w:p>
    <w:p>
      <w:pPr>
        <w:ind w:left="360" w:hanging="360"/>
        <w:jc w:val="both"/>
      </w:pPr>
      <w:r>
        <w:rPr>
          <w:sz w:val="16"/>
        </w:rPr>
        <w:t xml:space="preserve">[6]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[7]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[8]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[9]  F. Pedregosa et al., "Scikit-learn: Machine learning in Python," </w:t>
      </w:r>
      <w:r>
        <w:rPr>
          <w:i/>
          <w:sz w:val="16"/>
        </w:rPr>
        <w:t>J. Mach. Learn. Res.</w:t>
      </w:r>
      <w:r>
        <w:rPr>
          <w:sz w:val="16"/>
        </w:rPr>
        <w:t>, vol. 12, pp. 2825-2830, 2011.</w:t>
      </w:r>
    </w:p>
    <w:p>
      <w:pPr>
        <w:ind w:left="360" w:hanging="360"/>
        <w:jc w:val="both"/>
      </w:pPr>
      <w:r>
        <w:rPr>
          <w:sz w:val="16"/>
        </w:rPr>
        <w:t xml:space="preserve">[10]  L. Breiman, "Random forests," </w:t>
      </w:r>
      <w:r>
        <w:rPr>
          <w:i/>
          <w:sz w:val="16"/>
        </w:rPr>
        <w:t>Mach. Learn.</w:t>
      </w:r>
      <w:r>
        <w:rPr>
          <w:sz w:val="16"/>
        </w:rPr>
        <w:t>, vol. 45, no. 1, pp. 5-32, 2001.</w:t>
      </w:r>
    </w:p>
    <w:p>
      <w:pPr>
        <w:ind w:left="360" w:hanging="360"/>
        <w:jc w:val="both"/>
      </w:pPr>
      <w:r>
        <w:rPr>
          <w:sz w:val="16"/>
        </w:rPr>
        <w:t xml:space="preserve">[11]  J. H. Friedman, "Greedy function approximation: A gradient boosting machine," </w:t>
      </w:r>
      <w:r>
        <w:rPr>
          <w:i/>
          <w:sz w:val="16"/>
        </w:rPr>
        <w:t>Ann. Statist.</w:t>
      </w:r>
      <w:r>
        <w:rPr>
          <w:sz w:val="16"/>
        </w:rPr>
        <w:t>, vol. 29, no. 5, pp. 1189-1232, 2001.</w:t>
      </w:r>
    </w:p>
    <w:p>
      <w:pPr>
        <w:ind w:left="360" w:hanging="360"/>
        <w:jc w:val="both"/>
      </w:pPr>
      <w:r>
        <w:rPr>
          <w:sz w:val="16"/>
        </w:rPr>
        <w:t>[12]  Streamlit Inc., "Streamlit." [Online]. Available: https://streamlit.io</w:t>
      </w:r>
    </w:p>
    <w:p>
      <w:pPr>
        <w:ind w:left="360" w:hanging="360"/>
        <w:jc w:val="both"/>
      </w:pPr>
      <w:r>
        <w:rPr>
          <w:sz w:val="16"/>
        </w:rPr>
        <w:t>[13]  A. Garcia, "Pre-lab CKD risk screening," web application, 2026. [Online]. Available: https://intro-ml-final-k5xt73im3xwcggoc8x3mws.streamlit.app/</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keepNext/>
      </w:pPr>
      <w:r>
        <w:drawing>
          <wp:inline xmlns:a="http://schemas.openxmlformats.org/drawingml/2006/main" xmlns:pic="http://schemas.openxmlformats.org/drawingml/2006/picture">
            <wp:extent cx="3840480" cy="6250994"/>
            <wp:docPr id="11" name="Picture 11"/>
            <wp:cNvGraphicFramePr>
              <a:graphicFrameLocks noChangeAspect="1"/>
            </wp:cNvGraphicFramePr>
            <a:graphic>
              <a:graphicData uri="http://schemas.openxmlformats.org/drawingml/2006/picture">
                <pic:pic>
                  <pic:nvPicPr>
                    <pic:cNvPr id="0" name="crop_result.png"/>
                    <pic:cNvPicPr/>
                  </pic:nvPicPr>
                  <pic:blipFill>
                    <a:blip r:embed="rId19"/>
                    <a:stretch>
                      <a:fillRect/>
                    </a:stretch>
                  </pic:blipFill>
                  <pic:spPr>
                    <a:xfrm>
                      <a:off x="0" y="0"/>
                      <a:ext cx="3840480" cy="6250994"/>
                    </a:xfrm>
                    <a:prstGeom prst="rect"/>
                  </pic:spPr>
                </pic:pic>
              </a:graphicData>
            </a:graphic>
          </wp:inline>
        </w:drawing>
      </w:r>
    </w:p>
    <w:p>
      <w:pPr/>
      <w:r>
        <w:t>Screenshot of the application for the first sample patient: the form, the referral recommendation, the screening score against the threshold, and the share of similar training patients with CKD.</w:t>
      </w:r>
    </w:p>
    <w:p>
      <w:pPr>
        <w:keepNext/>
      </w:pPr>
      <w:r>
        <w:drawing>
          <wp:inline xmlns:a="http://schemas.openxmlformats.org/drawingml/2006/main" xmlns:pic="http://schemas.openxmlformats.org/drawingml/2006/picture">
            <wp:extent cx="5029200" cy="925316"/>
            <wp:docPr id="12" name="Picture 12"/>
            <wp:cNvGraphicFramePr>
              <a:graphicFrameLocks noChangeAspect="1"/>
            </wp:cNvGraphicFramePr>
            <a:graphic>
              <a:graphicData uri="http://schemas.openxmlformats.org/drawingml/2006/picture">
                <pic:pic>
                  <pic:nvPicPr>
                    <pic:cNvPr id="0" name="crop_error.png"/>
                    <pic:cNvPicPr/>
                  </pic:nvPicPr>
                  <pic:blipFill>
                    <a:blip r:embed="rId20"/>
                    <a:stretch>
                      <a:fillRect/>
                    </a:stretch>
                  </pic:blipFill>
                  <pic:spPr>
                    <a:xfrm>
                      <a:off x="0" y="0"/>
                      <a:ext cx="5029200" cy="925316"/>
                    </a:xfrm>
                    <a:prstGeom prst="rect"/>
                  </pic:spPr>
                </pic:pic>
              </a:graphicData>
            </a:graphic>
          </wp:inline>
        </w:drawing>
      </w:r>
    </w:p>
    <w:p>
      <w:pPr/>
      <w:r>
        <w:t>The fifth sample patient entered in the form. The inputs are rejected with a readable message instead of a prediction.</w:t>
      </w:r>
    </w:p>
    <w:p>
      <w:pPr>
        <w:keepNext/>
      </w:pPr>
      <w:r>
        <w:drawing>
          <wp:inline xmlns:a="http://schemas.openxmlformats.org/drawingml/2006/main" xmlns:pic="http://schemas.openxmlformats.org/drawingml/2006/picture">
            <wp:extent cx="5029200" cy="1521618"/>
            <wp:docPr id="13" name="Picture 13"/>
            <wp:cNvGraphicFramePr>
              <a:graphicFrameLocks noChangeAspect="1"/>
            </wp:cNvGraphicFramePr>
            <a:graphic>
              <a:graphicData uri="http://schemas.openxmlformats.org/drawingml/2006/picture">
                <pic:pic>
                  <pic:nvPicPr>
                    <pic:cNvPr id="0" name="app_04_csv_results_columns.png"/>
                    <pic:cNvPicPr/>
                  </pic:nvPicPr>
                  <pic:blipFill>
                    <a:blip r:embed="rId21"/>
                    <a:stretch>
                      <a:fillRect/>
                    </a:stretch>
                  </pic:blipFill>
                  <pic:spPr>
                    <a:xfrm>
                      <a:off x="0" y="0"/>
                      <a:ext cx="5029200" cy="1521618"/>
                    </a:xfrm>
                    <a:prstGeom prst="rect"/>
                  </pic:spPr>
                </pic:pic>
              </a:graphicData>
            </a:graphic>
          </wp:inline>
        </w:drawing>
      </w:r>
    </w:p>
    <w:p>
      <w:pPr/>
      <w:r>
        <w:t>Result columns after uploading the five sample patients as a CSV file with 2 tests available. The two highest scores are referred, the other two valid rows are not, each row has a priority, and row 5 is skipped with the same message.</w:t>
      </w:r>
    </w:p>
    <w:p>
      <w:pPr>
        <w:pStyle w:val="Heading2"/>
      </w:pPr>
      <w:r>
        <w:t>Appendix C. Additional figures and tables</w:t>
      </w:r>
    </w:p>
    <w:p>
      <w:pPr>
        <w:keepNext/>
      </w:pPr>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pPr>
        <w:keepNext/>
      </w:pPr>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pPr>
        <w:keepNext/>
      </w:pPr>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keepNext/>
        <w:jc w:val="center"/>
      </w:pPr>
      <w:r>
        <w:rPr>
          <w:sz w:val="16"/>
        </w:rPr>
        <w:t>TABLE IV</w:t>
        <w:br/>
        <w:t>ACCURACY AND PER-CLASS METRICS FOR ALL THREE MODELS</w:t>
      </w:r>
    </w:p>
    <w:tbl>
      <w:tblPr>
        <w:tblStyle w:val="TableGrid"/>
        <w:tblW w:type="auto" w:w="0"/>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pPr>
              <w:jc w:val="left"/>
            </w:pPr>
            <w:r>
              <w:rPr>
                <w:b/>
                <w:sz w:val="16"/>
              </w:rPr>
              <w:t>Model</w:t>
            </w:r>
          </w:p>
        </w:tc>
        <w:tc>
          <w:tcPr>
            <w:tcW w:type="dxa" w:w="1305"/>
          </w:tcPr>
          <w:p>
            <w:pPr>
              <w:jc w:val="center"/>
            </w:pPr>
            <w:r>
              <w:rPr>
                <w:b/>
                <w:sz w:val="16"/>
              </w:rPr>
              <w:t>Accuracy</w:t>
            </w:r>
          </w:p>
        </w:tc>
        <w:tc>
          <w:tcPr>
            <w:tcW w:type="dxa" w:w="1305"/>
          </w:tcPr>
          <w:p>
            <w:pPr>
              <w:jc w:val="center"/>
            </w:pPr>
            <w:r>
              <w:rPr>
                <w:b/>
                <w:sz w:val="16"/>
              </w:rPr>
              <w:t>CKD precision</w:t>
            </w:r>
          </w:p>
        </w:tc>
        <w:tc>
          <w:tcPr>
            <w:tcW w:type="dxa" w:w="1305"/>
          </w:tcPr>
          <w:p>
            <w:pPr>
              <w:jc w:val="center"/>
            </w:pPr>
            <w:r>
              <w:rPr>
                <w:b/>
                <w:sz w:val="16"/>
              </w:rPr>
              <w:t>CKD recall</w:t>
            </w:r>
          </w:p>
        </w:tc>
        <w:tc>
          <w:tcPr>
            <w:tcW w:type="dxa" w:w="1305"/>
          </w:tcPr>
          <w:p>
            <w:pPr>
              <w:jc w:val="center"/>
            </w:pPr>
            <w:r>
              <w:rPr>
                <w:b/>
                <w:sz w:val="16"/>
              </w:rPr>
              <w:t>CKD F1</w:t>
            </w:r>
          </w:p>
        </w:tc>
        <w:tc>
          <w:tcPr>
            <w:tcW w:type="dxa" w:w="1305"/>
          </w:tcPr>
          <w:p>
            <w:pPr>
              <w:jc w:val="center"/>
            </w:pPr>
            <w:r>
              <w:rPr>
                <w:b/>
                <w:sz w:val="16"/>
              </w:rPr>
              <w:t>No-CKD precision</w:t>
            </w:r>
          </w:p>
        </w:tc>
        <w:tc>
          <w:tcPr>
            <w:tcW w:type="dxa" w:w="1305"/>
          </w:tcPr>
          <w:p>
            <w:pPr>
              <w:jc w:val="center"/>
            </w:pPr>
            <w:r>
              <w:rPr>
                <w:b/>
                <w:sz w:val="16"/>
              </w:rPr>
              <w:t>No-CKD recall</w:t>
            </w:r>
          </w:p>
        </w:tc>
        <w:tc>
          <w:tcPr>
            <w:tcW w:type="dxa" w:w="1305"/>
          </w:tcPr>
          <w:p>
            <w:pPr>
              <w:jc w:val="center"/>
            </w:pPr>
            <w:r>
              <w:rPr>
                <w:b/>
                <w:sz w:val="16"/>
              </w:rPr>
              <w:t>No-CKD F1</w:t>
            </w:r>
          </w:p>
        </w:tc>
      </w:tr>
      <w:tr>
        <w:tc>
          <w:tcPr>
            <w:tcW w:type="dxa" w:w="1305"/>
          </w:tcPr>
          <w:p>
            <w:pPr>
              <w:jc w:val="left"/>
            </w:pPr>
            <w:r>
              <w:rPr>
                <w:b w:val="0"/>
                <w:sz w:val="16"/>
              </w:rPr>
              <w:t>Logistic Regression (CV)</w:t>
            </w:r>
          </w:p>
        </w:tc>
        <w:tc>
          <w:tcPr>
            <w:tcW w:type="dxa" w:w="1305"/>
          </w:tcPr>
          <w:p>
            <w:pPr>
              <w:jc w:val="center"/>
            </w:pPr>
            <w:r>
              <w:rPr>
                <w:b w:val="0"/>
                <w:sz w:val="16"/>
              </w:rPr>
              <w:t>0.624</w:t>
            </w:r>
          </w:p>
        </w:tc>
        <w:tc>
          <w:tcPr>
            <w:tcW w:type="dxa" w:w="1305"/>
          </w:tcPr>
          <w:p>
            <w:pPr>
              <w:jc w:val="center"/>
            </w:pPr>
            <w:r>
              <w:rPr>
                <w:b w:val="0"/>
                <w:sz w:val="16"/>
              </w:rPr>
              <w:t>0.277</w:t>
            </w:r>
          </w:p>
        </w:tc>
        <w:tc>
          <w:tcPr>
            <w:tcW w:type="dxa" w:w="1305"/>
          </w:tcPr>
          <w:p>
            <w:pPr>
              <w:jc w:val="center"/>
            </w:pPr>
            <w:r>
              <w:rPr>
                <w:b w:val="0"/>
                <w:sz w:val="16"/>
              </w:rPr>
              <w:t>0.793</w:t>
            </w:r>
          </w:p>
        </w:tc>
        <w:tc>
          <w:tcPr>
            <w:tcW w:type="dxa" w:w="1305"/>
          </w:tcPr>
          <w:p>
            <w:pPr>
              <w:jc w:val="center"/>
            </w:pPr>
            <w:r>
              <w:rPr>
                <w:b w:val="0"/>
                <w:sz w:val="16"/>
              </w:rPr>
              <w:t>0.411</w:t>
            </w:r>
          </w:p>
        </w:tc>
        <w:tc>
          <w:tcPr>
            <w:tcW w:type="dxa" w:w="1305"/>
          </w:tcPr>
          <w:p>
            <w:pPr>
              <w:jc w:val="center"/>
            </w:pPr>
            <w:r>
              <w:rPr>
                <w:b w:val="0"/>
                <w:sz w:val="16"/>
              </w:rPr>
              <w:t>0.935</w:t>
            </w:r>
          </w:p>
        </w:tc>
        <w:tc>
          <w:tcPr>
            <w:tcW w:type="dxa" w:w="1305"/>
          </w:tcPr>
          <w:p>
            <w:pPr>
              <w:jc w:val="center"/>
            </w:pPr>
            <w:r>
              <w:rPr>
                <w:b w:val="0"/>
                <w:sz w:val="16"/>
              </w:rPr>
              <w:t>0.591</w:t>
            </w:r>
          </w:p>
        </w:tc>
        <w:tc>
          <w:tcPr>
            <w:tcW w:type="dxa" w:w="1305"/>
          </w:tcPr>
          <w:p>
            <w:pPr>
              <w:jc w:val="center"/>
            </w:pPr>
            <w:r>
              <w:rPr>
                <w:b w:val="0"/>
                <w:sz w:val="16"/>
              </w:rPr>
              <w:t>0.724</w:t>
            </w:r>
          </w:p>
        </w:tc>
      </w:tr>
      <w:tr>
        <w:tc>
          <w:tcPr>
            <w:tcW w:type="dxa" w:w="1305"/>
          </w:tcPr>
          <w:p>
            <w:pPr>
              <w:jc w:val="left"/>
            </w:pPr>
            <w:r>
              <w:rPr>
                <w:b w:val="0"/>
                <w:sz w:val="16"/>
              </w:rPr>
              <w:t>Random Forest (CV)</w:t>
            </w:r>
          </w:p>
        </w:tc>
        <w:tc>
          <w:tcPr>
            <w:tcW w:type="dxa" w:w="1305"/>
          </w:tcPr>
          <w:p>
            <w:pPr>
              <w:jc w:val="center"/>
            </w:pPr>
            <w:r>
              <w:rPr>
                <w:b w:val="0"/>
                <w:sz w:val="16"/>
              </w:rPr>
              <w:t>0.598</w:t>
            </w:r>
          </w:p>
        </w:tc>
        <w:tc>
          <w:tcPr>
            <w:tcW w:type="dxa" w:w="1305"/>
          </w:tcPr>
          <w:p>
            <w:pPr>
              <w:jc w:val="center"/>
            </w:pPr>
            <w:r>
              <w:rPr>
                <w:b w:val="0"/>
                <w:sz w:val="16"/>
              </w:rPr>
              <w:t>0.267</w:t>
            </w:r>
          </w:p>
        </w:tc>
        <w:tc>
          <w:tcPr>
            <w:tcW w:type="dxa" w:w="1305"/>
          </w:tcPr>
          <w:p>
            <w:pPr>
              <w:jc w:val="center"/>
            </w:pPr>
            <w:r>
              <w:rPr>
                <w:b w:val="0"/>
                <w:sz w:val="16"/>
              </w:rPr>
              <w:t>0.819</w:t>
            </w:r>
          </w:p>
        </w:tc>
        <w:tc>
          <w:tcPr>
            <w:tcW w:type="dxa" w:w="1305"/>
          </w:tcPr>
          <w:p>
            <w:pPr>
              <w:jc w:val="center"/>
            </w:pPr>
            <w:r>
              <w:rPr>
                <w:b w:val="0"/>
                <w:sz w:val="16"/>
              </w:rPr>
              <w:t>0.403</w:t>
            </w:r>
          </w:p>
        </w:tc>
        <w:tc>
          <w:tcPr>
            <w:tcW w:type="dxa" w:w="1305"/>
          </w:tcPr>
          <w:p>
            <w:pPr>
              <w:jc w:val="center"/>
            </w:pPr>
            <w:r>
              <w:rPr>
                <w:b w:val="0"/>
                <w:sz w:val="16"/>
              </w:rPr>
              <w:t>0.939</w:t>
            </w:r>
          </w:p>
        </w:tc>
        <w:tc>
          <w:tcPr>
            <w:tcW w:type="dxa" w:w="1305"/>
          </w:tcPr>
          <w:p>
            <w:pPr>
              <w:jc w:val="center"/>
            </w:pPr>
            <w:r>
              <w:rPr>
                <w:b w:val="0"/>
                <w:sz w:val="16"/>
              </w:rPr>
              <w:t>0.554</w:t>
            </w:r>
          </w:p>
        </w:tc>
        <w:tc>
          <w:tcPr>
            <w:tcW w:type="dxa" w:w="1305"/>
          </w:tcPr>
          <w:p>
            <w:pPr>
              <w:jc w:val="center"/>
            </w:pPr>
            <w:r>
              <w:rPr>
                <w:b w:val="0"/>
                <w:sz w:val="16"/>
              </w:rPr>
              <w:t>0.697</w:t>
            </w:r>
          </w:p>
        </w:tc>
      </w:tr>
      <w:tr>
        <w:tc>
          <w:tcPr>
            <w:tcW w:type="dxa" w:w="1305"/>
          </w:tcPr>
          <w:p>
            <w:pPr>
              <w:jc w:val="left"/>
            </w:pPr>
            <w:r>
              <w:rPr>
                <w:b w:val="0"/>
                <w:sz w:val="16"/>
              </w:rPr>
              <w:t>Gradient Boosting (CV)</w:t>
            </w:r>
          </w:p>
        </w:tc>
        <w:tc>
          <w:tcPr>
            <w:tcW w:type="dxa" w:w="1305"/>
          </w:tcPr>
          <w:p>
            <w:pPr>
              <w:jc w:val="center"/>
            </w:pPr>
            <w:r>
              <w:rPr>
                <w:b w:val="0"/>
                <w:sz w:val="16"/>
              </w:rPr>
              <w:t>0.631</w:t>
            </w:r>
          </w:p>
        </w:tc>
        <w:tc>
          <w:tcPr>
            <w:tcW w:type="dxa" w:w="1305"/>
          </w:tcPr>
          <w:p>
            <w:pPr>
              <w:jc w:val="center"/>
            </w:pPr>
            <w:r>
              <w:rPr>
                <w:b w:val="0"/>
                <w:sz w:val="16"/>
              </w:rPr>
              <w:t>0.281</w:t>
            </w:r>
          </w:p>
        </w:tc>
        <w:tc>
          <w:tcPr>
            <w:tcW w:type="dxa" w:w="1305"/>
          </w:tcPr>
          <w:p>
            <w:pPr>
              <w:jc w:val="center"/>
            </w:pPr>
            <w:r>
              <w:rPr>
                <w:b w:val="0"/>
                <w:sz w:val="16"/>
              </w:rPr>
              <w:t>0.791</w:t>
            </w:r>
          </w:p>
        </w:tc>
        <w:tc>
          <w:tcPr>
            <w:tcW w:type="dxa" w:w="1305"/>
          </w:tcPr>
          <w:p>
            <w:pPr>
              <w:jc w:val="center"/>
            </w:pPr>
            <w:r>
              <w:rPr>
                <w:b w:val="0"/>
                <w:sz w:val="16"/>
              </w:rPr>
              <w:t>0.415</w:t>
            </w:r>
          </w:p>
        </w:tc>
        <w:tc>
          <w:tcPr>
            <w:tcW w:type="dxa" w:w="1305"/>
          </w:tcPr>
          <w:p>
            <w:pPr>
              <w:jc w:val="center"/>
            </w:pPr>
            <w:r>
              <w:rPr>
                <w:b w:val="0"/>
                <w:sz w:val="16"/>
              </w:rPr>
              <w:t>0.935</w:t>
            </w:r>
          </w:p>
        </w:tc>
        <w:tc>
          <w:tcPr>
            <w:tcW w:type="dxa" w:w="1305"/>
          </w:tcPr>
          <w:p>
            <w:pPr>
              <w:jc w:val="center"/>
            </w:pPr>
            <w:r>
              <w:rPr>
                <w:b w:val="0"/>
                <w:sz w:val="16"/>
              </w:rPr>
              <w:t>0.599</w:t>
            </w:r>
          </w:p>
        </w:tc>
        <w:tc>
          <w:tcPr>
            <w:tcW w:type="dxa" w:w="1305"/>
          </w:tcPr>
          <w:p>
            <w:pPr>
              <w:jc w:val="center"/>
            </w:pPr>
            <w:r>
              <w:rPr>
                <w:b w:val="0"/>
                <w:sz w:val="16"/>
              </w:rPr>
              <w:t>0.731</w:t>
            </w:r>
          </w:p>
        </w:tc>
      </w:tr>
      <w:tr>
        <w:tc>
          <w:tcPr>
            <w:tcW w:type="dxa" w:w="1305"/>
          </w:tcPr>
          <w:p>
            <w:pPr>
              <w:jc w:val="left"/>
            </w:pPr>
            <w:r>
              <w:rPr>
                <w:b w:val="0"/>
                <w:sz w:val="16"/>
              </w:rPr>
              <w:t>Random Forest (test)</w:t>
            </w:r>
          </w:p>
        </w:tc>
        <w:tc>
          <w:tcPr>
            <w:tcW w:type="dxa" w:w="1305"/>
          </w:tcPr>
          <w:p>
            <w:pPr>
              <w:jc w:val="center"/>
            </w:pPr>
            <w:r>
              <w:rPr>
                <w:b w:val="0"/>
                <w:sz w:val="16"/>
              </w:rPr>
              <w:t>0.563</w:t>
            </w:r>
          </w:p>
        </w:tc>
        <w:tc>
          <w:tcPr>
            <w:tcW w:type="dxa" w:w="1305"/>
          </w:tcPr>
          <w:p>
            <w:pPr>
              <w:jc w:val="center"/>
            </w:pPr>
            <w:r>
              <w:rPr>
                <w:b w:val="0"/>
                <w:sz w:val="16"/>
              </w:rPr>
              <w:t>0.256</w:t>
            </w:r>
          </w:p>
        </w:tc>
        <w:tc>
          <w:tcPr>
            <w:tcW w:type="dxa" w:w="1305"/>
          </w:tcPr>
          <w:p>
            <w:pPr>
              <w:jc w:val="center"/>
            </w:pPr>
            <w:r>
              <w:rPr>
                <w:b w:val="0"/>
                <w:sz w:val="16"/>
              </w:rPr>
              <w:t>0.864</w:t>
            </w:r>
          </w:p>
        </w:tc>
        <w:tc>
          <w:tcPr>
            <w:tcW w:type="dxa" w:w="1305"/>
          </w:tcPr>
          <w:p>
            <w:pPr>
              <w:jc w:val="center"/>
            </w:pPr>
            <w:r>
              <w:rPr>
                <w:b w:val="0"/>
                <w:sz w:val="16"/>
              </w:rPr>
              <w:t>0.395</w:t>
            </w:r>
          </w:p>
        </w:tc>
        <w:tc>
          <w:tcPr>
            <w:tcW w:type="dxa" w:w="1305"/>
          </w:tcPr>
          <w:p>
            <w:pPr>
              <w:jc w:val="center"/>
            </w:pPr>
            <w:r>
              <w:rPr>
                <w:b w:val="0"/>
                <w:sz w:val="16"/>
              </w:rPr>
              <w:t>0.949</w:t>
            </w:r>
          </w:p>
        </w:tc>
        <w:tc>
          <w:tcPr>
            <w:tcW w:type="dxa" w:w="1305"/>
          </w:tcPr>
          <w:p>
            <w:pPr>
              <w:jc w:val="center"/>
            </w:pPr>
            <w:r>
              <w:rPr>
                <w:b w:val="0"/>
                <w:sz w:val="16"/>
              </w:rPr>
              <w:t>0.504</w:t>
            </w:r>
          </w:p>
        </w:tc>
        <w:tc>
          <w:tcPr>
            <w:tcW w:type="dxa" w:w="1305"/>
          </w:tcPr>
          <w:p>
            <w:pPr>
              <w:jc w:val="center"/>
            </w:pPr>
            <w:r>
              <w:rPr>
                <w:b w:val="0"/>
                <w:sz w:val="16"/>
              </w:rPr>
              <w:t>0.659</w:t>
            </w:r>
          </w:p>
        </w:tc>
      </w:tr>
    </w:tbl>
    <w:p>
      <w:r>
        <w:t>CV rows use the pooled out-of-fold predictions on the 5,890 training adults at each model's tuned threshold; the last row is the selected model on the 1,473 test adults. No-CKD recall is the specificity.</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t>Beyond 99%: Diagnostic Leakage in CKD Prediction and a Pre-lab Screening Check</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