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A14" w:val="clear"/>
            <w:tcMar>
              <w:top w:type="dxa" w:w="600"/>
              <w:left w:type="dxa" w:w="500"/>
              <w:bottom w:type="dxa" w:w="600"/>
              <w:right w:type="dxa" w:w="500"/>
            </w:tcMar>
          </w:tcPr>
          <w:p>
            <w:pPr>
              <w:spacing w:after="40" w:before="0"/>
            </w:pPr>
            <w:r>
              <w:rPr>
                <w:rFonts w:ascii="Courier New" w:cs="Courier New" w:eastAsia="Courier New" w:hAnsi="Courier New"/>
                <w:b w:val="false"/>
                <w:bCs w:val="false"/>
                <w:color w:val="FFFFFF"/>
                <w:spacing w:val="80"/>
                <w:sz w:val="48"/>
                <w:szCs w:val="48"/>
              </w:rPr>
              <w:t xml:space="preserve">| pinteq |</w:t>
            </w:r>
          </w:p>
          <w:p>
            <w:pPr>
              <w:spacing w:after="80" w:before="0"/>
            </w:pPr>
            <w:r>
              <w:rPr>
                <w:rFonts w:ascii="Georgia" w:cs="Georgia" w:eastAsia="Georgia" w:hAnsi="Georgia"/>
                <w:i/>
                <w:iCs/>
                <w:color w:val="C8A96E"/>
                <w:sz w:val="26"/>
                <w:szCs w:val="26"/>
              </w:rPr>
              <w:t xml:space="preserve">the art of information</w:t>
            </w:r>
          </w:p>
          <w:p>
            <w:pPr>
              <w:spacing w:after="0" w:before="0"/>
            </w:pPr>
            <w:r>
              <w:rPr>
                <w:rFonts w:ascii="Arial" w:cs="Arial" w:eastAsia="Arial" w:hAnsi="Arial"/>
                <w:color w:val="5a7aaa"/>
                <w:spacing w:val="60"/>
                <w:sz w:val="16"/>
                <w:szCs w:val="16"/>
              </w:rPr>
              <w:t xml:space="preserve">OPERATIONAL INTELLIGENCE &amp; WORKFLOW SYSTEMS</w:t>
            </w:r>
          </w:p>
        </w:tc>
      </w:tr>
    </w:tbl>
    <w:p>
      <w:pPr>
        <w:spacing w:after="0" w:before="200"/>
      </w:pPr>
      <w:r>
        <w:t xml:space="preserve"/>
      </w:r>
    </w:p>
    <w:p>
      <w:pPr>
        <w:spacing w:after="40" w:before="0"/>
      </w:pPr>
      <w:r>
        <w:rPr>
          <w:rFonts w:ascii="Arial" w:cs="Arial" w:eastAsia="Arial" w:hAnsi="Arial"/>
          <w:b/>
          <w:bCs/>
          <w:color w:val="0A0A14"/>
          <w:sz w:val="36"/>
          <w:szCs w:val="36"/>
        </w:rPr>
        <w:t xml:space="preserve">Business Plan</w:t>
      </w:r>
    </w:p>
    <w:p>
      <w:pPr>
        <w:spacing w:after="20" w:before="0"/>
      </w:pPr>
      <w:r>
        <w:rPr>
          <w:rFonts w:ascii="Arial" w:cs="Arial" w:eastAsia="Arial" w:hAnsi="Arial"/>
          <w:color w:val="666666"/>
          <w:sz w:val="22"/>
          <w:szCs w:val="22"/>
        </w:rPr>
        <w:t xml:space="preserve">12-Month Operating Plan · Fiscal Year 2026</w:t>
      </w:r>
    </w:p>
    <w:p>
      <w:pPr>
        <w:spacing w:after="0" w:before="0"/>
      </w:pPr>
      <w:r>
        <w:rPr>
          <w:rFonts w:ascii="Arial" w:cs="Arial" w:eastAsia="Arial" w:hAnsi="Arial"/>
          <w:i/>
          <w:iCs/>
          <w:color w:val="999999"/>
          <w:sz w:val="19"/>
          <w:szCs w:val="19"/>
        </w:rPr>
        <w:t xml:space="preserve">Prepared: May 2026 · Confidential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pPr>
              <w:spacing w:after="20" w:before="0"/>
            </w:pPr>
            <w:r>
              <w:rPr>
                <w:rFonts w:ascii="Arial" w:cs="Arial" w:eastAsia="Arial" w:hAnsi="Arial"/>
                <w:b w:val="false"/>
                <w:bCs w:val="false"/>
                <w:color w:val="777777"/>
                <w:sz w:val="17"/>
                <w:szCs w:val="17"/>
              </w:rPr>
              <w:t xml:space="preserve">Entity</w:t>
            </w:r>
          </w:p>
          <w:p>
            <w:r>
              <w:rPr>
                <w:rFonts w:ascii="Arial" w:cs="Arial" w:eastAsia="Arial" w:hAnsi="Arial"/>
                <w:b/>
                <w:bCs/>
                <w:color w:val="0A0A14"/>
                <w:sz w:val="20"/>
                <w:szCs w:val="20"/>
              </w:rPr>
              <w:t xml:space="preserve">Pinteq LLC</w:t>
            </w:r>
          </w:p>
        </w:tc>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pPr>
              <w:spacing w:after="20" w:before="0"/>
            </w:pPr>
            <w:r>
              <w:rPr>
                <w:rFonts w:ascii="Arial" w:cs="Arial" w:eastAsia="Arial" w:hAnsi="Arial"/>
                <w:b w:val="false"/>
                <w:bCs w:val="false"/>
                <w:color w:val="777777"/>
                <w:sz w:val="17"/>
                <w:szCs w:val="17"/>
              </w:rPr>
              <w:t xml:space="preserve">State</w:t>
            </w:r>
          </w:p>
          <w:p>
            <w:r>
              <w:rPr>
                <w:rFonts w:ascii="Arial" w:cs="Arial" w:eastAsia="Arial" w:hAnsi="Arial"/>
                <w:b/>
                <w:bCs/>
                <w:color w:val="0A0A14"/>
                <w:sz w:val="20"/>
                <w:szCs w:val="20"/>
              </w:rPr>
              <w:t xml:space="preserve">Michigan · Single-member LLC</w:t>
            </w:r>
          </w:p>
        </w:tc>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pPr>
              <w:spacing w:after="20" w:before="0"/>
            </w:pPr>
            <w:r>
              <w:rPr>
                <w:rFonts w:ascii="Arial" w:cs="Arial" w:eastAsia="Arial" w:hAnsi="Arial"/>
                <w:b w:val="false"/>
                <w:bCs w:val="false"/>
                <w:color w:val="777777"/>
                <w:sz w:val="17"/>
                <w:szCs w:val="17"/>
              </w:rPr>
              <w:t xml:space="preserve">EIN</w:t>
            </w:r>
          </w:p>
          <w:p>
            <w:r>
              <w:rPr>
                <w:rFonts w:ascii="Arial" w:cs="Arial" w:eastAsia="Arial" w:hAnsi="Arial"/>
                <w:b/>
                <w:bCs/>
                <w:color w:val="0A0A14"/>
                <w:sz w:val="20"/>
                <w:szCs w:val="20"/>
              </w:rPr>
              <w:t xml:space="preserve">42-2274254</w:t>
            </w:r>
          </w:p>
        </w:tc>
      </w:tr>
      <w:tr>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pPr>
              <w:spacing w:after="20" w:before="0"/>
            </w:pPr>
            <w:r>
              <w:rPr>
                <w:rFonts w:ascii="Arial" w:cs="Arial" w:eastAsia="Arial" w:hAnsi="Arial"/>
                <w:b w:val="false"/>
                <w:bCs w:val="false"/>
                <w:color w:val="777777"/>
                <w:sz w:val="17"/>
                <w:szCs w:val="17"/>
              </w:rPr>
              <w:t xml:space="preserve">Founded</w:t>
            </w:r>
          </w:p>
          <w:p>
            <w:r>
              <w:rPr>
                <w:rFonts w:ascii="Arial" w:cs="Arial" w:eastAsia="Arial" w:hAnsi="Arial"/>
                <w:b/>
                <w:bCs/>
                <w:color w:val="0A0A14"/>
                <w:sz w:val="20"/>
                <w:szCs w:val="20"/>
              </w:rPr>
              <w:t xml:space="preserve">May 2026</w:t>
            </w:r>
          </w:p>
        </w:tc>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pPr>
              <w:spacing w:after="20" w:before="0"/>
            </w:pPr>
            <w:r>
              <w:rPr>
                <w:rFonts w:ascii="Arial" w:cs="Arial" w:eastAsia="Arial" w:hAnsi="Arial"/>
                <w:b w:val="false"/>
                <w:bCs w:val="false"/>
                <w:color w:val="777777"/>
                <w:sz w:val="17"/>
                <w:szCs w:val="17"/>
              </w:rPr>
              <w:t xml:space="preserve">Domain</w:t>
            </w:r>
          </w:p>
          <w:p>
            <w:r>
              <w:rPr>
                <w:rFonts w:ascii="Arial" w:cs="Arial" w:eastAsia="Arial" w:hAnsi="Arial"/>
                <w:b/>
                <w:bCs/>
                <w:color w:val="0A0A14"/>
                <w:sz w:val="20"/>
                <w:szCs w:val="20"/>
              </w:rPr>
              <w:t xml:space="preserve">pinteq.co</w:t>
            </w:r>
          </w:p>
        </w:tc>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pPr>
              <w:spacing w:after="20" w:before="0"/>
            </w:pPr>
            <w:r>
              <w:rPr>
                <w:rFonts w:ascii="Arial" w:cs="Arial" w:eastAsia="Arial" w:hAnsi="Arial"/>
                <w:b w:val="false"/>
                <w:bCs w:val="false"/>
                <w:color w:val="777777"/>
                <w:sz w:val="17"/>
                <w:szCs w:val="17"/>
              </w:rPr>
              <w:t xml:space="preserve">Contact</w:t>
            </w:r>
          </w:p>
          <w:p>
            <w:r>
              <w:rPr>
                <w:rFonts w:ascii="Arial" w:cs="Arial" w:eastAsia="Arial" w:hAnsi="Arial"/>
                <w:b/>
                <w:bCs/>
                <w:color w:val="0A0A14"/>
                <w:sz w:val="20"/>
                <w:szCs w:val="20"/>
              </w:rPr>
              <w:t xml:space="preserve">matt@pinteq.co</w:t>
            </w:r>
          </w:p>
        </w:tc>
      </w:tr>
    </w:tbl>
    <w:p>
      <w:r>
        <w:br/>
      </w:r>
    </w:p>
    <w:p>
      <w:pPr>
        <w:spacing w:after="80" w:before="240"/>
      </w:pPr>
      <w:r>
        <w:rPr>
          <w:rFonts w:ascii="Arial" w:cs="Arial" w:eastAsia="Arial" w:hAnsi="Arial"/>
          <w:b/>
          <w:bCs/>
          <w:color w:val="2E5FA3"/>
          <w:spacing w:val="50"/>
          <w:sz w:val="22"/>
          <w:szCs w:val="22"/>
        </w:rPr>
        <w:t xml:space="preserve">01 · EXECUTIVE SUMMARY</w:t>
      </w:r>
    </w:p>
    <w:p>
      <w:pPr>
        <w:pBdr>
          <w:bottom w:val="single" w:color="2E5FA3" w:sz="4" w:space="1"/>
        </w:pBdr>
        <w:spacing w:after="100" w:before="140"/>
      </w:pPr>
    </w:p>
    <w:p>
      <w:pPr>
        <w:spacing w:after="60" w:before="40"/>
      </w:pPr>
      <w:r>
        <w:rPr>
          <w:rFonts w:ascii="Arial" w:cs="Arial" w:eastAsia="Arial" w:hAnsi="Arial"/>
          <w:i w:val="false"/>
          <w:iCs w:val="false"/>
          <w:color w:val="333333"/>
          <w:sz w:val="20"/>
          <w:szCs w:val="20"/>
        </w:rPr>
        <w:t xml:space="preserve">Pinteq LLC is a West Michigan-based operational intelligence and workflow systems practice founded in May 2026. The firm delivers three integrated services: investigative intelligence research, custom systems and software development, and analytical design and reporting. Pinteq operates at the intersection of these disciplines, producing finished deliverables — not recommendations — for clients across legal, corporate, and operational contexts.</w:t>
      </w:r>
    </w:p>
    <w:p>
      <w:pPr>
        <w:spacing w:after="0" w:before="60"/>
      </w:pPr>
      <w:r>
        <w:t xml:space="preserve"/>
      </w:r>
    </w:p>
    <w:p>
      <w:pPr>
        <w:pBdr>
          <w:left w:val="single" w:color="2E5FA3" w:sz="12" w:space="8"/>
        </w:pBdr>
        <w:shd w:fill="EEF4FD" w:val="clear"/>
        <w:spacing w:after="120" w:before="120"/>
        <w:ind w:left="200"/>
      </w:pPr>
      <w:r>
        <w:rPr>
          <w:rFonts w:ascii="Arial" w:cs="Arial" w:eastAsia="Arial" w:hAnsi="Arial"/>
          <w:i/>
          <w:iCs/>
          <w:color w:val="333333"/>
          <w:sz w:val="20"/>
          <w:szCs w:val="20"/>
        </w:rPr>
        <w:t xml:space="preserve">The art of information — Pinteq’s operating philosophy is that information gathered, structured, and delivered with precision becomes an irreplaceable operational asset. Every engagement produces something tangible and immediately usable.</w:t>
      </w:r>
    </w:p>
    <w:p>
      <w:pPr>
        <w:spacing w:after="0" w:before="60"/>
      </w:pPr>
      <w:r>
        <w:t xml:space="preserve"/>
      </w:r>
    </w:p>
    <w:p>
      <w:pPr>
        <w:spacing w:after="60" w:before="40"/>
      </w:pPr>
      <w:r>
        <w:rPr>
          <w:rFonts w:ascii="Arial" w:cs="Arial" w:eastAsia="Arial" w:hAnsi="Arial"/>
          <w:i w:val="false"/>
          <w:iCs w:val="false"/>
          <w:color w:val="333333"/>
          <w:sz w:val="20"/>
          <w:szCs w:val="20"/>
        </w:rPr>
        <w:t xml:space="preserve">The practice launches with one anchor client: a criminal defense attorney in West Michigan, engaged under a 1099 contractor agreement. This engagement provides immediate revenue, a credentialing runway toward Michigan PI licensure, and a real-world proving ground for the firm’s intelligence and systems capabilities. A parallel retainer arrangement with a prior employer provides additional income stability during the growth phase.</w:t>
      </w:r>
    </w:p>
    <w:p>
      <w:pPr>
        <w:spacing w:after="0" w:before="60"/>
      </w:pPr>
      <w:r>
        <w:t xml:space="preserve"/>
      </w:r>
    </w:p>
    <w:p>
      <w:pPr>
        <w:spacing w:after="60" w:before="160"/>
      </w:pPr>
      <w:r>
        <w:rPr>
          <w:rFonts w:ascii="Arial" w:cs="Arial" w:eastAsia="Arial" w:hAnsi="Arial"/>
          <w:b/>
          <w:bCs/>
          <w:color w:val="0A0A14"/>
          <w:sz w:val="21"/>
          <w:szCs w:val="21"/>
        </w:rPr>
        <w:t xml:space="preserve">12-Month Objectives</w:t>
      </w:r>
    </w:p>
    <w:p>
      <w:pPr>
        <w:pStyle w:val="ListParagraph"/>
        <w:numPr>
          <w:ilvl w:val="0"/>
          <w:numId w:val="2"/>
        </w:numPr>
        <w:spacing w:after="40" w:before="40"/>
      </w:pPr>
      <w:r>
        <w:rPr>
          <w:rFonts w:ascii="Arial" w:cs="Arial" w:eastAsia="Arial" w:hAnsi="Arial"/>
          <w:color w:val="333333"/>
          <w:sz w:val="20"/>
          <w:szCs w:val="20"/>
        </w:rPr>
        <w:t xml:space="preserve">Establish and bill two active retainer clients generating $4,000+ combined monthly revenue</w:t>
      </w:r>
    </w:p>
    <w:p>
      <w:pPr>
        <w:pStyle w:val="ListParagraph"/>
        <w:numPr>
          <w:ilvl w:val="0"/>
          <w:numId w:val="2"/>
        </w:numPr>
        <w:spacing w:after="40" w:before="40"/>
      </w:pPr>
      <w:r>
        <w:rPr>
          <w:rFonts w:ascii="Arial" w:cs="Arial" w:eastAsia="Arial" w:hAnsi="Arial"/>
          <w:color w:val="333333"/>
          <w:sz w:val="20"/>
          <w:szCs w:val="20"/>
        </w:rPr>
        <w:t xml:space="preserve">Complete Module 1 of the legal case intelligence platform — intake, normalization, and Smokeball integration</w:t>
      </w:r>
    </w:p>
    <w:p>
      <w:pPr>
        <w:pStyle w:val="ListParagraph"/>
        <w:numPr>
          <w:ilvl w:val="0"/>
          <w:numId w:val="2"/>
        </w:numPr>
        <w:spacing w:after="40" w:before="40"/>
      </w:pPr>
      <w:r>
        <w:rPr>
          <w:rFonts w:ascii="Arial" w:cs="Arial" w:eastAsia="Arial" w:hAnsi="Arial"/>
          <w:color w:val="333333"/>
          <w:sz w:val="20"/>
          <w:szCs w:val="20"/>
        </w:rPr>
        <w:t xml:space="preserve">Accumulate documented investigative hours toward Michigan PI license (3-year requirement)</w:t>
      </w:r>
    </w:p>
    <w:p>
      <w:pPr>
        <w:pStyle w:val="ListParagraph"/>
        <w:numPr>
          <w:ilvl w:val="0"/>
          <w:numId w:val="2"/>
        </w:numPr>
        <w:spacing w:after="40" w:before="40"/>
      </w:pPr>
      <w:r>
        <w:rPr>
          <w:rFonts w:ascii="Arial" w:cs="Arial" w:eastAsia="Arial" w:hAnsi="Arial"/>
          <w:color w:val="333333"/>
          <w:sz w:val="20"/>
          <w:szCs w:val="20"/>
        </w:rPr>
        <w:t xml:space="preserve">Obtain CompTIA Security+ certification</w:t>
      </w:r>
    </w:p>
    <w:p>
      <w:pPr>
        <w:pStyle w:val="ListParagraph"/>
        <w:numPr>
          <w:ilvl w:val="0"/>
          <w:numId w:val="2"/>
        </w:numPr>
        <w:spacing w:after="40" w:before="40"/>
      </w:pPr>
      <w:r>
        <w:rPr>
          <w:rFonts w:ascii="Arial" w:cs="Arial" w:eastAsia="Arial" w:hAnsi="Arial"/>
          <w:color w:val="333333"/>
          <w:sz w:val="20"/>
          <w:szCs w:val="20"/>
        </w:rPr>
        <w:t xml:space="preserve">Launch pinteq.co with professional web presence</w:t>
      </w:r>
    </w:p>
    <w:p>
      <w:pPr>
        <w:pStyle w:val="ListParagraph"/>
        <w:numPr>
          <w:ilvl w:val="0"/>
          <w:numId w:val="2"/>
        </w:numPr>
        <w:spacing w:after="40" w:before="40"/>
      </w:pPr>
      <w:r>
        <w:rPr>
          <w:rFonts w:ascii="Arial" w:cs="Arial" w:eastAsia="Arial" w:hAnsi="Arial"/>
          <w:color w:val="333333"/>
          <w:sz w:val="20"/>
          <w:szCs w:val="20"/>
        </w:rPr>
        <w:t xml:space="preserve">Transition from dual employment to Pinteq as primary income source</w:t>
      </w:r>
    </w:p>
    <w:p>
      <w:r>
        <w:br/>
      </w:r>
    </w:p>
    <w:p>
      <w:pPr>
        <w:spacing w:after="80" w:before="240"/>
      </w:pPr>
      <w:r>
        <w:rPr>
          <w:rFonts w:ascii="Arial" w:cs="Arial" w:eastAsia="Arial" w:hAnsi="Arial"/>
          <w:b/>
          <w:bCs/>
          <w:color w:val="2E5FA3"/>
          <w:spacing w:val="50"/>
          <w:sz w:val="22"/>
          <w:szCs w:val="22"/>
        </w:rPr>
        <w:t xml:space="preserve">02 · BUSINESS IDENTITY</w:t>
      </w:r>
    </w:p>
    <w:p>
      <w:pPr>
        <w:pBdr>
          <w:bottom w:val="single" w:color="2E5FA3" w:sz="4" w:space="1"/>
        </w:pBdr>
        <w:spacing w:after="100" w:before="140"/>
      </w:pPr>
    </w:p>
    <w:p>
      <w:pPr>
        <w:spacing w:after="60" w:before="160"/>
      </w:pPr>
      <w:r>
        <w:rPr>
          <w:rFonts w:ascii="Arial" w:cs="Arial" w:eastAsia="Arial" w:hAnsi="Arial"/>
          <w:b/>
          <w:bCs/>
          <w:color w:val="0A0A14"/>
          <w:sz w:val="21"/>
          <w:szCs w:val="21"/>
        </w:rPr>
        <w:t xml:space="preserve">Mission</w:t>
      </w:r>
    </w:p>
    <w:p>
      <w:pPr>
        <w:spacing w:after="60" w:before="40"/>
      </w:pPr>
      <w:r>
        <w:rPr>
          <w:rFonts w:ascii="Arial" w:cs="Arial" w:eastAsia="Arial" w:hAnsi="Arial"/>
          <w:i w:val="false"/>
          <w:iCs w:val="false"/>
          <w:color w:val="333333"/>
          <w:sz w:val="20"/>
          <w:szCs w:val="20"/>
        </w:rPr>
        <w:t xml:space="preserve">To form information into its most precise and usable expression — through investigative intelligence, purposeful systems, and analytical design that produces action rather than noise.</w:t>
      </w:r>
    </w:p>
    <w:p>
      <w:pPr>
        <w:spacing w:after="0" w:before="80"/>
      </w:pPr>
      <w:r>
        <w:t xml:space="preserve"/>
      </w:r>
    </w:p>
    <w:p>
      <w:pPr>
        <w:spacing w:after="60" w:before="160"/>
      </w:pPr>
      <w:r>
        <w:rPr>
          <w:rFonts w:ascii="Arial" w:cs="Arial" w:eastAsia="Arial" w:hAnsi="Arial"/>
          <w:b/>
          <w:bCs/>
          <w:color w:val="0A0A14"/>
          <w:sz w:val="21"/>
          <w:szCs w:val="21"/>
        </w:rPr>
        <w:t xml:space="preserve">Philosophy</w:t>
      </w:r>
    </w:p>
    <w:p>
      <w:pPr>
        <w:spacing w:after="60" w:before="40"/>
      </w:pPr>
      <w:r>
        <w:rPr>
          <w:rFonts w:ascii="Arial" w:cs="Arial" w:eastAsia="Arial" w:hAnsi="Arial"/>
          <w:i w:val="false"/>
          <w:iCs w:val="false"/>
          <w:color w:val="333333"/>
          <w:sz w:val="20"/>
          <w:szCs w:val="20"/>
        </w:rPr>
        <w:t xml:space="preserve">Most operations are not missing information. They are missing the right form for the information they have. Pinteq finds where an operation loses time and information to friction, identifies the highest-value gap, and delivers the one precise solution that closes it. We do not consult. We deliver.</w:t>
      </w:r>
    </w:p>
    <w:p>
      <w:pPr>
        <w:spacing w:after="0" w:before="80"/>
      </w:pPr>
      <w:r>
        <w:t xml:space="preserve"/>
      </w:r>
    </w:p>
    <w:p>
      <w:pPr>
        <w:spacing w:after="60" w:before="160"/>
      </w:pPr>
      <w:r>
        <w:rPr>
          <w:rFonts w:ascii="Arial" w:cs="Arial" w:eastAsia="Arial" w:hAnsi="Arial"/>
          <w:b/>
          <w:bCs/>
          <w:color w:val="0A0A14"/>
          <w:sz w:val="21"/>
          <w:szCs w:val="21"/>
        </w:rPr>
        <w:t xml:space="preserve">Legal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bCs/>
                <w:color w:val="0A0A14"/>
                <w:sz w:val="19"/>
                <w:szCs w:val="19"/>
              </w:rPr>
              <w:t xml:space="preserve">Entity type</w:t>
            </w:r>
          </w:p>
        </w:tc>
        <w:tc>
          <w:tcPr>
            <w:tcW w:type="dxa" w:w="624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Single-member LLC · Michigan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A0A14"/>
                <w:sz w:val="19"/>
                <w:szCs w:val="19"/>
              </w:rPr>
              <w:t xml:space="preserve">Filing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May 2026</w:t>
            </w:r>
          </w:p>
        </w:tc>
      </w:tr>
      <w:tr>
        <w:tc>
          <w:tcPr>
            <w:tcW w:type="dxa" w:w="312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bCs/>
                <w:color w:val="0A0A14"/>
                <w:sz w:val="19"/>
                <w:szCs w:val="19"/>
              </w:rPr>
              <w:t xml:space="preserve">EIN</w:t>
            </w:r>
          </w:p>
        </w:tc>
        <w:tc>
          <w:tcPr>
            <w:tcW w:type="dxa" w:w="624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42-2274254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A0A14"/>
                <w:sz w:val="19"/>
                <w:szCs w:val="19"/>
              </w:rPr>
              <w:t xml:space="preserve">Tax treatment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Pass-through · Schedule C · self-employment tax applicable</w:t>
            </w:r>
          </w:p>
        </w:tc>
      </w:tr>
      <w:tr>
        <w:tc>
          <w:tcPr>
            <w:tcW w:type="dxa" w:w="312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bCs/>
                <w:color w:val="0A0A14"/>
                <w:sz w:val="19"/>
                <w:szCs w:val="19"/>
              </w:rPr>
              <w:t xml:space="preserve">IP ownership</w:t>
            </w:r>
          </w:p>
        </w:tc>
        <w:tc>
          <w:tcPr>
            <w:tcW w:type="dxa" w:w="624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All software, systems, and analytical frameworks developed by Pinteq remain IP of Pinteq LLC. Clients license use of configured instances.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A0A14"/>
                <w:sz w:val="19"/>
                <w:szCs w:val="19"/>
              </w:rPr>
              <w:t xml:space="preserve">Contractor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Independent 1099 contractor · no exclusivity assumed unless agreed separately</w:t>
            </w:r>
          </w:p>
        </w:tc>
      </w:tr>
    </w:tbl>
    <w:p>
      <w:r>
        <w:br/>
      </w:r>
    </w:p>
    <w:p>
      <w:pPr>
        <w:spacing w:after="80" w:before="240"/>
      </w:pPr>
      <w:r>
        <w:rPr>
          <w:rFonts w:ascii="Arial" w:cs="Arial" w:eastAsia="Arial" w:hAnsi="Arial"/>
          <w:b/>
          <w:bCs/>
          <w:color w:val="2E5FA3"/>
          <w:spacing w:val="50"/>
          <w:sz w:val="22"/>
          <w:szCs w:val="22"/>
        </w:rPr>
        <w:t xml:space="preserve">03 · SERVICES &amp; DELIVERABLES</w:t>
      </w:r>
    </w:p>
    <w:p>
      <w:pPr>
        <w:pBdr>
          <w:bottom w:val="single" w:color="2E5FA3" w:sz="4" w:space="1"/>
        </w:pBdr>
        <w:spacing w:after="100" w:before="140"/>
      </w:pPr>
    </w:p>
    <w:p>
      <w:pPr>
        <w:spacing w:after="60" w:before="40"/>
      </w:pPr>
      <w:r>
        <w:rPr>
          <w:rFonts w:ascii="Arial" w:cs="Arial" w:eastAsia="Arial" w:hAnsi="Arial"/>
          <w:i w:val="false"/>
          <w:iCs w:val="false"/>
          <w:color w:val="333333"/>
          <w:sz w:val="20"/>
          <w:szCs w:val="20"/>
        </w:rPr>
        <w:t xml:space="preserve">Pinteq delivers across three service disciplines. Each produces a tangible output. Design is not a standalone service — it is the standard applied to every deliverable across all three disciplines.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880"/>
        <w:gridCol w:w="2160"/>
      </w:tblGrid>
      <w:tr>
        <w:tc>
          <w:tcPr>
            <w:tcW w:type="dxa" w:w="144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No.</w:t>
            </w:r>
          </w:p>
        </w:tc>
        <w:tc>
          <w:tcPr>
            <w:tcW w:type="dxa" w:w="288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Service</w:t>
            </w:r>
          </w:p>
        </w:tc>
        <w:tc>
          <w:tcPr>
            <w:tcW w:type="dxa" w:w="288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Deliverables</w:t>
            </w:r>
          </w:p>
        </w:tc>
        <w:tc>
          <w:tcPr>
            <w:tcW w:type="dxa" w:w="216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Market rate</w:t>
            </w:r>
          </w:p>
        </w:tc>
      </w:tr>
      <w:tr>
        <w:tc>
          <w:tcPr>
            <w:tcW w:type="dxa" w:w="1440"/>
            <w:tcBorders>
              <w:top w:val="single" w:color="CCCCCC" w:sz="1"/>
              <w:left w:val="single" w:color="CCCCCC" w:sz="1"/>
              <w:bottom w:val="single" w:color="CCCCCC" w:sz="1"/>
              <w:right w:val="single" w:color="CCCCCC" w:sz="1"/>
            </w:tcBorders>
            <w:shd w:fill="EEF4FD" w:val="clear"/>
            <w:tcMar>
              <w:top w:type="dxa" w:w="100"/>
              <w:left w:type="dxa" w:w="140"/>
              <w:bottom w:type="dxa" w:w="100"/>
              <w:right w:type="dxa" w:w="140"/>
            </w:tcMar>
          </w:tcPr>
          <w:p>
            <w:r>
              <w:rPr>
                <w:rFonts w:ascii="Arial" w:cs="Arial" w:eastAsia="Arial" w:hAnsi="Arial"/>
                <w:b/>
                <w:bCs/>
                <w:color w:val="2E5FA3"/>
                <w:sz w:val="20"/>
                <w:szCs w:val="20"/>
              </w:rPr>
              <w:t xml:space="preserve">01</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bCs/>
                <w:color w:val="0A0A14"/>
                <w:sz w:val="19"/>
                <w:szCs w:val="19"/>
              </w:rPr>
              <w:t xml:space="preserve">Investigative intelligence</w:t>
            </w:r>
          </w:p>
          <w:p>
            <w:r>
              <w:rPr>
                <w:rFonts w:ascii="Arial" w:cs="Arial" w:eastAsia="Arial" w:hAnsi="Arial"/>
                <w:color w:val="555555"/>
                <w:sz w:val="17"/>
                <w:szCs w:val="17"/>
              </w:rPr>
              <w:t xml:space="preserve">OSINT, public records, background research, relationship mapping · criminal, corporate, personal</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 w:before="0"/>
            </w:pPr>
            <w:r>
              <w:rPr>
                <w:rFonts w:ascii="Arial" w:cs="Arial" w:eastAsia="Arial" w:hAnsi="Arial"/>
                <w:color w:val="444444"/>
                <w:sz w:val="17"/>
                <w:szCs w:val="17"/>
              </w:rPr>
              <w:t xml:space="preserve">Subject profiles · network maps</w:t>
            </w:r>
          </w:p>
          <w:p>
            <w:pPr>
              <w:spacing w:after="8" w:before="0"/>
            </w:pPr>
            <w:r>
              <w:rPr>
                <w:rFonts w:ascii="Arial" w:cs="Arial" w:eastAsia="Arial" w:hAnsi="Arial"/>
                <w:color w:val="444444"/>
                <w:sz w:val="17"/>
                <w:szCs w:val="17"/>
              </w:rPr>
              <w:t xml:space="preserve">Timeline reconstruction</w:t>
            </w:r>
          </w:p>
          <w:p>
            <w:pPr>
              <w:spacing w:after="8" w:before="0"/>
            </w:pPr>
            <w:r>
              <w:rPr>
                <w:rFonts w:ascii="Arial" w:cs="Arial" w:eastAsia="Arial" w:hAnsi="Arial"/>
                <w:color w:val="444444"/>
                <w:sz w:val="17"/>
                <w:szCs w:val="17"/>
              </w:rPr>
              <w:t xml:space="preserve">Analytical intelligence reports</w:t>
            </w:r>
          </w:p>
        </w:tc>
        <w:tc>
          <w:tcPr>
            <w:tcW w:type="dxa" w:w="21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6B3C"/>
                <w:sz w:val="19"/>
                <w:szCs w:val="19"/>
              </w:rPr>
              <w:t xml:space="preserve">$65–$95 / hr</w:t>
            </w:r>
          </w:p>
        </w:tc>
      </w:tr>
      <w:tr>
        <w:tc>
          <w:tcPr>
            <w:tcW w:type="dxa" w:w="1440"/>
            <w:tcBorders>
              <w:top w:val="single" w:color="CCCCCC" w:sz="1"/>
              <w:left w:val="single" w:color="CCCCCC" w:sz="1"/>
              <w:bottom w:val="single" w:color="CCCCCC" w:sz="1"/>
              <w:right w:val="single" w:color="CCCCCC" w:sz="1"/>
            </w:tcBorders>
            <w:shd w:fill="EEF4FD" w:val="clear"/>
            <w:tcMar>
              <w:top w:type="dxa" w:w="100"/>
              <w:left w:type="dxa" w:w="140"/>
              <w:bottom w:type="dxa" w:w="100"/>
              <w:right w:type="dxa" w:w="140"/>
            </w:tcMar>
          </w:tcPr>
          <w:p>
            <w:r>
              <w:rPr>
                <w:rFonts w:ascii="Arial" w:cs="Arial" w:eastAsia="Arial" w:hAnsi="Arial"/>
                <w:b/>
                <w:bCs/>
                <w:color w:val="2E5FA3"/>
                <w:sz w:val="20"/>
                <w:szCs w:val="20"/>
              </w:rPr>
              <w:t xml:space="preserve">02</w:t>
            </w:r>
          </w:p>
        </w:tc>
        <w:tc>
          <w:tcPr>
            <w:tcW w:type="dxa" w:w="2880"/>
            <w:tcBorders>
              <w:top w:val="single" w:color="CCCCCC" w:sz="1"/>
              <w:left w:val="single" w:color="CCCCCC" w:sz="1"/>
              <w:bottom w:val="single" w:color="CCCCCC" w:sz="1"/>
              <w:right w:val="single" w:color="CCCCCC" w:sz="1"/>
            </w:tcBorders>
            <w:shd w:fill="F4F4F6" w:val="clear"/>
            <w:tcMar>
              <w:top w:type="dxa" w:w="100"/>
              <w:left w:type="dxa" w:w="140"/>
              <w:bottom w:type="dxa" w:w="100"/>
              <w:right w:type="dxa" w:w="140"/>
            </w:tcMar>
          </w:tcPr>
          <w:p>
            <w:pPr>
              <w:spacing w:after="20" w:before="0"/>
            </w:pPr>
            <w:r>
              <w:rPr>
                <w:rFonts w:ascii="Arial" w:cs="Arial" w:eastAsia="Arial" w:hAnsi="Arial"/>
                <w:b/>
                <w:bCs/>
                <w:color w:val="0A0A14"/>
                <w:sz w:val="19"/>
                <w:szCs w:val="19"/>
              </w:rPr>
              <w:t xml:space="preserve">Systems &amp; software</w:t>
            </w:r>
          </w:p>
          <w:p>
            <w:r>
              <w:rPr>
                <w:rFonts w:ascii="Arial" w:cs="Arial" w:eastAsia="Arial" w:hAnsi="Arial"/>
                <w:color w:val="555555"/>
                <w:sz w:val="17"/>
                <w:szCs w:val="17"/>
              </w:rPr>
              <w:t xml:space="preserve">Custom application development, intake pipelines, database architecture, workflow automation</w:t>
            </w:r>
          </w:p>
        </w:tc>
        <w:tc>
          <w:tcPr>
            <w:tcW w:type="dxa" w:w="2880"/>
            <w:tcBorders>
              <w:top w:val="single" w:color="CCCCCC" w:sz="1"/>
              <w:left w:val="single" w:color="CCCCCC" w:sz="1"/>
              <w:bottom w:val="single" w:color="CCCCCC" w:sz="1"/>
              <w:right w:val="single" w:color="CCCCCC" w:sz="1"/>
            </w:tcBorders>
            <w:shd w:fill="F4F4F6" w:val="clear"/>
            <w:tcMar>
              <w:top w:type="dxa" w:w="100"/>
              <w:left w:type="dxa" w:w="140"/>
              <w:bottom w:type="dxa" w:w="100"/>
              <w:right w:type="dxa" w:w="140"/>
            </w:tcMar>
          </w:tcPr>
          <w:p>
            <w:pPr>
              <w:spacing w:after="8" w:before="0"/>
            </w:pPr>
            <w:r>
              <w:rPr>
                <w:rFonts w:ascii="Arial" w:cs="Arial" w:eastAsia="Arial" w:hAnsi="Arial"/>
                <w:color w:val="444444"/>
                <w:sz w:val="17"/>
                <w:szCs w:val="17"/>
              </w:rPr>
              <w:t xml:space="preserve">Working software applications</w:t>
            </w:r>
          </w:p>
          <w:p>
            <w:pPr>
              <w:spacing w:after="8" w:before="0"/>
            </w:pPr>
            <w:r>
              <w:rPr>
                <w:rFonts w:ascii="Arial" w:cs="Arial" w:eastAsia="Arial" w:hAnsi="Arial"/>
                <w:color w:val="444444"/>
                <w:sz w:val="17"/>
                <w:szCs w:val="17"/>
              </w:rPr>
              <w:t xml:space="preserve">Data pipelines &amp; databases</w:t>
            </w:r>
          </w:p>
          <w:p>
            <w:pPr>
              <w:spacing w:after="8" w:before="0"/>
            </w:pPr>
            <w:r>
              <w:rPr>
                <w:rFonts w:ascii="Arial" w:cs="Arial" w:eastAsia="Arial" w:hAnsi="Arial"/>
                <w:color w:val="444444"/>
                <w:sz w:val="17"/>
                <w:szCs w:val="17"/>
              </w:rPr>
              <w:t xml:space="preserve">System integration &amp; admin</w:t>
            </w:r>
          </w:p>
        </w:tc>
        <w:tc>
          <w:tcPr>
            <w:tcW w:type="dxa" w:w="21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6B3C"/>
                <w:sz w:val="19"/>
                <w:szCs w:val="19"/>
              </w:rPr>
              <w:t xml:space="preserve">$85–$125 / hr</w:t>
            </w:r>
          </w:p>
        </w:tc>
      </w:tr>
      <w:tr>
        <w:tc>
          <w:tcPr>
            <w:tcW w:type="dxa" w:w="1440"/>
            <w:tcBorders>
              <w:top w:val="single" w:color="CCCCCC" w:sz="1"/>
              <w:left w:val="single" w:color="CCCCCC" w:sz="1"/>
              <w:bottom w:val="single" w:color="CCCCCC" w:sz="1"/>
              <w:right w:val="single" w:color="CCCCCC" w:sz="1"/>
            </w:tcBorders>
            <w:shd w:fill="EEF4FD" w:val="clear"/>
            <w:tcMar>
              <w:top w:type="dxa" w:w="100"/>
              <w:left w:type="dxa" w:w="140"/>
              <w:bottom w:type="dxa" w:w="100"/>
              <w:right w:type="dxa" w:w="140"/>
            </w:tcMar>
          </w:tcPr>
          <w:p>
            <w:r>
              <w:rPr>
                <w:rFonts w:ascii="Arial" w:cs="Arial" w:eastAsia="Arial" w:hAnsi="Arial"/>
                <w:b/>
                <w:bCs/>
                <w:color w:val="2E5FA3"/>
                <w:sz w:val="20"/>
                <w:szCs w:val="20"/>
              </w:rPr>
              <w:t xml:space="preserve">03</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0"/>
            </w:pPr>
            <w:r>
              <w:rPr>
                <w:rFonts w:ascii="Arial" w:cs="Arial" w:eastAsia="Arial" w:hAnsi="Arial"/>
                <w:b/>
                <w:bCs/>
                <w:color w:val="0A0A14"/>
                <w:sz w:val="19"/>
                <w:szCs w:val="19"/>
              </w:rPr>
              <w:t xml:space="preserve">Analytical design &amp; reporting</w:t>
            </w:r>
          </w:p>
          <w:p>
            <w:r>
              <w:rPr>
                <w:rFonts w:ascii="Arial" w:cs="Arial" w:eastAsia="Arial" w:hAnsi="Arial"/>
                <w:color w:val="555555"/>
                <w:sz w:val="17"/>
                <w:szCs w:val="17"/>
              </w:rPr>
              <w:t xml:space="preserve">Reports, presentations, data visualization, ICP targeting, process documentation</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 w:before="0"/>
            </w:pPr>
            <w:r>
              <w:rPr>
                <w:rFonts w:ascii="Arial" w:cs="Arial" w:eastAsia="Arial" w:hAnsi="Arial"/>
                <w:color w:val="444444"/>
                <w:sz w:val="17"/>
                <w:szCs w:val="17"/>
              </w:rPr>
              <w:t xml:space="preserve">Structured analytical documents</w:t>
            </w:r>
          </w:p>
          <w:p>
            <w:pPr>
              <w:spacing w:after="8" w:before="0"/>
            </w:pPr>
            <w:r>
              <w:rPr>
                <w:rFonts w:ascii="Arial" w:cs="Arial" w:eastAsia="Arial" w:hAnsi="Arial"/>
                <w:color w:val="444444"/>
                <w:sz w:val="17"/>
                <w:szCs w:val="17"/>
              </w:rPr>
              <w:t xml:space="preserve">Business intelligence targeting</w:t>
            </w:r>
          </w:p>
          <w:p>
            <w:pPr>
              <w:spacing w:after="8" w:before="0"/>
            </w:pPr>
            <w:r>
              <w:rPr>
                <w:rFonts w:ascii="Arial" w:cs="Arial" w:eastAsia="Arial" w:hAnsi="Arial"/>
                <w:color w:val="444444"/>
                <w:sz w:val="17"/>
                <w:szCs w:val="17"/>
              </w:rPr>
              <w:t xml:space="preserve">Presentations &amp; visual design</w:t>
            </w:r>
          </w:p>
        </w:tc>
        <w:tc>
          <w:tcPr>
            <w:tcW w:type="dxa" w:w="21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6B3C"/>
                <w:sz w:val="19"/>
                <w:szCs w:val="19"/>
              </w:rPr>
              <w:t xml:space="preserve">$70–$90 / hr</w:t>
            </w:r>
          </w:p>
        </w:tc>
      </w:tr>
    </w:tbl>
    <w:p>
      <w:r>
        <w:br/>
      </w:r>
    </w:p>
    <w:p>
      <w:pPr>
        <w:spacing w:after="80" w:before="240"/>
      </w:pPr>
      <w:r>
        <w:rPr>
          <w:rFonts w:ascii="Arial" w:cs="Arial" w:eastAsia="Arial" w:hAnsi="Arial"/>
          <w:b/>
          <w:bCs/>
          <w:color w:val="2E5FA3"/>
          <w:spacing w:val="50"/>
          <w:sz w:val="22"/>
          <w:szCs w:val="22"/>
        </w:rPr>
        <w:t xml:space="preserve">04 · MARKET &amp; POSITIONING</w:t>
      </w:r>
    </w:p>
    <w:p>
      <w:pPr>
        <w:pBdr>
          <w:bottom w:val="single" w:color="2E5FA3" w:sz="4" w:space="1"/>
        </w:pBdr>
        <w:spacing w:after="100" w:before="140"/>
      </w:pPr>
    </w:p>
    <w:p>
      <w:pPr>
        <w:spacing w:after="60" w:before="160"/>
      </w:pPr>
      <w:r>
        <w:rPr>
          <w:rFonts w:ascii="Arial" w:cs="Arial" w:eastAsia="Arial" w:hAnsi="Arial"/>
          <w:b/>
          <w:bCs/>
          <w:color w:val="0A0A14"/>
          <w:sz w:val="21"/>
          <w:szCs w:val="21"/>
        </w:rPr>
        <w:t xml:space="preserve">Target Markets</w:t>
      </w:r>
    </w:p>
    <w:p>
      <w:pPr>
        <w:spacing w:after="60" w:before="40"/>
      </w:pPr>
      <w:r>
        <w:rPr>
          <w:rFonts w:ascii="Arial" w:cs="Arial" w:eastAsia="Arial" w:hAnsi="Arial"/>
          <w:i w:val="false"/>
          <w:iCs w:val="false"/>
          <w:color w:val="333333"/>
          <w:sz w:val="20"/>
          <w:szCs w:val="20"/>
        </w:rPr>
        <w:t xml:space="preserve">Pinteq operates across three initial market segments, with criminal defense legal practices as the primary focus in Year 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Segment</w:t>
            </w:r>
          </w:p>
        </w:tc>
        <w:tc>
          <w:tcPr>
            <w:tcW w:type="dxa" w:w="351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Profile</w:t>
            </w:r>
          </w:p>
        </w:tc>
        <w:tc>
          <w:tcPr>
            <w:tcW w:type="dxa" w:w="351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Entry point</w:t>
            </w:r>
          </w:p>
        </w:tc>
      </w:tr>
      <w:tr>
        <w:tc>
          <w:tcPr>
            <w:tcW w:type="dxa" w:w="23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2E5FA3"/>
                <w:sz w:val="19"/>
                <w:szCs w:val="19"/>
              </w:rPr>
              <w:t xml:space="preserve">Legal · Primary</w:t>
            </w:r>
          </w:p>
        </w:tc>
        <w:tc>
          <w:tcPr>
            <w:tcW w:type="dxa" w:w="351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18"/>
                <w:szCs w:val="18"/>
              </w:rPr>
              <w:t xml:space="preserve">Criminal defense attorneys, solo and small firm · active caseloads of 20–100 matters</w:t>
            </w:r>
          </w:p>
        </w:tc>
        <w:tc>
          <w:tcPr>
            <w:tcW w:type="dxa" w:w="351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18"/>
                <w:szCs w:val="18"/>
              </w:rPr>
              <w:t xml:space="preserve">Anchor client Charles Ayres · referral network from that relationship</w:t>
            </w:r>
          </w:p>
        </w:tc>
      </w:tr>
      <w:tr>
        <w:tc>
          <w:tcPr>
            <w:tcW w:type="dxa" w:w="234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bCs/>
                <w:color w:val="555555"/>
                <w:sz w:val="19"/>
                <w:szCs w:val="19"/>
              </w:rPr>
              <w:t xml:space="preserve">Corporate · Secondary</w:t>
            </w:r>
          </w:p>
        </w:tc>
        <w:tc>
          <w:tcPr>
            <w:tcW w:type="dxa" w:w="351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color w:val="444444"/>
                <w:sz w:val="18"/>
                <w:szCs w:val="18"/>
              </w:rPr>
              <w:t xml:space="preserve">Small to mid-size businesses with operational friction · manufacturing, logistics, professional services</w:t>
            </w:r>
          </w:p>
        </w:tc>
        <w:tc>
          <w:tcPr>
            <w:tcW w:type="dxa" w:w="351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color w:val="444444"/>
                <w:sz w:val="18"/>
                <w:szCs w:val="18"/>
              </w:rPr>
              <w:t xml:space="preserve">Craft Automation retainer relationship · existing industrial network</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777777"/>
                <w:sz w:val="19"/>
                <w:szCs w:val="19"/>
              </w:rPr>
              <w:t xml:space="preserve">Personal · Opportunistic</w:t>
            </w:r>
          </w:p>
        </w:tc>
        <w:tc>
          <w:tcPr>
            <w:tcW w:type="dxa" w:w="351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18"/>
                <w:szCs w:val="18"/>
              </w:rPr>
              <w:t xml:space="preserve">Individual clients requiring background research, due diligence, or investigative services</w:t>
            </w:r>
          </w:p>
        </w:tc>
        <w:tc>
          <w:tcPr>
            <w:tcW w:type="dxa" w:w="351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18"/>
                <w:szCs w:val="18"/>
              </w:rPr>
              <w:t xml:space="preserve">Attorney referrals · post-PI licensing · direct inquiry via pinteq.co</w:t>
            </w:r>
          </w:p>
        </w:tc>
      </w:tr>
    </w:tbl>
    <w:p>
      <w:pPr>
        <w:spacing w:after="0" w:before="120"/>
      </w:pPr>
      <w:r>
        <w:t xml:space="preserve"/>
      </w:r>
    </w:p>
    <w:p>
      <w:pPr>
        <w:spacing w:after="60" w:before="160"/>
      </w:pPr>
      <w:r>
        <w:rPr>
          <w:rFonts w:ascii="Arial" w:cs="Arial" w:eastAsia="Arial" w:hAnsi="Arial"/>
          <w:b/>
          <w:bCs/>
          <w:color w:val="0A0A14"/>
          <w:sz w:val="21"/>
          <w:szCs w:val="21"/>
        </w:rPr>
        <w:t xml:space="preserve">Competitive Positioning</w:t>
      </w:r>
    </w:p>
    <w:p>
      <w:pPr>
        <w:spacing w:after="60" w:before="40"/>
      </w:pPr>
      <w:r>
        <w:rPr>
          <w:rFonts w:ascii="Arial" w:cs="Arial" w:eastAsia="Arial" w:hAnsi="Arial"/>
          <w:i w:val="false"/>
          <w:iCs w:val="false"/>
          <w:color w:val="333333"/>
          <w:sz w:val="20"/>
          <w:szCs w:val="20"/>
        </w:rPr>
        <w:t xml:space="preserve">Pinteq occupies an underserved position between large intelligence firms (Kroll, Mintz Group) and solo PI agencies. Large firms are inaccessible to small practices on cost. Solo PI agencies lack the systems and analytical design capability Pinteq provides. Pinteq delivers enterprise-quality intelligence infrastructure at independent practitioner pricing.</w:t>
      </w:r>
    </w:p>
    <w:p>
      <w:pPr>
        <w:spacing w:after="0" w:before="60"/>
      </w:pPr>
      <w:r>
        <w:t xml:space="preserve"/>
      </w:r>
    </w:p>
    <w:p>
      <w:pPr>
        <w:pBdr>
          <w:left w:val="single" w:color="2E5FA3" w:sz="12" w:space="8"/>
        </w:pBdr>
        <w:shd w:fill="EEF4FD" w:val="clear"/>
        <w:spacing w:after="120" w:before="120"/>
        <w:ind w:left="200"/>
      </w:pPr>
      <w:r>
        <w:rPr>
          <w:rFonts w:ascii="Arial" w:cs="Arial" w:eastAsia="Arial" w:hAnsi="Arial"/>
          <w:i/>
          <w:iCs/>
          <w:color w:val="333333"/>
          <w:sz w:val="20"/>
          <w:szCs w:val="20"/>
        </w:rPr>
        <w:t xml:space="preserve">Differentiation: Most defense attorneys either lack resources for a full investigative team or rely on disconnected tools never designed for case intelligence work. Pinteq fills that gap precisely — investigative capability, systems infrastructure, and analytical precision in one embedded engagement.</w:t>
      </w:r>
    </w:p>
    <w:p>
      <w:r>
        <w:br/>
      </w:r>
    </w:p>
    <w:p>
      <w:pPr>
        <w:spacing w:after="80" w:before="240"/>
      </w:pPr>
      <w:r>
        <w:rPr>
          <w:rFonts w:ascii="Arial" w:cs="Arial" w:eastAsia="Arial" w:hAnsi="Arial"/>
          <w:b/>
          <w:bCs/>
          <w:color w:val="2E5FA3"/>
          <w:spacing w:val="50"/>
          <w:sz w:val="22"/>
          <w:szCs w:val="22"/>
        </w:rPr>
        <w:t xml:space="preserve">05 · REVENUE MODEL &amp; FINANCIAL PROJECTIONS</w:t>
      </w:r>
    </w:p>
    <w:p>
      <w:pPr>
        <w:pBdr>
          <w:bottom w:val="single" w:color="2E5FA3" w:sz="4" w:space="1"/>
        </w:pBdr>
        <w:spacing w:after="100" w:before="140"/>
      </w:pPr>
    </w:p>
    <w:p>
      <w:pPr>
        <w:spacing w:after="60" w:before="160"/>
      </w:pPr>
      <w:r>
        <w:rPr>
          <w:rFonts w:ascii="Arial" w:cs="Arial" w:eastAsia="Arial" w:hAnsi="Arial"/>
          <w:b/>
          <w:bCs/>
          <w:color w:val="0A0A14"/>
          <w:sz w:val="21"/>
          <w:szCs w:val="21"/>
        </w:rPr>
        <w:t xml:space="preserve">Engagement Structure</w:t>
      </w:r>
    </w:p>
    <w:p>
      <w:pPr>
        <w:spacing w:after="60" w:before="40"/>
      </w:pPr>
      <w:r>
        <w:rPr>
          <w:rFonts w:ascii="Arial" w:cs="Arial" w:eastAsia="Arial" w:hAnsi="Arial"/>
          <w:i w:val="false"/>
          <w:iCs w:val="false"/>
          <w:color w:val="333333"/>
          <w:sz w:val="20"/>
          <w:szCs w:val="20"/>
        </w:rPr>
        <w:t xml:space="preserve">Pinteq bills through two mechanisms: monthly retainers covering defined service scopes, and hourly billing for variable or project-based work. Retainers provide income stability; hourly billing captures value from high-demand periods.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Client</w:t>
            </w:r>
          </w:p>
        </w:tc>
        <w:tc>
          <w:tcPr>
            <w:tcW w:type="dxa" w:w="234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Monthly base</w:t>
            </w:r>
          </w:p>
        </w:tc>
        <w:tc>
          <w:tcPr>
            <w:tcW w:type="dxa" w:w="234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23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0A0A14"/>
                <w:sz w:val="19"/>
                <w:szCs w:val="19"/>
              </w:rPr>
              <w:t xml:space="preserve">Charles Ayres · Atty</w:t>
            </w:r>
          </w:p>
        </w:tc>
        <w:tc>
          <w:tcPr>
            <w:tcW w:type="dxa" w:w="23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Legal intelligence retainer</w:t>
            </w:r>
          </w:p>
        </w:tc>
        <w:tc>
          <w:tcPr>
            <w:tcW w:type="dxa" w:w="23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1E6B3C"/>
                <w:sz w:val="19"/>
                <w:szCs w:val="19"/>
              </w:rPr>
              <w:t xml:space="preserve">$2,000–$2,520 / mo</w:t>
            </w:r>
          </w:p>
        </w:tc>
        <w:tc>
          <w:tcPr>
            <w:tcW w:type="dxa" w:w="23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1E6B3C"/>
                <w:sz w:val="19"/>
                <w:szCs w:val="19"/>
              </w:rPr>
              <w:t xml:space="preserve">Active · May 2026</w:t>
            </w:r>
          </w:p>
        </w:tc>
      </w:tr>
      <w:tr>
        <w:tc>
          <w:tcPr>
            <w:tcW w:type="dxa" w:w="234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bCs/>
                <w:color w:val="0A0A14"/>
                <w:sz w:val="19"/>
                <w:szCs w:val="19"/>
              </w:rPr>
              <w:t xml:space="preserve">Craft Automation LLC</w:t>
            </w:r>
          </w:p>
        </w:tc>
        <w:tc>
          <w:tcPr>
            <w:tcW w:type="dxa" w:w="234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Contractor retainer + hourly</w:t>
            </w:r>
          </w:p>
        </w:tc>
        <w:tc>
          <w:tcPr>
            <w:tcW w:type="dxa" w:w="234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bCs/>
                <w:color w:val="1E6B3C"/>
                <w:sz w:val="19"/>
                <w:szCs w:val="19"/>
              </w:rPr>
              <w:t xml:space="preserve">$1,500–$2,000 / mo</w:t>
            </w:r>
          </w:p>
        </w:tc>
        <w:tc>
          <w:tcPr>
            <w:tcW w:type="dxa" w:w="234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92540A"/>
                <w:sz w:val="19"/>
                <w:szCs w:val="19"/>
              </w:rPr>
              <w:t xml:space="preserve">Negotiating · May 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999999"/>
                <w:sz w:val="19"/>
                <w:szCs w:val="19"/>
              </w:rPr>
              <w:t xml:space="preserve">Client 3 · TBD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999999"/>
                <w:sz w:val="19"/>
                <w:szCs w:val="19"/>
              </w:rPr>
              <w:t xml:space="preserve">Legal or corporate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999999"/>
                <w:sz w:val="19"/>
                <w:szCs w:val="19"/>
              </w:rPr>
              <w:t xml:space="preserve">$1,500–$2,500 / 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999999"/>
                <w:sz w:val="19"/>
                <w:szCs w:val="19"/>
              </w:rPr>
              <w:t xml:space="preserve">Target · Q3 2026</w:t>
            </w:r>
          </w:p>
        </w:tc>
      </w:tr>
    </w:tbl>
    <w:p>
      <w:pPr>
        <w:spacing w:after="0" w:before="120"/>
      </w:pPr>
      <w:r>
        <w:t xml:space="preserve"/>
      </w:r>
    </w:p>
    <w:p>
      <w:pPr>
        <w:spacing w:after="60" w:before="160"/>
      </w:pPr>
      <w:r>
        <w:rPr>
          <w:rFonts w:ascii="Arial" w:cs="Arial" w:eastAsia="Arial" w:hAnsi="Arial"/>
          <w:b/>
          <w:bCs/>
          <w:color w:val="0A0A14"/>
          <w:sz w:val="21"/>
          <w:szCs w:val="21"/>
        </w:rPr>
        <w:t xml:space="preserve">12-Month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Period</w:t>
            </w:r>
          </w:p>
        </w:tc>
        <w:tc>
          <w:tcPr>
            <w:tcW w:type="dxa" w:w="156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Legal</w:t>
            </w:r>
          </w:p>
        </w:tc>
        <w:tc>
          <w:tcPr>
            <w:tcW w:type="dxa" w:w="156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Craft Auto</w:t>
            </w:r>
          </w:p>
        </w:tc>
        <w:tc>
          <w:tcPr>
            <w:tcW w:type="dxa" w:w="156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Other</w:t>
            </w:r>
          </w:p>
        </w:tc>
        <w:tc>
          <w:tcPr>
            <w:tcW w:type="dxa" w:w="234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Monthly total</w:t>
            </w:r>
          </w:p>
        </w:tc>
      </w:tr>
      <w:tr>
        <w:tc>
          <w:tcPr>
            <w:tcW w:type="dxa" w:w="23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0A0A14"/>
                <w:sz w:val="19"/>
                <w:szCs w:val="19"/>
              </w:rPr>
              <w:t xml:space="preserve">Q2 2026 · May–Jun</w:t>
            </w:r>
          </w:p>
        </w:tc>
        <w:tc>
          <w:tcPr>
            <w:tcW w:type="dxa" w:w="15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$2,000</w:t>
            </w:r>
          </w:p>
        </w:tc>
        <w:tc>
          <w:tcPr>
            <w:tcW w:type="dxa" w:w="15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$1,500</w:t>
            </w:r>
          </w:p>
        </w:tc>
        <w:tc>
          <w:tcPr>
            <w:tcW w:type="dxa" w:w="15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w:t>
            </w:r>
          </w:p>
        </w:tc>
        <w:tc>
          <w:tcPr>
            <w:tcW w:type="dxa" w:w="23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2E5FA3"/>
                <w:sz w:val="19"/>
                <w:szCs w:val="19"/>
              </w:rPr>
              <w:t xml:space="preserve">$3,500 / mo</w:t>
            </w:r>
          </w:p>
        </w:tc>
      </w:tr>
      <w:tr>
        <w:tc>
          <w:tcPr>
            <w:tcW w:type="dxa" w:w="234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bCs/>
                <w:color w:val="0A0A14"/>
                <w:sz w:val="19"/>
                <w:szCs w:val="19"/>
              </w:rPr>
              <w:t xml:space="preserve">Q3 2026 · Jul–Sep</w:t>
            </w:r>
          </w:p>
        </w:tc>
        <w:tc>
          <w:tcPr>
            <w:tcW w:type="dxa" w:w="156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$2,520</w:t>
            </w:r>
          </w:p>
        </w:tc>
        <w:tc>
          <w:tcPr>
            <w:tcW w:type="dxa" w:w="156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$1,500</w:t>
            </w:r>
          </w:p>
        </w:tc>
        <w:tc>
          <w:tcPr>
            <w:tcW w:type="dxa" w:w="156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$500</w:t>
            </w:r>
          </w:p>
        </w:tc>
        <w:tc>
          <w:tcPr>
            <w:tcW w:type="dxa" w:w="234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bCs/>
                <w:color w:val="2E5FA3"/>
                <w:sz w:val="19"/>
                <w:szCs w:val="19"/>
              </w:rPr>
              <w:t xml:space="preserve">$4,520 / mo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A0A14"/>
                <w:sz w:val="19"/>
                <w:szCs w:val="19"/>
              </w:rPr>
              <w:t xml:space="preserve">Q4 2026 · Oct–Dec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$2,520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$2,000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$1,500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6B3C"/>
                <w:sz w:val="19"/>
                <w:szCs w:val="19"/>
              </w:rPr>
              <w:t xml:space="preserve">$6,020 / mo</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0A0A14"/>
                <w:sz w:val="19"/>
                <w:szCs w:val="19"/>
              </w:rPr>
              <w:t xml:space="preserve">Q1 2027 · Jan–Mar</w:t>
            </w:r>
          </w:p>
        </w:tc>
        <w:tc>
          <w:tcPr>
            <w:tcW w:type="dxa" w:w="15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val="false"/>
                <w:bCs w:val="false"/>
                <w:color w:val="333333"/>
                <w:sz w:val="19"/>
                <w:szCs w:val="19"/>
              </w:rPr>
              <w:t xml:space="preserve">$3,000</w:t>
            </w:r>
          </w:p>
        </w:tc>
        <w:tc>
          <w:tcPr>
            <w:tcW w:type="dxa" w:w="15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val="false"/>
                <w:bCs w:val="false"/>
                <w:color w:val="333333"/>
                <w:sz w:val="19"/>
                <w:szCs w:val="19"/>
              </w:rPr>
              <w:t xml:space="preserve">$2,000</w:t>
            </w:r>
          </w:p>
        </w:tc>
        <w:tc>
          <w:tcPr>
            <w:tcW w:type="dxa" w:w="15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val="false"/>
                <w:bCs w:val="false"/>
                <w:color w:val="333333"/>
                <w:sz w:val="19"/>
                <w:szCs w:val="19"/>
              </w:rPr>
              <w:t xml:space="preserve">$2,000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E6B3C"/>
                <w:sz w:val="19"/>
                <w:szCs w:val="19"/>
              </w:rPr>
              <w:t xml:space="preserve">$7,000 / mo</w:t>
            </w:r>
          </w:p>
        </w:tc>
      </w:tr>
      <w:tr>
        <w:tc>
          <w:tcPr>
            <w:tcW w:type="dxa" w:w="2340"/>
            <w:tcBorders>
              <w:top w:val="single" w:color="CCCCCC" w:sz="1"/>
              <w:left w:val="single" w:color="CCCCCC" w:sz="1"/>
              <w:bottom w:val="single" w:color="CCCCCC" w:sz="1"/>
              <w:right w:val="single" w:color="CCCCCC" w:sz="1"/>
            </w:tcBorders>
            <w:shd w:fill="0A0A14" w:val="clear"/>
            <w:tcMar>
              <w:top w:type="dxa" w:w="100"/>
              <w:left w:type="dxa" w:w="140"/>
              <w:bottom w:type="dxa" w:w="100"/>
              <w:right w:type="dxa" w:w="140"/>
            </w:tcMar>
          </w:tcPr>
          <w:p>
            <w:r>
              <w:rPr>
                <w:rFonts w:ascii="Arial" w:cs="Arial" w:eastAsia="Arial" w:hAnsi="Arial"/>
                <w:b/>
                <w:bCs/>
                <w:color w:val="FFFFFF"/>
                <w:sz w:val="20"/>
                <w:szCs w:val="20"/>
              </w:rPr>
              <w:t xml:space="preserve">12-Month projected total</w:t>
            </w:r>
          </w:p>
        </w:tc>
        <w:tc>
          <w:tcPr>
            <w:tcW w:type="dxa" w:w="7020"/>
            <w:tcBorders>
              <w:top w:val="single" w:color="CCCCCC" w:sz="1"/>
              <w:left w:val="single" w:color="CCCCCC" w:sz="1"/>
              <w:bottom w:val="single" w:color="CCCCCC" w:sz="1"/>
              <w:right w:val="single" w:color="CCCCCC" w:sz="1"/>
            </w:tcBorders>
            <w:shd w:fill="0A0A14" w:val="clear"/>
            <w:tcMar>
              <w:top w:type="dxa" w:w="100"/>
              <w:left w:type="dxa" w:w="140"/>
              <w:bottom w:type="dxa" w:w="100"/>
              <w:right w:type="dxa" w:w="140"/>
            </w:tcMar>
          </w:tcPr>
          <w:p>
            <w:r>
              <w:rPr>
                <w:rFonts w:ascii="Arial" w:cs="Arial" w:eastAsia="Arial" w:hAnsi="Arial"/>
                <w:b/>
                <w:bCs/>
                <w:color w:val="FFFFFF"/>
                <w:sz w:val="20"/>
                <w:szCs w:val="20"/>
              </w:rPr>
              <w:t xml:space="preserve">$54,240 – $68,400 gross · conservative to optimistic range</w:t>
            </w:r>
          </w:p>
        </w:tc>
      </w:tr>
    </w:tbl>
    <w:p>
      <w:pPr>
        <w:spacing w:after="0" w:before="80"/>
      </w:pPr>
      <w:r>
        <w:t xml:space="preserve"/>
      </w:r>
    </w:p>
    <w:p>
      <w:pPr>
        <w:spacing w:after="60" w:before="40"/>
      </w:pPr>
      <w:r>
        <w:rPr>
          <w:rFonts w:ascii="Arial" w:cs="Arial" w:eastAsia="Arial" w:hAnsi="Arial"/>
          <w:i/>
          <w:iCs/>
          <w:color w:val="777777"/>
          <w:sz w:val="20"/>
          <w:szCs w:val="20"/>
        </w:rPr>
        <w:t xml:space="preserve">Note: Projections are estimates based on current engagement commitments and pipeline targets. Actual revenue will vary. Self-employment tax (15.3% of net income) and quarterly estimated tax payments are budgeted separately.</w:t>
      </w:r>
    </w:p>
    <w:p>
      <w:r>
        <w:br/>
      </w:r>
    </w:p>
    <w:p>
      <w:pPr>
        <w:spacing w:after="80" w:before="240"/>
      </w:pPr>
      <w:r>
        <w:rPr>
          <w:rFonts w:ascii="Arial" w:cs="Arial" w:eastAsia="Arial" w:hAnsi="Arial"/>
          <w:b/>
          <w:bCs/>
          <w:color w:val="2E5FA3"/>
          <w:spacing w:val="50"/>
          <w:sz w:val="22"/>
          <w:szCs w:val="22"/>
        </w:rPr>
        <w:t xml:space="preserve">06 · OPERATIONS</w:t>
      </w:r>
    </w:p>
    <w:p>
      <w:pPr>
        <w:pBdr>
          <w:bottom w:val="single" w:color="2E5FA3" w:sz="4" w:space="1"/>
        </w:pBdr>
        <w:spacing w:after="100" w:before="140"/>
      </w:pPr>
    </w:p>
    <w:p>
      <w:pPr>
        <w:spacing w:after="60" w:before="160"/>
      </w:pPr>
      <w:r>
        <w:rPr>
          <w:rFonts w:ascii="Arial" w:cs="Arial" w:eastAsia="Arial" w:hAnsi="Arial"/>
          <w:b/>
          <w:bCs/>
          <w:color w:val="0A0A14"/>
          <w:sz w:val="21"/>
          <w:szCs w:val="21"/>
        </w:rPr>
        <w:t xml:space="preserve">Operating Model</w:t>
      </w:r>
    </w:p>
    <w:p>
      <w:pPr>
        <w:spacing w:after="60" w:before="40"/>
      </w:pPr>
      <w:r>
        <w:rPr>
          <w:rFonts w:ascii="Arial" w:cs="Arial" w:eastAsia="Arial" w:hAnsi="Arial"/>
          <w:i w:val="false"/>
          <w:iCs w:val="false"/>
          <w:color w:val="333333"/>
          <w:sz w:val="20"/>
          <w:szCs w:val="20"/>
        </w:rPr>
        <w:t xml:space="preserve">Pinteq operates as a solo practitioner in Year 1. All client work is performed by the founder. The firm maintains a small, selective client roster by design — deep engagement quality over volume. As revenue grows, subcontracting or partnership arrangements may be introduced for specific technical or investigative functions.</w:t>
      </w:r>
    </w:p>
    <w:p>
      <w:pPr>
        <w:spacing w:after="0" w:before="80"/>
      </w:pPr>
      <w:r>
        <w:t xml:space="preserve"/>
      </w:r>
    </w:p>
    <w:p>
      <w:pPr>
        <w:spacing w:after="60" w:before="160"/>
      </w:pPr>
      <w:r>
        <w:rPr>
          <w:rFonts w:ascii="Arial" w:cs="Arial" w:eastAsia="Arial" w:hAnsi="Arial"/>
          <w:b/>
          <w:bCs/>
          <w:color w:val="0A0A14"/>
          <w:sz w:val="21"/>
          <w:szCs w:val="21"/>
        </w:rPr>
        <w:t xml:space="preserve">Tools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0A0A14"/>
                <w:sz w:val="19"/>
                <w:szCs w:val="19"/>
              </w:rPr>
              <w:t xml:space="preserve">Development stack</w:t>
            </w:r>
          </w:p>
        </w:tc>
        <w:tc>
          <w:tcPr>
            <w:tcW w:type="dxa" w:w="62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Python · Node.js · React · SQLite · PostgreSQL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A0A14"/>
                <w:sz w:val="19"/>
                <w:szCs w:val="19"/>
              </w:rPr>
              <w:t xml:space="preserve">Intelligence tools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OSINT Framework · Maltego CE · public records databases · ICHAT · IDACOR</w:t>
            </w:r>
          </w:p>
        </w:tc>
      </w:tr>
      <w:tr>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0A0A14"/>
                <w:sz w:val="19"/>
                <w:szCs w:val="19"/>
              </w:rPr>
              <w:t xml:space="preserve">Case platform</w:t>
            </w:r>
          </w:p>
        </w:tc>
        <w:tc>
          <w:tcPr>
            <w:tcW w:type="dxa" w:w="62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Smokeball (client’s existing system) · Pinteq custom intelligence pipeline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A0A14"/>
                <w:sz w:val="19"/>
                <w:szCs w:val="19"/>
              </w:rPr>
              <w:t xml:space="preserve">Communication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Google Workspace · matt@pinteq.co · pinteq.co</w:t>
            </w:r>
          </w:p>
        </w:tc>
      </w:tr>
      <w:tr>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0A0A14"/>
                <w:sz w:val="19"/>
                <w:szCs w:val="19"/>
              </w:rPr>
              <w:t xml:space="preserve">Billing</w:t>
            </w:r>
          </w:p>
        </w:tc>
        <w:tc>
          <w:tcPr>
            <w:tcW w:type="dxa" w:w="62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Wave (free) · monthly invoices · net-15 terms · EIN 42-2274254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A0A14"/>
                <w:sz w:val="19"/>
                <w:szCs w:val="19"/>
              </w:rPr>
              <w:t xml:space="preserve">Banking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Dedicated Pinteq LLC business checking · separate from personal accounts</w:t>
            </w:r>
          </w:p>
        </w:tc>
      </w:tr>
    </w:tbl>
    <w:p>
      <w:pPr>
        <w:spacing w:after="0" w:before="120"/>
      </w:pPr>
      <w:r>
        <w:t xml:space="preserve"/>
      </w:r>
    </w:p>
    <w:p>
      <w:pPr>
        <w:spacing w:after="60" w:before="160"/>
      </w:pPr>
      <w:r>
        <w:rPr>
          <w:rFonts w:ascii="Arial" w:cs="Arial" w:eastAsia="Arial" w:hAnsi="Arial"/>
          <w:b/>
          <w:bCs/>
          <w:color w:val="0A0A14"/>
          <w:sz w:val="21"/>
          <w:szCs w:val="21"/>
        </w:rPr>
        <w:t xml:space="preserve">PI Licensing Pathway</w:t>
      </w:r>
    </w:p>
    <w:p>
      <w:pPr>
        <w:spacing w:after="60" w:before="40"/>
      </w:pPr>
      <w:r>
        <w:rPr>
          <w:rFonts w:ascii="Arial" w:cs="Arial" w:eastAsia="Arial" w:hAnsi="Arial"/>
          <w:i w:val="false"/>
          <w:iCs w:val="false"/>
          <w:color w:val="333333"/>
          <w:sz w:val="20"/>
          <w:szCs w:val="20"/>
        </w:rPr>
        <w:t xml:space="preserve">Michigan requires 3 years of full-time qualifying investigative experience to apply for a PI license. Employment as an investigative assistant under a licensed attorney qualifies. The engagement with Charles Ayres — an active defense attorney — constitutes qualifying experience under Michigan law from the date of engagement.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460"/>
        <w:gridCol w:w="1560"/>
      </w:tblGrid>
      <w:tr>
        <w:tc>
          <w:tcPr>
            <w:tcW w:type="dxa" w:w="234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Milestone</w:t>
            </w:r>
          </w:p>
        </w:tc>
        <w:tc>
          <w:tcPr>
            <w:tcW w:type="dxa" w:w="546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c>
          <w:tcPr>
            <w:tcW w:type="dxa" w:w="156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Target</w:t>
            </w:r>
          </w:p>
        </w:tc>
      </w:tr>
      <w:tr>
        <w:tc>
          <w:tcPr>
            <w:tcW w:type="dxa" w:w="23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0A0A14"/>
                <w:sz w:val="19"/>
                <w:szCs w:val="19"/>
              </w:rPr>
              <w:t xml:space="preserve">Hours logging begins</w:t>
            </w:r>
          </w:p>
        </w:tc>
        <w:tc>
          <w:tcPr>
            <w:tcW w:type="dxa" w:w="54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Document all investigative work performed under attorney supervision</w:t>
            </w:r>
          </w:p>
        </w:tc>
        <w:tc>
          <w:tcPr>
            <w:tcW w:type="dxa" w:w="15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1E6B3C"/>
                <w:sz w:val="19"/>
                <w:szCs w:val="19"/>
              </w:rPr>
              <w:t xml:space="preserve">May 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A0A14"/>
                <w:sz w:val="19"/>
                <w:szCs w:val="19"/>
              </w:rPr>
              <w:t xml:space="preserve">Year 1 review</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Assess hours accumulated · confirm qualifying activity categories with attorney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May 2027</w:t>
            </w:r>
          </w:p>
        </w:tc>
      </w:tr>
      <w:tr>
        <w:tc>
          <w:tcPr>
            <w:tcW w:type="dxa" w:w="234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0A0A14"/>
                <w:sz w:val="19"/>
                <w:szCs w:val="19"/>
              </w:rPr>
              <w:t xml:space="preserve">PI license eligible</w:t>
            </w:r>
          </w:p>
        </w:tc>
        <w:tc>
          <w:tcPr>
            <w:tcW w:type="dxa" w:w="54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3 years qualifying experience · submit application to Michigan LARA</w:t>
            </w:r>
          </w:p>
        </w:tc>
        <w:tc>
          <w:tcPr>
            <w:tcW w:type="dxa" w:w="15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May 2029</w:t>
            </w:r>
          </w:p>
        </w:tc>
      </w:tr>
    </w:tbl>
    <w:p>
      <w:r>
        <w:br/>
      </w:r>
    </w:p>
    <w:p>
      <w:pPr>
        <w:spacing w:after="80" w:before="240"/>
      </w:pPr>
      <w:r>
        <w:rPr>
          <w:rFonts w:ascii="Arial" w:cs="Arial" w:eastAsia="Arial" w:hAnsi="Arial"/>
          <w:b/>
          <w:bCs/>
          <w:color w:val="2E5FA3"/>
          <w:spacing w:val="50"/>
          <w:sz w:val="22"/>
          <w:szCs w:val="22"/>
        </w:rPr>
        <w:t xml:space="preserve">07 · 12-MONTH ROADMAP</w:t>
      </w:r>
    </w:p>
    <w:p>
      <w:pPr>
        <w:pBdr>
          <w:bottom w:val="single" w:color="2E5FA3" w:sz="4" w:space="1"/>
        </w:pBdr>
        <w:spacing w:after="10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Quarter</w:t>
            </w:r>
          </w:p>
        </w:tc>
        <w:tc>
          <w:tcPr>
            <w:tcW w:type="dxa" w:w="576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Priorities</w:t>
            </w:r>
          </w:p>
        </w:tc>
        <w:tc>
          <w:tcPr>
            <w:tcW w:type="dxa" w:w="180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Revenue target</w:t>
            </w:r>
          </w:p>
        </w:tc>
      </w:tr>
      <w:tr>
        <w:tc>
          <w:tcPr>
            <w:tcW w:type="dxa" w:w="1800"/>
            <w:tcBorders>
              <w:top w:val="single" w:color="CCCCCC" w:sz="1"/>
              <w:left w:val="single" w:color="CCCCCC" w:sz="1"/>
              <w:bottom w:val="single" w:color="CCCCCC" w:sz="1"/>
              <w:right w:val="single" w:color="CCCCCC" w:sz="1"/>
            </w:tcBorders>
            <w:shd w:fill="EEF4FD" w:val="clear"/>
            <w:tcMar>
              <w:top w:type="dxa" w:w="100"/>
              <w:left w:type="dxa" w:w="140"/>
              <w:bottom w:type="dxa" w:w="100"/>
              <w:right w:type="dxa" w:w="140"/>
            </w:tcMar>
          </w:tcPr>
          <w:p>
            <w:pPr>
              <w:spacing w:after="20" w:before="0"/>
            </w:pPr>
            <w:r>
              <w:rPr>
                <w:rFonts w:ascii="Arial" w:cs="Arial" w:eastAsia="Arial" w:hAnsi="Arial"/>
                <w:b/>
                <w:bCs/>
                <w:color w:val="2E5FA3"/>
                <w:sz w:val="20"/>
                <w:szCs w:val="20"/>
              </w:rPr>
              <w:t xml:space="preserve">Q2 2026</w:t>
            </w:r>
          </w:p>
          <w:p>
            <w:r>
              <w:rPr>
                <w:rFonts w:ascii="Arial" w:cs="Arial" w:eastAsia="Arial" w:hAnsi="Arial"/>
                <w:color w:val="777777"/>
                <w:sz w:val="17"/>
                <w:szCs w:val="17"/>
              </w:rPr>
              <w:t xml:space="preserve">May – Jun</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 w:before="0"/>
            </w:pPr>
            <w:r>
              <w:rPr>
                <w:rFonts w:ascii="Arial" w:cs="Arial" w:eastAsia="Arial" w:hAnsi="Arial"/>
                <w:color w:val="444444"/>
                <w:sz w:val="18"/>
                <w:szCs w:val="18"/>
              </w:rPr>
              <w:t xml:space="preserve">•  Negotiate and execute Craft Automation contractor agreement</w:t>
            </w:r>
          </w:p>
          <w:p>
            <w:pPr>
              <w:spacing w:after="8" w:before="0"/>
            </w:pPr>
            <w:r>
              <w:rPr>
                <w:rFonts w:ascii="Arial" w:cs="Arial" w:eastAsia="Arial" w:hAnsi="Arial"/>
                <w:color w:val="444444"/>
                <w:sz w:val="18"/>
                <w:szCs w:val="18"/>
              </w:rPr>
              <w:t xml:space="preserve">•  Execute Charles Ayres 1099 agreement · begin logging PI hours</w:t>
            </w:r>
          </w:p>
          <w:p>
            <w:pPr>
              <w:spacing w:after="8" w:before="0"/>
            </w:pPr>
            <w:r>
              <w:rPr>
                <w:rFonts w:ascii="Arial" w:cs="Arial" w:eastAsia="Arial" w:hAnsi="Arial"/>
                <w:color w:val="444444"/>
                <w:sz w:val="18"/>
                <w:szCs w:val="18"/>
              </w:rPr>
              <w:t xml:space="preserve">•  Open Pinteq business checking · set up invoicing</w:t>
            </w:r>
          </w:p>
          <w:p>
            <w:pPr>
              <w:spacing w:after="8" w:before="0"/>
            </w:pPr>
            <w:r>
              <w:rPr>
                <w:rFonts w:ascii="Arial" w:cs="Arial" w:eastAsia="Arial" w:hAnsi="Arial"/>
                <w:color w:val="444444"/>
                <w:sz w:val="18"/>
                <w:szCs w:val="18"/>
              </w:rPr>
              <w:t xml:space="preserve">•  Audit Smokeball · begin Module 1 intake pipeline build</w:t>
            </w:r>
          </w:p>
          <w:p>
            <w:pPr>
              <w:spacing w:after="8" w:before="0"/>
            </w:pPr>
            <w:r>
              <w:rPr>
                <w:rFonts w:ascii="Arial" w:cs="Arial" w:eastAsia="Arial" w:hAnsi="Arial"/>
                <w:color w:val="444444"/>
                <w:sz w:val="18"/>
                <w:szCs w:val="18"/>
              </w:rPr>
              <w:t xml:space="preserve">•  Launch pinteq.co · set up matt@pinteq.co</w:t>
            </w:r>
          </w:p>
          <w:p>
            <w:r>
              <w:rPr>
                <w:rFonts w:ascii="Arial" w:cs="Arial" w:eastAsia="Arial" w:hAnsi="Arial"/>
                <w:color w:val="444444"/>
                <w:sz w:val="18"/>
                <w:szCs w:val="18"/>
              </w:rPr>
              <w:t xml:space="preserve">•  Begin CompTIA Security+ study</w:t>
            </w:r>
          </w:p>
        </w:tc>
        <w:tc>
          <w:tcPr>
            <w:tcW w:type="dxa" w:w="1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6B3C"/>
                <w:sz w:val="20"/>
                <w:szCs w:val="20"/>
              </w:rPr>
              <w:t xml:space="preserve">$7,000+</w:t>
            </w:r>
          </w:p>
        </w:tc>
      </w:tr>
      <w:tr>
        <w:tc>
          <w:tcPr>
            <w:tcW w:type="dxa" w:w="1800"/>
            <w:tcBorders>
              <w:top w:val="single" w:color="CCCCCC" w:sz="1"/>
              <w:left w:val="single" w:color="CCCCCC" w:sz="1"/>
              <w:bottom w:val="single" w:color="CCCCCC" w:sz="1"/>
              <w:right w:val="single" w:color="CCCCCC" w:sz="1"/>
            </w:tcBorders>
            <w:shd w:fill="F4F4F6" w:val="clear"/>
            <w:tcMar>
              <w:top w:type="dxa" w:w="100"/>
              <w:left w:type="dxa" w:w="140"/>
              <w:bottom w:type="dxa" w:w="100"/>
              <w:right w:type="dxa" w:w="140"/>
            </w:tcMar>
          </w:tcPr>
          <w:p>
            <w:pPr>
              <w:spacing w:after="20" w:before="0"/>
            </w:pPr>
            <w:r>
              <w:rPr>
                <w:rFonts w:ascii="Arial" w:cs="Arial" w:eastAsia="Arial" w:hAnsi="Arial"/>
                <w:b/>
                <w:bCs/>
                <w:color w:val="555555"/>
                <w:sz w:val="20"/>
                <w:szCs w:val="20"/>
              </w:rPr>
              <w:t xml:space="preserve">Q3 2026</w:t>
            </w:r>
          </w:p>
          <w:p>
            <w:r>
              <w:rPr>
                <w:rFonts w:ascii="Arial" w:cs="Arial" w:eastAsia="Arial" w:hAnsi="Arial"/>
                <w:color w:val="777777"/>
                <w:sz w:val="17"/>
                <w:szCs w:val="17"/>
              </w:rPr>
              <w:t xml:space="preserve">Jul – Sep</w:t>
            </w:r>
          </w:p>
        </w:tc>
        <w:tc>
          <w:tcPr>
            <w:tcW w:type="dxa" w:w="5760"/>
            <w:tcBorders>
              <w:top w:val="single" w:color="CCCCCC" w:sz="1"/>
              <w:left w:val="single" w:color="CCCCCC" w:sz="1"/>
              <w:bottom w:val="single" w:color="CCCCCC" w:sz="1"/>
              <w:right w:val="single" w:color="CCCCCC" w:sz="1"/>
            </w:tcBorders>
            <w:shd w:fill="F4F4F6" w:val="clear"/>
            <w:tcMar>
              <w:top w:type="dxa" w:w="100"/>
              <w:left w:type="dxa" w:w="140"/>
              <w:bottom w:type="dxa" w:w="100"/>
              <w:right w:type="dxa" w:w="140"/>
            </w:tcMar>
          </w:tcPr>
          <w:p>
            <w:pPr>
              <w:spacing w:after="8" w:before="0"/>
            </w:pPr>
            <w:r>
              <w:rPr>
                <w:rFonts w:ascii="Arial" w:cs="Arial" w:eastAsia="Arial" w:hAnsi="Arial"/>
                <w:color w:val="444444"/>
                <w:sz w:val="18"/>
                <w:szCs w:val="18"/>
              </w:rPr>
              <w:t xml:space="preserve">•  Complete Module 1 · Smokeball intake pipeline live</w:t>
            </w:r>
          </w:p>
          <w:p>
            <w:pPr>
              <w:spacing w:after="8" w:before="0"/>
            </w:pPr>
            <w:r>
              <w:rPr>
                <w:rFonts w:ascii="Arial" w:cs="Arial" w:eastAsia="Arial" w:hAnsi="Arial"/>
                <w:color w:val="444444"/>
                <w:sz w:val="18"/>
                <w:szCs w:val="18"/>
              </w:rPr>
              <w:t xml:space="preserve">•  Begin Module 2 · chronology and relationship mapping engine</w:t>
            </w:r>
          </w:p>
          <w:p>
            <w:pPr>
              <w:spacing w:after="8" w:before="0"/>
            </w:pPr>
            <w:r>
              <w:rPr>
                <w:rFonts w:ascii="Arial" w:cs="Arial" w:eastAsia="Arial" w:hAnsi="Arial"/>
                <w:color w:val="444444"/>
                <w:sz w:val="18"/>
                <w:szCs w:val="18"/>
              </w:rPr>
              <w:t xml:space="preserve">•  Deliver first structured B4 witness intelligence briefs</w:t>
            </w:r>
          </w:p>
          <w:p>
            <w:pPr>
              <w:spacing w:after="8" w:before="0"/>
            </w:pPr>
            <w:r>
              <w:rPr>
                <w:rFonts w:ascii="Arial" w:cs="Arial" w:eastAsia="Arial" w:hAnsi="Arial"/>
                <w:color w:val="444444"/>
                <w:sz w:val="18"/>
                <w:szCs w:val="18"/>
              </w:rPr>
              <w:t xml:space="preserve">•  Apply for Smokeball developer API access</w:t>
            </w:r>
          </w:p>
          <w:p>
            <w:pPr>
              <w:spacing w:after="8" w:before="0"/>
            </w:pPr>
            <w:r>
              <w:rPr>
                <w:rFonts w:ascii="Arial" w:cs="Arial" w:eastAsia="Arial" w:hAnsi="Arial"/>
                <w:color w:val="444444"/>
                <w:sz w:val="18"/>
                <w:szCs w:val="18"/>
              </w:rPr>
              <w:t xml:space="preserve">•  Begin OSINT Framework and Maltego CE proficiency development</w:t>
            </w:r>
          </w:p>
          <w:p>
            <w:r>
              <w:rPr>
                <w:rFonts w:ascii="Arial" w:cs="Arial" w:eastAsia="Arial" w:hAnsi="Arial"/>
                <w:color w:val="444444"/>
                <w:sz w:val="18"/>
                <w:szCs w:val="18"/>
              </w:rPr>
              <w:t xml:space="preserve">•  Identify and qualify potential second legal client</w:t>
            </w:r>
          </w:p>
        </w:tc>
        <w:tc>
          <w:tcPr>
            <w:tcW w:type="dxa" w:w="1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6B3C"/>
                <w:sz w:val="20"/>
                <w:szCs w:val="20"/>
              </w:rPr>
              <w:t xml:space="preserve">$13,560+</w:t>
            </w:r>
          </w:p>
        </w:tc>
      </w:tr>
      <w:tr>
        <w:tc>
          <w:tcPr>
            <w:tcW w:type="dxa" w:w="1800"/>
            <w:tcBorders>
              <w:top w:val="single" w:color="CCCCCC" w:sz="1"/>
              <w:left w:val="single" w:color="CCCCCC" w:sz="1"/>
              <w:bottom w:val="single" w:color="CCCCCC" w:sz="1"/>
              <w:right w:val="single" w:color="CCCCCC" w:sz="1"/>
            </w:tcBorders>
            <w:shd w:fill="EEF4FD" w:val="clear"/>
            <w:tcMar>
              <w:top w:type="dxa" w:w="100"/>
              <w:left w:type="dxa" w:w="140"/>
              <w:bottom w:type="dxa" w:w="100"/>
              <w:right w:type="dxa" w:w="140"/>
            </w:tcMar>
          </w:tcPr>
          <w:p>
            <w:pPr>
              <w:spacing w:after="20" w:before="0"/>
            </w:pPr>
            <w:r>
              <w:rPr>
                <w:rFonts w:ascii="Arial" w:cs="Arial" w:eastAsia="Arial" w:hAnsi="Arial"/>
                <w:b/>
                <w:bCs/>
                <w:color w:val="2E5FA3"/>
                <w:sz w:val="20"/>
                <w:szCs w:val="20"/>
              </w:rPr>
              <w:t xml:space="preserve">Q4 2026</w:t>
            </w:r>
          </w:p>
          <w:p>
            <w:r>
              <w:rPr>
                <w:rFonts w:ascii="Arial" w:cs="Arial" w:eastAsia="Arial" w:hAnsi="Arial"/>
                <w:color w:val="777777"/>
                <w:sz w:val="17"/>
                <w:szCs w:val="17"/>
              </w:rPr>
              <w:t xml:space="preserve">Oct – Dec</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 w:before="0"/>
            </w:pPr>
            <w:r>
              <w:rPr>
                <w:rFonts w:ascii="Arial" w:cs="Arial" w:eastAsia="Arial" w:hAnsi="Arial"/>
                <w:color w:val="444444"/>
                <w:sz w:val="18"/>
                <w:szCs w:val="18"/>
              </w:rPr>
              <w:t xml:space="preserve">•  Obtain CompTIA Security+ certification</w:t>
            </w:r>
          </w:p>
          <w:p>
            <w:pPr>
              <w:spacing w:after="8" w:before="0"/>
            </w:pPr>
            <w:r>
              <w:rPr>
                <w:rFonts w:ascii="Arial" w:cs="Arial" w:eastAsia="Arial" w:hAnsi="Arial"/>
                <w:color w:val="444444"/>
                <w:sz w:val="18"/>
                <w:szCs w:val="18"/>
              </w:rPr>
              <w:t xml:space="preserve">•  Onboard second client · legal or corporate</w:t>
            </w:r>
          </w:p>
          <w:p>
            <w:pPr>
              <w:spacing w:after="8" w:before="0"/>
            </w:pPr>
            <w:r>
              <w:rPr>
                <w:rFonts w:ascii="Arial" w:cs="Arial" w:eastAsia="Arial" w:hAnsi="Arial"/>
                <w:color w:val="444444"/>
                <w:sz w:val="18"/>
                <w:szCs w:val="18"/>
              </w:rPr>
              <w:t xml:space="preserve">•  Complete Module 2 · relationship and chronology engine</w:t>
            </w:r>
          </w:p>
          <w:p>
            <w:pPr>
              <w:spacing w:after="8" w:before="0"/>
            </w:pPr>
            <w:r>
              <w:rPr>
                <w:rFonts w:ascii="Arial" w:cs="Arial" w:eastAsia="Arial" w:hAnsi="Arial"/>
                <w:color w:val="444444"/>
                <w:sz w:val="18"/>
                <w:szCs w:val="18"/>
              </w:rPr>
              <w:t xml:space="preserve">•  Evaluate transition from Craft Automation day job</w:t>
            </w:r>
          </w:p>
          <w:p>
            <w:pPr>
              <w:spacing w:after="8" w:before="0"/>
            </w:pPr>
            <w:r>
              <w:rPr>
                <w:rFonts w:ascii="Arial" w:cs="Arial" w:eastAsia="Arial" w:hAnsi="Arial"/>
                <w:color w:val="444444"/>
                <w:sz w:val="18"/>
                <w:szCs w:val="18"/>
              </w:rPr>
              <w:t xml:space="preserve">•  Begin CIPP/US certification study</w:t>
            </w:r>
          </w:p>
          <w:p>
            <w:r>
              <w:rPr>
                <w:rFonts w:ascii="Arial" w:cs="Arial" w:eastAsia="Arial" w:hAnsi="Arial"/>
                <w:color w:val="444444"/>
                <w:sz w:val="18"/>
                <w:szCs w:val="18"/>
              </w:rPr>
              <w:t xml:space="preserve">•  Year-end financial review · quarterly estimated tax payment</w:t>
            </w:r>
          </w:p>
        </w:tc>
        <w:tc>
          <w:tcPr>
            <w:tcW w:type="dxa" w:w="1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6B3C"/>
                <w:sz w:val="20"/>
                <w:szCs w:val="20"/>
              </w:rPr>
              <w:t xml:space="preserve">$18,060+</w:t>
            </w:r>
          </w:p>
        </w:tc>
      </w:tr>
      <w:tr>
        <w:tc>
          <w:tcPr>
            <w:tcW w:type="dxa" w:w="1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after="20" w:before="0"/>
            </w:pPr>
            <w:r>
              <w:rPr>
                <w:rFonts w:ascii="Arial" w:cs="Arial" w:eastAsia="Arial" w:hAnsi="Arial"/>
                <w:b/>
                <w:bCs/>
                <w:color w:val="1E6B3C"/>
                <w:sz w:val="20"/>
                <w:szCs w:val="20"/>
              </w:rPr>
              <w:t xml:space="preserve">Q1 2027</w:t>
            </w:r>
          </w:p>
          <w:p>
            <w:r>
              <w:rPr>
                <w:rFonts w:ascii="Arial" w:cs="Arial" w:eastAsia="Arial" w:hAnsi="Arial"/>
                <w:color w:val="777777"/>
                <w:sz w:val="17"/>
                <w:szCs w:val="17"/>
              </w:rPr>
              <w:t xml:space="preserve">Jan – Mar</w:t>
            </w:r>
          </w:p>
        </w:tc>
        <w:tc>
          <w:tcPr>
            <w:tcW w:type="dxa" w:w="576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after="8" w:before="0"/>
            </w:pPr>
            <w:r>
              <w:rPr>
                <w:rFonts w:ascii="Arial" w:cs="Arial" w:eastAsia="Arial" w:hAnsi="Arial"/>
                <w:color w:val="444444"/>
                <w:sz w:val="18"/>
                <w:szCs w:val="18"/>
              </w:rPr>
              <w:t xml:space="preserve">•  Pinteq as primary income source · evaluate Craft Automation arrangement</w:t>
            </w:r>
          </w:p>
          <w:p>
            <w:pPr>
              <w:spacing w:after="8" w:before="0"/>
            </w:pPr>
            <w:r>
              <w:rPr>
                <w:rFonts w:ascii="Arial" w:cs="Arial" w:eastAsia="Arial" w:hAnsi="Arial"/>
                <w:color w:val="444444"/>
                <w:sz w:val="18"/>
                <w:szCs w:val="18"/>
              </w:rPr>
              <w:t xml:space="preserve">•  Build Module 3 · witness intelligence and tagging system</w:t>
            </w:r>
          </w:p>
          <w:p>
            <w:pPr>
              <w:spacing w:after="8" w:before="0"/>
            </w:pPr>
            <w:r>
              <w:rPr>
                <w:rFonts w:ascii="Arial" w:cs="Arial" w:eastAsia="Arial" w:hAnsi="Arial"/>
                <w:color w:val="444444"/>
                <w:sz w:val="18"/>
                <w:szCs w:val="18"/>
              </w:rPr>
              <w:t xml:space="preserve">•  Explore third client relationship</w:t>
            </w:r>
          </w:p>
          <w:p>
            <w:pPr>
              <w:spacing w:after="8" w:before="0"/>
            </w:pPr>
            <w:r>
              <w:rPr>
                <w:rFonts w:ascii="Arial" w:cs="Arial" w:eastAsia="Arial" w:hAnsi="Arial"/>
                <w:color w:val="444444"/>
                <w:sz w:val="18"/>
                <w:szCs w:val="18"/>
              </w:rPr>
              <w:t xml:space="preserve">•  Annual business review · update plan for Year 2</w:t>
            </w:r>
          </w:p>
          <w:p>
            <w:r>
              <w:rPr>
                <w:rFonts w:ascii="Arial" w:cs="Arial" w:eastAsia="Arial" w:hAnsi="Arial"/>
                <w:color w:val="444444"/>
                <w:sz w:val="18"/>
                <w:szCs w:val="18"/>
              </w:rPr>
              <w:t xml:space="preserve">•  Year 1 tax filing · Schedule C · review with accountant</w:t>
            </w:r>
          </w:p>
        </w:tc>
        <w:tc>
          <w:tcPr>
            <w:tcW w:type="dxa" w:w="1800"/>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r>
              <w:rPr>
                <w:rFonts w:ascii="Arial" w:cs="Arial" w:eastAsia="Arial" w:hAnsi="Arial"/>
                <w:b/>
                <w:bCs/>
                <w:color w:val="1E6B3C"/>
                <w:sz w:val="20"/>
                <w:szCs w:val="20"/>
              </w:rPr>
              <w:t xml:space="preserve">$21,000+</w:t>
            </w:r>
          </w:p>
        </w:tc>
      </w:tr>
    </w:tbl>
    <w:p>
      <w:r>
        <w:br/>
      </w:r>
    </w:p>
    <w:p>
      <w:pPr>
        <w:spacing w:after="80" w:before="240"/>
      </w:pPr>
      <w:r>
        <w:rPr>
          <w:rFonts w:ascii="Arial" w:cs="Arial" w:eastAsia="Arial" w:hAnsi="Arial"/>
          <w:b/>
          <w:bCs/>
          <w:color w:val="2E5FA3"/>
          <w:spacing w:val="50"/>
          <w:sz w:val="22"/>
          <w:szCs w:val="22"/>
        </w:rPr>
        <w:t xml:space="preserve">08 · RISK ASSESSMENT</w:t>
      </w:r>
    </w:p>
    <w:p>
      <w:pPr>
        <w:pBdr>
          <w:bottom w:val="single" w:color="2E5FA3" w:sz="4" w:space="1"/>
        </w:pBdr>
        <w:spacing w:after="10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80"/>
        <w:gridCol w:w="2880"/>
      </w:tblGrid>
      <w:tr>
        <w:tc>
          <w:tcPr>
            <w:tcW w:type="dxa" w:w="270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Risk</w:t>
            </w:r>
          </w:p>
        </w:tc>
        <w:tc>
          <w:tcPr>
            <w:tcW w:type="dxa" w:w="378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c>
          <w:tcPr>
            <w:tcW w:type="dxa" w:w="288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Mitigation</w:t>
            </w:r>
          </w:p>
        </w:tc>
      </w:tr>
      <w:tr>
        <w:tc>
          <w:tcPr>
            <w:tcW w:type="dxa" w:w="27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b/>
                <w:bCs/>
                <w:color w:val="92540A"/>
                <w:sz w:val="18"/>
                <w:szCs w:val="18"/>
              </w:rPr>
              <w:t xml:space="preserve">Single client dependency</w:t>
            </w:r>
          </w:p>
        </w:tc>
        <w:tc>
          <w:tcPr>
            <w:tcW w:type="dxa" w:w="37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17"/>
                <w:szCs w:val="17"/>
              </w:rPr>
              <w:t xml:space="preserve">Year 1 revenue heavily weighted toward one legal client. Relationship risk exists.</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17"/>
                <w:szCs w:val="17"/>
              </w:rPr>
              <w:t xml:space="preserve">Craft Automation retainer provides parallel base. Second client target by Q3.</w:t>
            </w:r>
          </w:p>
        </w:tc>
      </w:tr>
      <w:tr>
        <w:tc>
          <w:tcPr>
            <w:tcW w:type="dxa" w:w="27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b/>
                <w:bCs/>
                <w:color w:val="92540A"/>
                <w:sz w:val="18"/>
                <w:szCs w:val="18"/>
              </w:rPr>
              <w:t xml:space="preserve">Income transition risk</w:t>
            </w:r>
          </w:p>
        </w:tc>
        <w:tc>
          <w:tcPr>
            <w:tcW w:type="dxa" w:w="378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color w:val="444444"/>
                <w:sz w:val="17"/>
                <w:szCs w:val="17"/>
              </w:rPr>
              <w:t xml:space="preserve">Moving from W-2 employment to 1099 income involves delayed payment and tax exposure.</w:t>
            </w:r>
          </w:p>
        </w:tc>
        <w:tc>
          <w:tcPr>
            <w:tcW w:type="dxa" w:w="288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color w:val="444444"/>
                <w:sz w:val="17"/>
                <w:szCs w:val="17"/>
              </w:rPr>
              <w:t xml:space="preserve">Day job maintained until 3 consecutive months of proven Pinteq billing. Quarterly tax reserves maintained.</w:t>
            </w:r>
          </w:p>
        </w:tc>
      </w:tr>
      <w:tr>
        <w:tc>
          <w:tcPr>
            <w:tcW w:type="dxa" w:w="2700"/>
            <w:tcBorders>
              <w:top w:val="single" w:color="CCCCCC" w:sz="1"/>
              <w:left w:val="single" w:color="CCCCCC" w:sz="1"/>
              <w:bottom w:val="single" w:color="CCCCCC" w:sz="1"/>
              <w:right w:val="single" w:color="CCCCCC" w:sz="1"/>
            </w:tcBorders>
            <w:shd w:fill="FEE2E2" w:val="clear"/>
            <w:tcMar>
              <w:top w:type="dxa" w:w="80"/>
              <w:left w:type="dxa" w:w="140"/>
              <w:bottom w:type="dxa" w:w="80"/>
              <w:right w:type="dxa" w:w="140"/>
            </w:tcMar>
          </w:tcPr>
          <w:p>
            <w:r>
              <w:rPr>
                <w:rFonts w:ascii="Arial" w:cs="Arial" w:eastAsia="Arial" w:hAnsi="Arial"/>
                <w:b/>
                <w:bCs/>
                <w:color w:val="991B1B"/>
                <w:sz w:val="18"/>
                <w:szCs w:val="18"/>
              </w:rPr>
              <w:t xml:space="preserve">Data security &amp; privilege</w:t>
            </w:r>
          </w:p>
        </w:tc>
        <w:tc>
          <w:tcPr>
            <w:tcW w:type="dxa" w:w="37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17"/>
                <w:szCs w:val="17"/>
              </w:rPr>
              <w:t xml:space="preserve">Handling privileged legal materials and sensitive investigative data creates professional and legal exposure.</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17"/>
                <w:szCs w:val="17"/>
              </w:rPr>
              <w:t xml:space="preserve">Source separation architecture enforced from day one. CompTIA Security+ target. All materials handled under attorney supervision.</w:t>
            </w:r>
          </w:p>
        </w:tc>
      </w:tr>
      <w:tr>
        <w:tc>
          <w:tcPr>
            <w:tcW w:type="dxa" w:w="27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b/>
                <w:bCs/>
                <w:color w:val="92540A"/>
                <w:sz w:val="18"/>
                <w:szCs w:val="18"/>
              </w:rPr>
              <w:t xml:space="preserve">Scope creep</w:t>
            </w:r>
          </w:p>
        </w:tc>
        <w:tc>
          <w:tcPr>
            <w:tcW w:type="dxa" w:w="378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color w:val="444444"/>
                <w:sz w:val="17"/>
                <w:szCs w:val="17"/>
              </w:rPr>
              <w:t xml:space="preserve">Attorney clients tend toward comprehensive thinking. Unbounded scope threatens margin and delivery quality.</w:t>
            </w:r>
          </w:p>
        </w:tc>
        <w:tc>
          <w:tcPr>
            <w:tcW w:type="dxa" w:w="288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color w:val="444444"/>
                <w:sz w:val="17"/>
                <w:szCs w:val="17"/>
              </w:rPr>
              <w:t xml:space="preserve">Written retainer agreements with defined scope. Overage flagged and billed before incurred.</w:t>
            </w:r>
          </w:p>
        </w:tc>
      </w:tr>
    </w:tbl>
    <w:p>
      <w:r>
        <w:br/>
      </w:r>
    </w:p>
    <w:p>
      <w:pPr>
        <w:spacing w:after="80" w:before="240"/>
      </w:pPr>
      <w:r>
        <w:rPr>
          <w:rFonts w:ascii="Arial" w:cs="Arial" w:eastAsia="Arial" w:hAnsi="Arial"/>
          <w:b/>
          <w:bCs/>
          <w:color w:val="2E5FA3"/>
          <w:spacing w:val="50"/>
          <w:sz w:val="22"/>
          <w:szCs w:val="22"/>
        </w:rPr>
        <w:t xml:space="preserve">09 · PROFESSIONAL DEVELOPMENT</w:t>
      </w:r>
    </w:p>
    <w:p>
      <w:pPr>
        <w:pBdr>
          <w:bottom w:val="single" w:color="2E5FA3" w:sz="4" w:space="1"/>
        </w:pBdr>
        <w:spacing w:after="100" w:before="140"/>
      </w:pPr>
    </w:p>
    <w:p>
      <w:pPr>
        <w:spacing w:after="60" w:before="40"/>
      </w:pPr>
      <w:r>
        <w:rPr>
          <w:rFonts w:ascii="Arial" w:cs="Arial" w:eastAsia="Arial" w:hAnsi="Arial"/>
          <w:i w:val="false"/>
          <w:iCs w:val="false"/>
          <w:color w:val="333333"/>
          <w:sz w:val="20"/>
          <w:szCs w:val="20"/>
        </w:rPr>
        <w:t xml:space="preserve">The following credentials and educational investments are prioritized in Year 1 to strengthen Pinteq’s service quality, market positioning, and licensure pathway.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c>
          <w:tcPr>
            <w:tcW w:type="dxa" w:w="312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Credential / Resource</w:t>
            </w:r>
          </w:p>
        </w:tc>
        <w:tc>
          <w:tcPr>
            <w:tcW w:type="dxa" w:w="312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Purpose</w:t>
            </w:r>
          </w:p>
        </w:tc>
        <w:tc>
          <w:tcPr>
            <w:tcW w:type="dxa" w:w="156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Cost</w:t>
            </w:r>
          </w:p>
        </w:tc>
        <w:tc>
          <w:tcPr>
            <w:tcW w:type="dxa" w:w="1560"/>
            <w:tcBorders>
              <w:top w:val="single" w:color="CCCCCC" w:sz="1"/>
              <w:left w:val="single" w:color="CCCCCC" w:sz="1"/>
              <w:bottom w:val="single" w:color="CCCCCC" w:sz="1"/>
              <w:right w:val="single" w:color="CCCCCC" w:sz="1"/>
            </w:tcBorders>
            <w:shd w:fill="0A0A14" w:val="clear"/>
            <w:tcMar>
              <w:top w:type="dxa" w:w="80"/>
              <w:left w:type="dxa" w:w="140"/>
              <w:bottom w:type="dxa" w:w="80"/>
              <w:right w:type="dxa" w:w="140"/>
            </w:tcMar>
          </w:tcPr>
          <w:p>
            <w:r>
              <w:rPr>
                <w:rFonts w:ascii="Arial" w:cs="Arial" w:eastAsia="Arial" w:hAnsi="Arial"/>
                <w:b/>
                <w:bCs/>
                <w:color w:val="FFFFFF"/>
                <w:sz w:val="19"/>
                <w:szCs w:val="19"/>
              </w:rPr>
              <w:t xml:space="preserve">Target</w:t>
            </w:r>
          </w:p>
        </w:tc>
      </w:tr>
      <w:tr>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0A0A14"/>
                <w:sz w:val="19"/>
                <w:szCs w:val="19"/>
              </w:rPr>
              <w:t xml:space="preserve">CompTIA Security+</w:t>
            </w:r>
          </w:p>
        </w:tc>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Data security competency · client trust signal</w:t>
            </w:r>
          </w:p>
        </w:tc>
        <w:tc>
          <w:tcPr>
            <w:tcW w:type="dxa" w:w="15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~$400</w:t>
            </w:r>
          </w:p>
        </w:tc>
        <w:tc>
          <w:tcPr>
            <w:tcW w:type="dxa" w:w="15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1E6B3C"/>
                <w:sz w:val="19"/>
                <w:szCs w:val="19"/>
              </w:rPr>
              <w:t xml:space="preserve">Q4 2026</w:t>
            </w:r>
          </w:p>
        </w:tc>
      </w:tr>
      <w:tr>
        <w:tc>
          <w:tcPr>
            <w:tcW w:type="dxa" w:w="312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bCs/>
                <w:color w:val="0A0A14"/>
                <w:sz w:val="19"/>
                <w:szCs w:val="19"/>
              </w:rPr>
              <w:t xml:space="preserve">OSINT Framework proficiency</w:t>
            </w:r>
          </w:p>
        </w:tc>
        <w:tc>
          <w:tcPr>
            <w:tcW w:type="dxa" w:w="312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Investigative research tooling · core service quality</w:t>
            </w:r>
          </w:p>
        </w:tc>
        <w:tc>
          <w:tcPr>
            <w:tcW w:type="dxa" w:w="156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Free</w:t>
            </w:r>
          </w:p>
        </w:tc>
        <w:tc>
          <w:tcPr>
            <w:tcW w:type="dxa" w:w="156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Q2–Q3 2026</w:t>
            </w:r>
          </w:p>
        </w:tc>
      </w:tr>
      <w:tr>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0A0A14"/>
                <w:sz w:val="19"/>
                <w:szCs w:val="19"/>
              </w:rPr>
              <w:t xml:space="preserve">Heuer · Psychology of Intelligence Analysis</w:t>
            </w:r>
          </w:p>
        </w:tc>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Analytical rigor · bias reduction in investigative reporting</w:t>
            </w:r>
          </w:p>
        </w:tc>
        <w:tc>
          <w:tcPr>
            <w:tcW w:type="dxa" w:w="15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Free</w:t>
            </w:r>
          </w:p>
        </w:tc>
        <w:tc>
          <w:tcPr>
            <w:tcW w:type="dxa" w:w="15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Q2 2026</w:t>
            </w:r>
          </w:p>
        </w:tc>
      </w:tr>
      <w:tr>
        <w:tc>
          <w:tcPr>
            <w:tcW w:type="dxa" w:w="312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bCs/>
                <w:color w:val="0A0A14"/>
                <w:sz w:val="19"/>
                <w:szCs w:val="19"/>
              </w:rPr>
              <w:t xml:space="preserve">Maltego Community Edition</w:t>
            </w:r>
          </w:p>
        </w:tc>
        <w:tc>
          <w:tcPr>
            <w:tcW w:type="dxa" w:w="312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Relationship and network mapping · visual intelligence</w:t>
            </w:r>
          </w:p>
        </w:tc>
        <w:tc>
          <w:tcPr>
            <w:tcW w:type="dxa" w:w="156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Free</w:t>
            </w:r>
          </w:p>
        </w:tc>
        <w:tc>
          <w:tcPr>
            <w:tcW w:type="dxa" w:w="156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Q3 2026</w:t>
            </w:r>
          </w:p>
        </w:tc>
      </w:tr>
      <w:tr>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bCs/>
                <w:color w:val="0A0A14"/>
                <w:sz w:val="19"/>
                <w:szCs w:val="19"/>
              </w:rPr>
              <w:t xml:space="preserve">Michigan PI hours documentation</w:t>
            </w:r>
          </w:p>
        </w:tc>
        <w:tc>
          <w:tcPr>
            <w:tcW w:type="dxa" w:w="312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Licensing pathway · 3-year qualifying period under attorney</w:t>
            </w:r>
          </w:p>
        </w:tc>
        <w:tc>
          <w:tcPr>
            <w:tcW w:type="dxa" w:w="15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Ongoing</w:t>
            </w:r>
          </w:p>
        </w:tc>
        <w:tc>
          <w:tcPr>
            <w:tcW w:type="dxa" w:w="1560"/>
            <w:tcBorders>
              <w:top w:val="single" w:color="CCCCCC" w:sz="1"/>
              <w:left w:val="single" w:color="CCCCCC" w:sz="1"/>
              <w:bottom w:val="single" w:color="CCCCCC" w:sz="1"/>
              <w:right w:val="single" w:color="CCCCCC" w:sz="1"/>
            </w:tcBorders>
            <w:shd w:fill="EEF4FD" w:val="clear"/>
            <w:tcMar>
              <w:top w:type="dxa" w:w="80"/>
              <w:left w:type="dxa" w:w="140"/>
              <w:bottom w:type="dxa" w:w="80"/>
              <w:right w:type="dxa" w:w="140"/>
            </w:tcMar>
          </w:tcPr>
          <w:p>
            <w:r>
              <w:rPr>
                <w:rFonts w:ascii="Arial" w:cs="Arial" w:eastAsia="Arial" w:hAnsi="Arial"/>
                <w:b w:val="false"/>
                <w:bCs w:val="false"/>
                <w:color w:val="333333"/>
                <w:sz w:val="19"/>
                <w:szCs w:val="19"/>
              </w:rPr>
              <w:t xml:space="preserve">2026–2029</w:t>
            </w:r>
          </w:p>
        </w:tc>
      </w:tr>
      <w:tr>
        <w:tc>
          <w:tcPr>
            <w:tcW w:type="dxa" w:w="312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bCs/>
                <w:color w:val="0A0A14"/>
                <w:sz w:val="19"/>
                <w:szCs w:val="19"/>
              </w:rPr>
              <w:t xml:space="preserve">CIPP/US · Privacy certification</w:t>
            </w:r>
          </w:p>
        </w:tc>
        <w:tc>
          <w:tcPr>
            <w:tcW w:type="dxa" w:w="312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Data privacy law fluency · relevant to all client data work</w:t>
            </w:r>
          </w:p>
        </w:tc>
        <w:tc>
          <w:tcPr>
            <w:tcW w:type="dxa" w:w="156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~$550</w:t>
            </w:r>
          </w:p>
        </w:tc>
        <w:tc>
          <w:tcPr>
            <w:tcW w:type="dxa" w:w="1560"/>
            <w:tcBorders>
              <w:top w:val="single" w:color="CCCCCC" w:sz="1"/>
              <w:left w:val="single" w:color="CCCCCC" w:sz="1"/>
              <w:bottom w:val="single" w:color="CCCCCC" w:sz="1"/>
              <w:right w:val="single" w:color="CCCCCC" w:sz="1"/>
            </w:tcBorders>
            <w:shd w:fill="F4F4F6" w:val="clear"/>
            <w:tcMar>
              <w:top w:type="dxa" w:w="80"/>
              <w:left w:type="dxa" w:w="140"/>
              <w:bottom w:type="dxa" w:w="80"/>
              <w:right w:type="dxa" w:w="140"/>
            </w:tcMar>
          </w:tcPr>
          <w:p>
            <w:r>
              <w:rPr>
                <w:rFonts w:ascii="Arial" w:cs="Arial" w:eastAsia="Arial" w:hAnsi="Arial"/>
                <w:b w:val="false"/>
                <w:bCs w:val="false"/>
                <w:color w:val="333333"/>
                <w:sz w:val="19"/>
                <w:szCs w:val="19"/>
              </w:rPr>
              <w:t xml:space="preserve">Q1 2027</w:t>
            </w:r>
          </w:p>
        </w:tc>
      </w:tr>
    </w:tbl>
    <w:p>
      <w:r>
        <w:br/>
      </w:r>
    </w:p>
    <w:p>
      <w:pPr>
        <w:spacing w:after="80" w:before="240"/>
      </w:pPr>
      <w:r>
        <w:rPr>
          <w:rFonts w:ascii="Arial" w:cs="Arial" w:eastAsia="Arial" w:hAnsi="Arial"/>
          <w:b/>
          <w:bCs/>
          <w:color w:val="2E5FA3"/>
          <w:spacing w:val="50"/>
          <w:sz w:val="22"/>
          <w:szCs w:val="22"/>
        </w:rPr>
        <w:t xml:space="preserve">10 · SUMMARY &amp; COMMITMENT</w:t>
      </w:r>
    </w:p>
    <w:p>
      <w:pPr>
        <w:pBdr>
          <w:bottom w:val="single" w:color="2E5FA3" w:sz="4" w:space="1"/>
        </w:pBdr>
        <w:spacing w:after="100" w:before="140"/>
      </w:pPr>
    </w:p>
    <w:p>
      <w:pPr>
        <w:spacing w:after="60" w:before="40"/>
      </w:pPr>
      <w:r>
        <w:rPr>
          <w:rFonts w:ascii="Arial" w:cs="Arial" w:eastAsia="Arial" w:hAnsi="Arial"/>
          <w:i w:val="false"/>
          <w:iCs w:val="false"/>
          <w:color w:val="333333"/>
          <w:sz w:val="20"/>
          <w:szCs w:val="20"/>
        </w:rPr>
        <w:t xml:space="preserve">Pinteq LLC launches in May 2026 with a clear service model, an active anchor client, a parallel income arrangement, and a defined 12-month roadmap. The firm is structured to grow without overextension — one precise engagement at a time, producing deliverables that demonstrate the value of the work better than any proposal could.</w:t>
      </w:r>
    </w:p>
    <w:p>
      <w:pPr>
        <w:spacing w:after="0" w:before="80"/>
      </w:pPr>
      <w:r>
        <w:t xml:space="preserve"/>
      </w:r>
    </w:p>
    <w:p>
      <w:pPr>
        <w:spacing w:after="60" w:before="40"/>
      </w:pPr>
      <w:r>
        <w:rPr>
          <w:rFonts w:ascii="Arial" w:cs="Arial" w:eastAsia="Arial" w:hAnsi="Arial"/>
          <w:i w:val="false"/>
          <w:iCs w:val="false"/>
          <w:color w:val="333333"/>
          <w:sz w:val="20"/>
          <w:szCs w:val="20"/>
        </w:rPr>
        <w:t xml:space="preserve">The art of information is not a tagline. It is a standard. Every report, every system, every analytical product Pinteq produces is held to the question: does this give the client something they could not have produced themselves, in a form they can use immediately? When the answer is yes, the work is done.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8"/>
              <w:left w:val="none" w:color="FFFFFF" w:sz="0"/>
              <w:bottom w:val="none" w:color="FFFFFF" w:sz="0"/>
              <w:right w:val="none" w:color="FFFFFF" w:sz="0"/>
            </w:tcBorders>
            <w:shd w:fill="F4F4F6" w:val="clear"/>
            <w:tcMar>
              <w:top w:type="dxa" w:w="200"/>
              <w:left w:type="dxa" w:w="240"/>
              <w:bottom w:type="dxa" w:w="200"/>
              <w:right w:type="dxa" w:w="240"/>
            </w:tcMar>
          </w:tcPr>
          <w:p>
            <w:pPr>
              <w:spacing w:after="80" w:before="0"/>
            </w:pPr>
            <w:r>
              <w:rPr>
                <w:rFonts w:ascii="Courier New" w:cs="Courier New" w:eastAsia="Courier New" w:hAnsi="Courier New"/>
                <w:color w:val="2E5FA3"/>
                <w:spacing w:val="60"/>
                <w:sz w:val="28"/>
                <w:szCs w:val="28"/>
              </w:rPr>
              <w:t xml:space="preserve">| pinteq |</w:t>
            </w:r>
          </w:p>
          <w:p>
            <w:pPr>
              <w:spacing w:after="60" w:before="0"/>
            </w:pPr>
            <w:r>
              <w:rPr>
                <w:rFonts w:ascii="Georgia" w:cs="Georgia" w:eastAsia="Georgia" w:hAnsi="Georgia"/>
                <w:i/>
                <w:iCs/>
                <w:color w:val="8a6a2a"/>
                <w:sz w:val="20"/>
                <w:szCs w:val="20"/>
              </w:rPr>
              <w:t xml:space="preserve">the art of information</w:t>
            </w:r>
          </w:p>
          <w:p>
            <w:pPr>
              <w:spacing w:after="100" w:before="0"/>
            </w:pPr>
            <w:r>
              <w:rPr>
                <w:rFonts w:ascii="Arial" w:cs="Arial" w:eastAsia="Arial" w:hAnsi="Arial"/>
                <w:color w:val="888888"/>
                <w:spacing w:val="30"/>
                <w:sz w:val="16"/>
                <w:szCs w:val="16"/>
              </w:rPr>
              <w:t xml:space="preserve">Operational Intelligence &amp; Workflow Systems</w:t>
            </w:r>
          </w:p>
          <w:p>
            <w:pPr>
              <w:spacing w:after="40" w:before="0"/>
            </w:pPr>
            <w:r>
              <w:rPr>
                <w:rFonts w:ascii="Arial" w:cs="Arial" w:eastAsia="Arial" w:hAnsi="Arial"/>
                <w:color w:val="555555"/>
                <w:sz w:val="18"/>
                <w:szCs w:val="18"/>
              </w:rPr>
              <w:t xml:space="preserve">Pinteq LLC · West Michigan · Founded May 2026</w:t>
            </w:r>
          </w:p>
          <w:p>
            <w:r>
              <w:rPr>
                <w:rFonts w:ascii="Arial" w:cs="Arial" w:eastAsia="Arial" w:hAnsi="Arial"/>
                <w:color w:val="777777"/>
                <w:sz w:val="18"/>
                <w:szCs w:val="18"/>
              </w:rPr>
              <w:t xml:space="preserve">matt@pinteq.co · pinteq.co · EIN 42-2274254</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0A1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2026-05-01T16:53:37.354Z</dcterms:created>
  <dcterms:modified xsi:type="dcterms:W3CDTF">2026-05-01T16:53:37.355Z</dcterms:modified>
</cp:coreProperties>
</file>

<file path=docProps/custom.xml><?xml version="1.0" encoding="utf-8"?>
<Properties xmlns="http://schemas.openxmlformats.org/officeDocument/2006/custom-properties" xmlns:vt="http://schemas.openxmlformats.org/officeDocument/2006/docPropsVTypes"/>
</file>