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Borders>
              <w:top w:val="none" w:color="FFFFFF" w:sz="0"/>
              <w:left w:val="none" w:color="FFFFFF" w:sz="0"/>
              <w:bottom w:val="none" w:color="FFFFFF" w:sz="0"/>
              <w:right w:val="none" w:color="FFFFFF" w:sz="0"/>
            </w:tcBorders>
            <w:shd w:fill="0A0A14" w:val="clear"/>
            <w:tcMar>
              <w:top w:type="dxa" w:w="280"/>
              <w:left w:type="dxa" w:w="400"/>
              <w:bottom w:type="dxa" w:w="280"/>
              <w:right w:type="dxa" w:w="400"/>
            </w:tcMar>
          </w:tcPr>
          <w:p>
            <w:pPr>
              <w:spacing w:after="40" w:before="0"/>
            </w:pPr>
            <w:r>
              <w:rPr>
                <w:rFonts w:ascii="Courier New" w:cs="Courier New" w:eastAsia="Courier New" w:hAnsi="Courier New"/>
                <w:color w:val="FFFFFF"/>
                <w:spacing w:val="60"/>
                <w:sz w:val="40"/>
                <w:szCs w:val="40"/>
              </w:rPr>
              <w:t xml:space="preserve">| pinteq |</w:t>
            </w:r>
          </w:p>
          <w:p>
            <w:pPr>
              <w:spacing w:after="20" w:before="0"/>
            </w:pPr>
            <w:r>
              <w:rPr>
                <w:rFonts w:ascii="Georgia" w:cs="Georgia" w:eastAsia="Georgia" w:hAnsi="Georgia"/>
                <w:i/>
                <w:iCs/>
                <w:color w:val="C8A96E"/>
                <w:sz w:val="19"/>
                <w:szCs w:val="19"/>
              </w:rPr>
              <w:t xml:space="preserve">the art of information</w:t>
            </w:r>
          </w:p>
          <w:p>
            <w:r>
              <w:rPr>
                <w:rFonts w:ascii="Arial" w:cs="Arial" w:eastAsia="Arial" w:hAnsi="Arial"/>
                <w:color w:val="5a7aaa"/>
                <w:spacing w:val="40"/>
                <w:sz w:val="14"/>
                <w:szCs w:val="14"/>
              </w:rPr>
              <w:t xml:space="preserve">OPERATIONAL INTELLIGENCE &amp; WORKFLOW SYSTEMS</w:t>
            </w:r>
          </w:p>
        </w:tc>
        <w:tc>
          <w:tcPr>
            <w:tcBorders>
              <w:top w:val="none" w:color="FFFFFF" w:sz="0"/>
              <w:left w:val="none" w:color="FFFFFF" w:sz="0"/>
              <w:bottom w:val="none" w:color="FFFFFF" w:sz="0"/>
              <w:right w:val="none" w:color="FFFFFF" w:sz="0"/>
            </w:tcBorders>
            <w:shd w:fill="0A0A14" w:val="clear"/>
            <w:tcMar>
              <w:top w:type="dxa" w:w="280"/>
              <w:left w:type="dxa" w:w="200"/>
              <w:bottom w:type="dxa" w:w="280"/>
              <w:right w:type="dxa" w:w="400"/>
            </w:tcMar>
            <w:vAlign w:val="bottom"/>
          </w:tcPr>
          <w:p>
            <w:pPr>
              <w:spacing w:after="20" w:before="0"/>
              <w:jc w:val="right"/>
            </w:pPr>
            <w:r>
              <w:rPr>
                <w:rFonts w:ascii="Arial" w:cs="Arial" w:eastAsia="Arial" w:hAnsi="Arial"/>
                <w:b/>
                <w:bCs/>
                <w:color w:val="FFFFFF"/>
                <w:sz w:val="20"/>
                <w:szCs w:val="20"/>
              </w:rPr>
              <w:t xml:space="preserve">Professional Services Proposal</w:t>
            </w:r>
          </w:p>
          <w:p>
            <w:pPr>
              <w:spacing w:after="20" w:before="0"/>
              <w:jc w:val="right"/>
            </w:pPr>
            <w:r>
              <w:rPr>
                <w:rFonts w:ascii="Arial" w:cs="Arial" w:eastAsia="Arial" w:hAnsi="Arial"/>
                <w:color w:val="8aaad4"/>
                <w:sz w:val="18"/>
                <w:szCs w:val="18"/>
              </w:rPr>
              <w:t xml:space="preserve">May 2026</w:t>
            </w:r>
          </w:p>
          <w:p>
            <w:pPr>
              <w:jc w:val="right"/>
            </w:pPr>
            <w:r>
              <w:rPr>
                <w:rFonts w:ascii="Arial" w:cs="Arial" w:eastAsia="Arial" w:hAnsi="Arial"/>
                <w:color w:val="5a7aaa"/>
                <w:sz w:val="17"/>
                <w:szCs w:val="17"/>
              </w:rPr>
              <w:t xml:space="preserve">Pinteq LLC · matt@pinteq.co</w:t>
            </w:r>
          </w:p>
        </w:tc>
      </w:tr>
    </w:tbl>
    <w:p>
      <w:pPr>
        <w:spacing w:after="0" w:before="140"/>
      </w:pPr>
      <w:r>
        <w:t xml:space="preserve"/>
      </w:r>
    </w:p>
    <w:p>
      <w:pPr>
        <w:spacing w:after="80" w:before="220"/>
      </w:pPr>
      <w:r>
        <w:rPr>
          <w:rFonts w:ascii="Arial" w:cs="Arial" w:eastAsia="Arial" w:hAnsi="Arial"/>
          <w:b/>
          <w:bCs/>
          <w:color w:val="2E5FA3"/>
          <w:spacing w:val="50"/>
          <w:sz w:val="19"/>
          <w:szCs w:val="19"/>
        </w:rPr>
        <w:t xml:space="preserve">PARTIES</w:t>
      </w:r>
    </w:p>
    <w:p>
      <w:pPr>
        <w:pBdr>
          <w:bottom w:val="single" w:color="2E5FA3" w:sz="4" w:space="1"/>
        </w:pBd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pPr>
              <w:spacing w:after="16" w:before="0"/>
            </w:pPr>
            <w:r>
              <w:rPr>
                <w:rFonts w:ascii="Arial" w:cs="Arial" w:eastAsia="Arial" w:hAnsi="Arial"/>
                <w:color w:val="777777"/>
                <w:sz w:val="17"/>
                <w:szCs w:val="17"/>
              </w:rPr>
              <w:t xml:space="preserve">Service provider</w:t>
            </w:r>
          </w:p>
          <w:p>
            <w:r>
              <w:rPr>
                <w:rFonts w:ascii="Arial" w:cs="Arial" w:eastAsia="Arial" w:hAnsi="Arial"/>
                <w:b/>
                <w:bCs/>
                <w:color w:val="0A0A14"/>
                <w:sz w:val="20"/>
                <w:szCs w:val="20"/>
              </w:rPr>
              <w:t xml:space="preserve">Pinteq LLC · Matt [Last Name], Principal
matt@pinteq.co · pinteq.co · EIN 42-2274254</w:t>
            </w:r>
          </w:p>
        </w:tc>
        <w:tc>
          <w:tcPr>
            <w:tcW w:type="dxa" w:w="468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pPr>
              <w:spacing w:after="16" w:before="0"/>
            </w:pPr>
            <w:r>
              <w:rPr>
                <w:rFonts w:ascii="Arial" w:cs="Arial" w:eastAsia="Arial" w:hAnsi="Arial"/>
                <w:color w:val="777777"/>
                <w:sz w:val="17"/>
                <w:szCs w:val="17"/>
              </w:rPr>
              <w:t xml:space="preserve">Client</w:t>
            </w:r>
          </w:p>
          <w:p>
            <w:r>
              <w:rPr>
                <w:rFonts w:ascii="Arial" w:cs="Arial" w:eastAsia="Arial" w:hAnsi="Arial"/>
                <w:b/>
                <w:bCs/>
                <w:color w:val="0A0A14"/>
                <w:sz w:val="20"/>
                <w:szCs w:val="20"/>
              </w:rPr>
              <w:t xml:space="preserve">The Law Office of Charles M. Ayres
Charles M. Ayres, Attorney at Law
West Michigan, Michigan</w:t>
            </w:r>
          </w:p>
        </w:tc>
      </w:tr>
    </w:tbl>
    <w:p>
      <w:pPr>
        <w:spacing w:after="0" w:before="120"/>
      </w:pPr>
      <w:r>
        <w:t xml:space="preserve"/>
      </w:r>
    </w:p>
    <w:p>
      <w:pPr>
        <w:spacing w:after="80" w:before="220"/>
      </w:pPr>
      <w:r>
        <w:rPr>
          <w:rFonts w:ascii="Arial" w:cs="Arial" w:eastAsia="Arial" w:hAnsi="Arial"/>
          <w:b/>
          <w:bCs/>
          <w:color w:val="2E5FA3"/>
          <w:spacing w:val="50"/>
          <w:sz w:val="19"/>
          <w:szCs w:val="19"/>
        </w:rPr>
        <w:t xml:space="preserve">SERVICES &amp; DELIVERABLES</w:t>
      </w:r>
    </w:p>
    <w:p>
      <w:pPr>
        <w:pBdr>
          <w:bottom w:val="single" w:color="2E5FA3" w:sz="4" w:space="1"/>
        </w:pBdr>
        <w:spacing w:after="100" w:before="120"/>
      </w:pPr>
    </w:p>
    <w:p>
      <w:pPr>
        <w:spacing w:after="60" w:before="40"/>
      </w:pPr>
      <w:r>
        <w:rPr>
          <w:rFonts w:ascii="Arial" w:cs="Arial" w:eastAsia="Arial" w:hAnsi="Arial"/>
          <w:i w:val="false"/>
          <w:iCs w:val="false"/>
          <w:color w:val="333333"/>
          <w:sz w:val="20"/>
          <w:szCs w:val="20"/>
        </w:rPr>
        <w:t xml:space="preserve">Pinteq will provide the following services under this engagement. All work is performed by the principal. Every deliverable is a finished product — not a recommendation or a report of findings requiring further action by the client.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gridCol w:w="2160"/>
      </w:tblGrid>
      <w:tr>
        <w:tc>
          <w:tcPr>
            <w:tcW w:type="dxa" w:w="216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8"/>
                <w:szCs w:val="18"/>
              </w:rPr>
              <w:t xml:space="preserve">Service line</w:t>
            </w:r>
          </w:p>
        </w:tc>
        <w:tc>
          <w:tcPr>
            <w:tcW w:type="dxa" w:w="504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c>
          <w:tcPr>
            <w:tcW w:type="dxa" w:w="216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8"/>
                <w:szCs w:val="18"/>
              </w:rPr>
              <w:t xml:space="preserve">Deliverable format</w:t>
            </w:r>
          </w:p>
        </w:tc>
      </w:tr>
      <w:tr>
        <w:tc>
          <w:tcPr>
            <w:tcW w:type="dxa" w:w="21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2E5FA3"/>
                <w:sz w:val="19"/>
                <w:szCs w:val="19"/>
              </w:rPr>
              <w:t xml:space="preserve">Investigative intelligence</w:t>
            </w:r>
          </w:p>
        </w:tc>
        <w:tc>
          <w:tcPr>
            <w:tcW w:type="dxa" w:w="50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Open source research, public records, digital footprint analysis, subject profiling, relationship and network mapping. Criminal, corporate, and personal investigation contexts.</w:t>
            </w:r>
          </w:p>
        </w:tc>
        <w:tc>
          <w:tcPr>
            <w:tcW w:type="dxa" w:w="21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555555"/>
                <w:sz w:val="19"/>
                <w:szCs w:val="19"/>
              </w:rPr>
              <w:t xml:space="preserve">Structured analytical reports · subject profiles · network maps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2E5FA3"/>
                <w:sz w:val="19"/>
                <w:szCs w:val="19"/>
              </w:rPr>
              <w:t xml:space="preserve">Systems &amp; software</w:t>
            </w:r>
          </w:p>
        </w:tc>
        <w:tc>
          <w:tcPr>
            <w:tcW w:type="dxa" w:w="50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Custom intake pipelines, document normalization, database architecture, application development, Smokeball API integration, and ongoing system administration.</w:t>
            </w:r>
          </w:p>
        </w:tc>
        <w:tc>
          <w:tcPr>
            <w:tcW w:type="dxa" w:w="216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555555"/>
                <w:sz w:val="19"/>
                <w:szCs w:val="19"/>
              </w:rPr>
              <w:t xml:space="preserve">Working software · configured systems · documented infrastructure</w:t>
            </w:r>
          </w:p>
        </w:tc>
      </w:tr>
      <w:tr>
        <w:tc>
          <w:tcPr>
            <w:tcW w:type="dxa" w:w="21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2E5FA3"/>
                <w:sz w:val="19"/>
                <w:szCs w:val="19"/>
              </w:rPr>
              <w:t xml:space="preserve">Case analysis &amp; reporting</w:t>
            </w:r>
          </w:p>
        </w:tc>
        <w:tc>
          <w:tcPr>
            <w:tcW w:type="dxa" w:w="50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Witness intelligence briefs, timeline reconstruction, prosecution theory mapping, evidence gap analysis, chronology construction, and trial preparation support.</w:t>
            </w:r>
          </w:p>
        </w:tc>
        <w:tc>
          <w:tcPr>
            <w:tcW w:type="dxa" w:w="21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555555"/>
                <w:sz w:val="19"/>
                <w:szCs w:val="19"/>
              </w:rPr>
              <w:t xml:space="preserve">B4 witness briefs · case summaries · analytical reports</w:t>
            </w:r>
          </w:p>
        </w:tc>
      </w:tr>
    </w:tbl>
    <w:p>
      <w:pPr>
        <w:spacing w:after="0" w:before="120"/>
      </w:pPr>
      <w:r>
        <w:t xml:space="preserve"/>
      </w:r>
    </w:p>
    <w:p>
      <w:pPr>
        <w:spacing w:after="80" w:before="220"/>
      </w:pPr>
      <w:r>
        <w:rPr>
          <w:rFonts w:ascii="Arial" w:cs="Arial" w:eastAsia="Arial" w:hAnsi="Arial"/>
          <w:b/>
          <w:bCs/>
          <w:color w:val="2E5FA3"/>
          <w:spacing w:val="50"/>
          <w:sz w:val="19"/>
          <w:szCs w:val="19"/>
        </w:rPr>
        <w:t xml:space="preserve">ENGAGEMENT STRUCTURE &amp; RATES</w:t>
      </w:r>
    </w:p>
    <w:p>
      <w:pPr>
        <w:pBdr>
          <w:bottom w:val="single" w:color="2E5FA3" w:sz="4" w:space="1"/>
        </w:pBd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A0A14" w:val="clear"/>
            <w:tcMar>
              <w:top w:type="dxa" w:w="120"/>
              <w:left w:type="dxa" w:w="200"/>
              <w:bottom w:type="dxa" w:w="120"/>
              <w:right w:type="dxa" w:w="200"/>
            </w:tcMar>
          </w:tcPr>
          <w:p>
            <w:pPr>
              <w:spacing w:after="20" w:before="0"/>
            </w:pPr>
            <w:r>
              <w:rPr>
                <w:rFonts w:ascii="Arial" w:cs="Arial" w:eastAsia="Arial" w:hAnsi="Arial"/>
                <w:b/>
                <w:bCs/>
                <w:color w:val="FFFFFF"/>
                <w:sz w:val="20"/>
                <w:szCs w:val="20"/>
              </w:rPr>
              <w:t xml:space="preserve">Monthly retainer</w:t>
            </w:r>
          </w:p>
          <w:p>
            <w:pPr>
              <w:spacing w:after="8" w:before="0"/>
            </w:pPr>
            <w:r>
              <w:rPr>
                <w:rFonts w:ascii="Arial" w:cs="Arial" w:eastAsia="Arial" w:hAnsi="Arial"/>
                <w:b/>
                <w:bCs/>
                <w:color w:val="C8A96E"/>
                <w:sz w:val="26"/>
                <w:szCs w:val="26"/>
              </w:rPr>
              <w:t xml:space="preserve">$_______ / month</w:t>
            </w:r>
          </w:p>
          <w:p>
            <w:r>
              <w:rPr>
                <w:rFonts w:ascii="Arial" w:cs="Arial" w:eastAsia="Arial" w:hAnsi="Arial"/>
                <w:color w:val="8aaad4"/>
                <w:sz w:val="17"/>
                <w:szCs w:val="17"/>
              </w:rPr>
              <w:t xml:space="preserve">Covers 30 hrs across all three service lines. Agreed scope defined in the first engagement section on page 2.</w:t>
            </w:r>
          </w:p>
        </w:tc>
        <w:tc>
          <w:tcPr>
            <w:tcW w:type="dxa" w:w="3120"/>
            <w:tcBorders>
              <w:top w:val="single" w:color="CCCCCC" w:sz="1"/>
              <w:left w:val="single" w:color="CCCCCC" w:sz="1"/>
              <w:bottom w:val="single" w:color="CCCCCC" w:sz="1"/>
              <w:right w:val="single" w:color="CCCCCC" w:sz="1"/>
            </w:tcBorders>
            <w:shd w:fill="EEF4FD" w:val="clear"/>
            <w:tcMar>
              <w:top w:type="dxa" w:w="120"/>
              <w:left w:type="dxa" w:w="200"/>
              <w:bottom w:type="dxa" w:w="120"/>
              <w:right w:type="dxa" w:w="200"/>
            </w:tcMar>
          </w:tcPr>
          <w:p>
            <w:pPr>
              <w:spacing w:after="20" w:before="0"/>
            </w:pPr>
            <w:r>
              <w:rPr>
                <w:rFonts w:ascii="Arial" w:cs="Arial" w:eastAsia="Arial" w:hAnsi="Arial"/>
                <w:b/>
                <w:bCs/>
                <w:color w:val="0A0A14"/>
                <w:sz w:val="19"/>
                <w:szCs w:val="19"/>
              </w:rPr>
              <w:t xml:space="preserve">Intelligence &amp; analysis</w:t>
            </w:r>
          </w:p>
          <w:p>
            <w:pPr>
              <w:spacing w:after="8" w:before="0"/>
            </w:pPr>
            <w:r>
              <w:rPr>
                <w:rFonts w:ascii="Arial" w:cs="Arial" w:eastAsia="Arial" w:hAnsi="Arial"/>
                <w:b/>
                <w:bCs/>
                <w:color w:val="2E5FA3"/>
                <w:sz w:val="24"/>
                <w:szCs w:val="24"/>
              </w:rPr>
              <w:t xml:space="preserve">$75 / hour</w:t>
            </w:r>
          </w:p>
          <w:p>
            <w:r>
              <w:rPr>
                <w:rFonts w:ascii="Arial" w:cs="Arial" w:eastAsia="Arial" w:hAnsi="Arial"/>
                <w:color w:val="555555"/>
                <w:sz w:val="17"/>
                <w:szCs w:val="17"/>
              </w:rPr>
              <w:t xml:space="preserve">OSINT research · subject profiling · case analysis · reporting. Billed for hours beyond retainer scope.</w:t>
            </w:r>
          </w:p>
        </w:tc>
        <w:tc>
          <w:tcPr>
            <w:tcW w:type="dxa" w:w="3120"/>
            <w:tcBorders>
              <w:top w:val="single" w:color="CCCCCC" w:sz="1"/>
              <w:left w:val="single" w:color="CCCCCC" w:sz="1"/>
              <w:bottom w:val="single" w:color="CCCCCC" w:sz="1"/>
              <w:right w:val="single" w:color="CCCCCC" w:sz="1"/>
            </w:tcBorders>
            <w:shd w:fill="EEF4FD" w:val="clear"/>
            <w:tcMar>
              <w:top w:type="dxa" w:w="120"/>
              <w:left w:type="dxa" w:w="200"/>
              <w:bottom w:type="dxa" w:w="120"/>
              <w:right w:type="dxa" w:w="200"/>
            </w:tcMar>
          </w:tcPr>
          <w:p>
            <w:pPr>
              <w:spacing w:after="20" w:before="0"/>
            </w:pPr>
            <w:r>
              <w:rPr>
                <w:rFonts w:ascii="Arial" w:cs="Arial" w:eastAsia="Arial" w:hAnsi="Arial"/>
                <w:b/>
                <w:bCs/>
                <w:color w:val="0A0A14"/>
                <w:sz w:val="19"/>
                <w:szCs w:val="19"/>
              </w:rPr>
              <w:t xml:space="preserve">Systems &amp; development</w:t>
            </w:r>
          </w:p>
          <w:p>
            <w:pPr>
              <w:spacing w:after="8" w:before="0"/>
            </w:pPr>
            <w:r>
              <w:rPr>
                <w:rFonts w:ascii="Arial" w:cs="Arial" w:eastAsia="Arial" w:hAnsi="Arial"/>
                <w:b/>
                <w:bCs/>
                <w:color w:val="2E5FA3"/>
                <w:sz w:val="24"/>
                <w:szCs w:val="24"/>
              </w:rPr>
              <w:t xml:space="preserve">$95 / hour</w:t>
            </w:r>
          </w:p>
          <w:p>
            <w:r>
              <w:rPr>
                <w:rFonts w:ascii="Arial" w:cs="Arial" w:eastAsia="Arial" w:hAnsi="Arial"/>
                <w:color w:val="555555"/>
                <w:sz w:val="17"/>
                <w:szCs w:val="17"/>
              </w:rPr>
              <w:t xml:space="preserve">Software development · pipeline builds · system administration. Billed for hours beyond retainer scope.</w:t>
            </w:r>
          </w:p>
        </w:tc>
      </w:tr>
    </w:tbl>
    <w:p>
      <w:pPr>
        <w:spacing w:after="0" w:before="120"/>
      </w:pPr>
      <w:r>
        <w:t xml:space="preserve"/>
      </w:r>
    </w:p>
    <w:p>
      <w:pPr>
        <w:spacing w:after="80" w:before="220"/>
      </w:pPr>
      <w:r>
        <w:rPr>
          <w:rFonts w:ascii="Arial" w:cs="Arial" w:eastAsia="Arial" w:hAnsi="Arial"/>
          <w:b/>
          <w:bCs/>
          <w:color w:val="2E5FA3"/>
          <w:spacing w:val="50"/>
          <w:sz w:val="19"/>
          <w:szCs w:val="19"/>
        </w:rPr>
        <w:t xml:space="preserve">TERMS</w:t>
      </w:r>
    </w:p>
    <w:p>
      <w:pPr>
        <w:pBdr>
          <w:bottom w:val="single" w:color="2E5FA3" w:sz="4" w:space="1"/>
        </w:pBd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Effective date</w:t>
            </w:r>
          </w:p>
        </w:tc>
        <w:tc>
          <w:tcPr>
            <w:tcW w:type="dxa" w:w="62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May _____,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A0A14"/>
                <w:sz w:val="19"/>
                <w:szCs w:val="19"/>
              </w:rPr>
              <w:t xml:space="preserve">Billing cycle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Monthly · invoices issued on the 1st of each month · net 15 payment terms</w:t>
            </w:r>
          </w:p>
        </w:tc>
      </w:tr>
      <w:tr>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Overage billing</w:t>
            </w:r>
          </w:p>
        </w:tc>
        <w:tc>
          <w:tcPr>
            <w:tcW w:type="dxa" w:w="62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Hours beyond the monthly retainer scope billed at the applicable hourly rate · client notified before overage is incurred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A0A14"/>
                <w:sz w:val="19"/>
                <w:szCs w:val="19"/>
              </w:rPr>
              <w:t xml:space="preserve">IP ownership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All software, systems architecture, and analytical frameworks developed by Pinteq LLC remain the intellectual property of Pinteq LLC. The Law Office of Charles M. Ayres holds a license to use a configured instance of those systems for its practice.</w:t>
            </w:r>
          </w:p>
        </w:tc>
      </w:tr>
      <w:tr>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Contractor status</w:t>
            </w:r>
          </w:p>
        </w:tc>
        <w:tc>
          <w:tcPr>
            <w:tcW w:type="dxa" w:w="62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Pinteq LLC operates as an independent 1099 contractor. No employment relationship is created. Pinteq LLC retains the right to serve other clients provided no conflict of interest exists with active matters.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A0A14"/>
                <w:sz w:val="19"/>
                <w:szCs w:val="19"/>
              </w:rPr>
              <w:t xml:space="preserve">Confidentiality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All case materials, client information, and work product handled under this agreement are treated as confidential and attorney work product. Pinteq LLC will not disclose any matter-related information to any third party without written authorization.</w:t>
            </w:r>
          </w:p>
        </w:tc>
      </w:tr>
      <w:tr>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PI hours</w:t>
            </w:r>
          </w:p>
        </w:tc>
        <w:tc>
          <w:tcPr>
            <w:tcW w:type="dxa" w:w="62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Investigative work performed under this agreement under the supervision of Charles M. Ayres, Attorney at Law, constitutes qualifying investigative experience toward Michigan PI licensure requirements.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A0A14"/>
                <w:sz w:val="19"/>
                <w:szCs w:val="19"/>
              </w:rPr>
              <w:t xml:space="preserve">Termination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Either party may terminate this agreement with 30 days written notice. Outstanding invoices remain due and payable.</w:t>
            </w:r>
          </w:p>
        </w:tc>
      </w:tr>
    </w:tbl>
    <w:p>
      <w:pPr>
        <w:spacing w:after="0" w:before="80"/>
      </w:pPr>
      <w:r>
        <w:t xml:space="preserve"/>
      </w:r>
    </w:p>
    <w:p>
      <w:pPr>
        <w:spacing w:after="40" w:before="120"/>
      </w:pPr>
      <w:r>
        <w:rPr>
          <w:rFonts w:ascii="Arial" w:cs="Arial" w:eastAsia="Arial" w:hAnsi="Arial"/>
          <w:i/>
          <w:iCs/>
          <w:color w:val="555555"/>
          <w:sz w:val="19"/>
          <w:szCs w:val="19"/>
        </w:rPr>
        <w:t xml:space="preserve">By signing below both parties agree to the terms of this proposal.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80"/>
        <w:gridCol w:w="4440"/>
      </w:tblGrid>
      <w:tr>
        <w:tc>
          <w:tcPr>
            <w:tcW w:type="dxa" w:w="4440"/>
            <w:tcBorders>
              <w:top w:val="none" w:color="FFFFFF" w:sz="0"/>
              <w:left w:val="none" w:color="FFFFFF" w:sz="0"/>
              <w:bottom w:val="none" w:color="FFFFFF" w:sz="0"/>
              <w:right w:val="none" w:color="FFFFFF" w:sz="0"/>
            </w:tcBorders>
          </w:tcPr>
          <w:p>
            <w:pPr>
              <w:pBdr>
                <w:bottom w:val="single" w:color="999999" w:sz="2" w:space="1"/>
              </w:pBdr>
              <w:spacing w:after="40" w:before="80"/>
            </w:pPr>
            <w:r>
              <w:rPr>
                <w:rFonts w:ascii="Arial" w:cs="Arial" w:eastAsia="Arial" w:hAnsi="Arial"/>
                <w:color w:val="aaaaaa"/>
                <w:sz w:val="18"/>
                <w:szCs w:val="18"/>
              </w:rPr>
              <w:t xml:space="preserve">Signature · Pinteq LLC</w:t>
            </w:r>
          </w:p>
          <w:p>
            <w:pPr>
              <w:spacing w:after="0" w:before="40"/>
            </w:pPr>
            <w:r>
              <w:t xml:space="preserve"/>
            </w:r>
          </w:p>
          <w:p>
            <w:pPr>
              <w:pBdr>
                <w:bottom w:val="single" w:color="999999" w:sz="2" w:space="1"/>
              </w:pBdr>
              <w:spacing w:after="40" w:before="80"/>
            </w:pPr>
            <w:r>
              <w:rPr>
                <w:rFonts w:ascii="Arial" w:cs="Arial" w:eastAsia="Arial" w:hAnsi="Arial"/>
                <w:color w:val="aaaaaa"/>
                <w:sz w:val="18"/>
                <w:szCs w:val="18"/>
              </w:rPr>
              <w:t xml:space="preserve">Printed name · date</w:t>
            </w:r>
          </w:p>
        </w:tc>
        <w:tc>
          <w:tcPr>
            <w:tcW w:type="dxa" w:w="480"/>
            <w:tcBorders>
              <w:top w:val="none" w:color="FFFFFF" w:sz="0"/>
              <w:left w:val="none" w:color="FFFFFF" w:sz="0"/>
              <w:bottom w:val="none" w:color="FFFFFF" w:sz="0"/>
              <w:right w:val="none" w:color="FFFFFF" w:sz="0"/>
            </w:tcBorders>
          </w:tcPr>
          <w:p/>
        </w:tc>
        <w:tc>
          <w:tcPr>
            <w:tcW w:type="dxa" w:w="4440"/>
            <w:tcBorders>
              <w:top w:val="none" w:color="FFFFFF" w:sz="0"/>
              <w:left w:val="none" w:color="FFFFFF" w:sz="0"/>
              <w:bottom w:val="none" w:color="FFFFFF" w:sz="0"/>
              <w:right w:val="none" w:color="FFFFFF" w:sz="0"/>
            </w:tcBorders>
          </w:tcPr>
          <w:p>
            <w:pPr>
              <w:pBdr>
                <w:bottom w:val="single" w:color="999999" w:sz="2" w:space="1"/>
              </w:pBdr>
              <w:spacing w:after="40" w:before="80"/>
            </w:pPr>
            <w:r>
              <w:rPr>
                <w:rFonts w:ascii="Arial" w:cs="Arial" w:eastAsia="Arial" w:hAnsi="Arial"/>
                <w:color w:val="aaaaaa"/>
                <w:sz w:val="18"/>
                <w:szCs w:val="18"/>
              </w:rPr>
              <w:t xml:space="preserve">Signature · The Law Office of Charles M. Ayres</w:t>
            </w:r>
          </w:p>
          <w:p>
            <w:pPr>
              <w:spacing w:after="0" w:before="40"/>
            </w:pPr>
            <w:r>
              <w:t xml:space="preserve"/>
            </w:r>
          </w:p>
          <w:p>
            <w:pPr>
              <w:pBdr>
                <w:bottom w:val="single" w:color="999999" w:sz="2" w:space="1"/>
              </w:pBdr>
              <w:spacing w:after="40" w:before="80"/>
            </w:pPr>
            <w:r>
              <w:rPr>
                <w:rFonts w:ascii="Arial" w:cs="Arial" w:eastAsia="Arial" w:hAnsi="Arial"/>
                <w:color w:val="aaaaaa"/>
                <w:sz w:val="18"/>
                <w:szCs w:val="18"/>
              </w:rPr>
              <w:t xml:space="preserve">Printed name · date</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200"/>
              <w:left w:type="dxa" w:w="400"/>
              <w:bottom w:type="dxa" w:w="200"/>
              <w:right w:type="dxa" w:w="400"/>
            </w:tcMar>
          </w:tcPr>
          <w:p>
            <w:pPr>
              <w:spacing w:after="20" w:before="0"/>
            </w:pPr>
            <w:r>
              <w:rPr>
                <w:rFonts w:ascii="Arial" w:cs="Arial" w:eastAsia="Arial" w:hAnsi="Arial"/>
                <w:b/>
                <w:bCs/>
                <w:color w:val="FFFFFF"/>
                <w:sz w:val="28"/>
                <w:szCs w:val="28"/>
              </w:rPr>
              <w:t xml:space="preserve">First Engagement Scope of Work</w:t>
            </w:r>
          </w:p>
          <w:p>
            <w:r>
              <w:rPr>
                <w:rFonts w:ascii="Arial" w:cs="Arial" w:eastAsia="Arial" w:hAnsi="Arial"/>
                <w:color w:val="D6E4F7"/>
                <w:sz w:val="18"/>
                <w:szCs w:val="18"/>
              </w:rPr>
              <w:t xml:space="preserve">The Law Office of Charles M. Ayres · May 2026 · Pinteq LLC</w:t>
            </w:r>
          </w:p>
        </w:tc>
      </w:tr>
    </w:tbl>
    <w:p>
      <w:pPr>
        <w:spacing w:after="0" w:before="140"/>
      </w:pPr>
      <w:r>
        <w:t xml:space="preserve"/>
      </w:r>
    </w:p>
    <w:p>
      <w:pPr>
        <w:spacing w:after="80" w:before="220"/>
      </w:pPr>
      <w:r>
        <w:rPr>
          <w:rFonts w:ascii="Arial" w:cs="Arial" w:eastAsia="Arial" w:hAnsi="Arial"/>
          <w:b/>
          <w:bCs/>
          <w:color w:val="2E5FA3"/>
          <w:spacing w:val="50"/>
          <w:sz w:val="19"/>
          <w:szCs w:val="19"/>
        </w:rPr>
        <w:t xml:space="preserve">SCOPE OVERVIEW</w:t>
      </w:r>
    </w:p>
    <w:p>
      <w:pPr>
        <w:pBdr>
          <w:bottom w:val="single" w:color="2E5FA3" w:sz="4" w:space="1"/>
        </w:pBdr>
        <w:spacing w:after="100" w:before="120"/>
      </w:pPr>
    </w:p>
    <w:p>
      <w:pPr>
        <w:spacing w:after="60" w:before="40"/>
      </w:pPr>
      <w:r>
        <w:rPr>
          <w:rFonts w:ascii="Arial" w:cs="Arial" w:eastAsia="Arial" w:hAnsi="Arial"/>
          <w:i w:val="false"/>
          <w:iCs w:val="false"/>
          <w:color w:val="333333"/>
          <w:sz w:val="20"/>
          <w:szCs w:val="20"/>
        </w:rPr>
        <w:t xml:space="preserve">This page defines the specific deliverables and priorities for the first engagement period. The scope will be reviewed and updated at 30 and 60 days based on active case needs and system development progress. The retainer covers 30 hours per month across the three service lines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8"/>
                <w:szCs w:val="18"/>
              </w:rPr>
              <w:t xml:space="preserve">Priority</w:t>
            </w:r>
          </w:p>
        </w:tc>
        <w:tc>
          <w:tcPr>
            <w:tcW w:type="dxa" w:w="648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8"/>
                <w:szCs w:val="18"/>
              </w:rPr>
              <w:t xml:space="preserve">Deliverable</w:t>
            </w:r>
          </w:p>
        </w:tc>
        <w:tc>
          <w:tcPr>
            <w:tcW w:type="dxa" w:w="144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8"/>
                <w:szCs w:val="18"/>
              </w:rPr>
              <w:t xml:space="preserve">Timeline</w:t>
            </w:r>
          </w:p>
        </w:tc>
      </w:tr>
      <w:tr>
        <w:tc>
          <w:tcPr>
            <w:tcW w:type="dxa" w:w="14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2E5FA3"/>
                <w:sz w:val="19"/>
                <w:szCs w:val="19"/>
              </w:rPr>
              <w:t xml:space="preserve">01</w:t>
            </w:r>
          </w:p>
        </w:tc>
        <w:tc>
          <w:tcPr>
            <w:tcW w:type="dxa" w:w="64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 w:before="0"/>
            </w:pPr>
            <w:r>
              <w:rPr>
                <w:rFonts w:ascii="Arial" w:cs="Arial" w:eastAsia="Arial" w:hAnsi="Arial"/>
                <w:b/>
                <w:bCs/>
                <w:color w:val="0A0A14"/>
                <w:sz w:val="19"/>
                <w:szCs w:val="19"/>
              </w:rPr>
              <w:t xml:space="preserve">Smokeball intake and normalization pipeline — Module 1</w:t>
            </w:r>
          </w:p>
          <w:p>
            <w:r>
              <w:rPr>
                <w:rFonts w:ascii="Arial" w:cs="Arial" w:eastAsia="Arial" w:hAnsi="Arial"/>
                <w:color w:val="555555"/>
                <w:sz w:val="17"/>
                <w:szCs w:val="17"/>
              </w:rPr>
              <w:t xml:space="preserve">Automated file classification, naming normalization, chain of custody logging, and Smokeball API upload for all incoming discovery. Covers all file types: PDF, audio, video, CSV, images.</w:t>
            </w:r>
          </w:p>
        </w:tc>
        <w:tc>
          <w:tcPr>
            <w:tcW w:type="dxa" w:w="14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1E6B3C"/>
                <w:sz w:val="19"/>
                <w:szCs w:val="19"/>
              </w:rPr>
              <w:t xml:space="preserve">Weeks 1–6</w:t>
            </w:r>
          </w:p>
        </w:tc>
      </w:tr>
      <w:tr>
        <w:tc>
          <w:tcPr>
            <w:tcW w:type="dxa" w:w="14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2E5FA3"/>
                <w:sz w:val="19"/>
                <w:szCs w:val="19"/>
              </w:rPr>
              <w:t xml:space="preserve">02</w:t>
            </w:r>
          </w:p>
        </w:tc>
        <w:tc>
          <w:tcPr>
            <w:tcW w:type="dxa" w:w="6480"/>
            <w:tcBorders>
              <w:top w:val="single" w:color="CCCCCC" w:sz="1"/>
              <w:left w:val="single" w:color="CCCCCC" w:sz="1"/>
              <w:bottom w:val="single" w:color="CCCCCC" w:sz="1"/>
              <w:right w:val="single" w:color="CCCCCC" w:sz="1"/>
            </w:tcBorders>
            <w:shd w:fill="F4F4F6" w:val="clear"/>
            <w:tcMar>
              <w:top w:type="dxa" w:w="100"/>
              <w:left w:type="dxa" w:w="140"/>
              <w:bottom w:type="dxa" w:w="100"/>
              <w:right w:type="dxa" w:w="140"/>
            </w:tcMar>
          </w:tcPr>
          <w:p>
            <w:pPr>
              <w:spacing w:after="8" w:before="0"/>
            </w:pPr>
            <w:r>
              <w:rPr>
                <w:rFonts w:ascii="Arial" w:cs="Arial" w:eastAsia="Arial" w:hAnsi="Arial"/>
                <w:b/>
                <w:bCs/>
                <w:color w:val="0A0A14"/>
                <w:sz w:val="19"/>
                <w:szCs w:val="19"/>
              </w:rPr>
              <w:t xml:space="preserve">Intelligence research on active priority cases</w:t>
            </w:r>
          </w:p>
          <w:p>
            <w:r>
              <w:rPr>
                <w:rFonts w:ascii="Arial" w:cs="Arial" w:eastAsia="Arial" w:hAnsi="Arial"/>
                <w:color w:val="555555"/>
                <w:sz w:val="17"/>
                <w:szCs w:val="17"/>
              </w:rPr>
              <w:t xml:space="preserve">Structured B4 Witness Intelligence Briefs, subject background profiles, and OSINT research on witnesses and parties in the highest-priority active matters. Delivered as formatted analytical documents.</w:t>
            </w:r>
          </w:p>
        </w:tc>
        <w:tc>
          <w:tcPr>
            <w:tcW w:type="dxa" w:w="14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1E6B3C"/>
                <w:sz w:val="19"/>
                <w:szCs w:val="19"/>
              </w:rPr>
              <w:t xml:space="preserve">Immediate</w:t>
            </w:r>
          </w:p>
        </w:tc>
      </w:tr>
      <w:tr>
        <w:tc>
          <w:tcPr>
            <w:tcW w:type="dxa" w:w="14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2E5FA3"/>
                <w:sz w:val="19"/>
                <w:szCs w:val="19"/>
              </w:rPr>
              <w:t xml:space="preserve">03</w:t>
            </w:r>
          </w:p>
        </w:tc>
        <w:tc>
          <w:tcPr>
            <w:tcW w:type="dxa" w:w="64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 w:before="0"/>
            </w:pPr>
            <w:r>
              <w:rPr>
                <w:rFonts w:ascii="Arial" w:cs="Arial" w:eastAsia="Arial" w:hAnsi="Arial"/>
                <w:b/>
                <w:bCs/>
                <w:color w:val="0A0A14"/>
                <w:sz w:val="19"/>
                <w:szCs w:val="19"/>
              </w:rPr>
              <w:t xml:space="preserve">Case chronology construction</w:t>
            </w:r>
          </w:p>
          <w:p>
            <w:r>
              <w:rPr>
                <w:rFonts w:ascii="Arial" w:cs="Arial" w:eastAsia="Arial" w:hAnsi="Arial"/>
                <w:color w:val="555555"/>
                <w:sz w:val="17"/>
                <w:szCs w:val="17"/>
              </w:rPr>
              <w:t xml:space="preserve">Full case timeline for priority matters. Phone interaction overlay. Social connection mapping. Designed to expose gaps in the prosecution timeline and surface inconsistencies before trial preparation begins.</w:t>
            </w:r>
          </w:p>
        </w:tc>
        <w:tc>
          <w:tcPr>
            <w:tcW w:type="dxa" w:w="14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777777"/>
                <w:sz w:val="19"/>
                <w:szCs w:val="19"/>
              </w:rPr>
              <w:t xml:space="preserve">Weeks 3–8</w:t>
            </w:r>
          </w:p>
        </w:tc>
      </w:tr>
      <w:tr>
        <w:tc>
          <w:tcPr>
            <w:tcW w:type="dxa" w:w="14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2E5FA3"/>
                <w:sz w:val="19"/>
                <w:szCs w:val="19"/>
              </w:rPr>
              <w:t xml:space="preserve">04</w:t>
            </w:r>
          </w:p>
        </w:tc>
        <w:tc>
          <w:tcPr>
            <w:tcW w:type="dxa" w:w="6480"/>
            <w:tcBorders>
              <w:top w:val="single" w:color="CCCCCC" w:sz="1"/>
              <w:left w:val="single" w:color="CCCCCC" w:sz="1"/>
              <w:bottom w:val="single" w:color="CCCCCC" w:sz="1"/>
              <w:right w:val="single" w:color="CCCCCC" w:sz="1"/>
            </w:tcBorders>
            <w:shd w:fill="F4F4F6" w:val="clear"/>
            <w:tcMar>
              <w:top w:type="dxa" w:w="100"/>
              <w:left w:type="dxa" w:w="140"/>
              <w:bottom w:type="dxa" w:w="100"/>
              <w:right w:type="dxa" w:w="140"/>
            </w:tcMar>
          </w:tcPr>
          <w:p>
            <w:pPr>
              <w:spacing w:after="8" w:before="0"/>
            </w:pPr>
            <w:r>
              <w:rPr>
                <w:rFonts w:ascii="Arial" w:cs="Arial" w:eastAsia="Arial" w:hAnsi="Arial"/>
                <w:b/>
                <w:bCs/>
                <w:color w:val="0A0A14"/>
                <w:sz w:val="19"/>
                <w:szCs w:val="19"/>
              </w:rPr>
              <w:t xml:space="preserve">Smokeball API integration and developer access</w:t>
            </w:r>
          </w:p>
          <w:p>
            <w:r>
              <w:rPr>
                <w:rFonts w:ascii="Arial" w:cs="Arial" w:eastAsia="Arial" w:hAnsi="Arial"/>
                <w:color w:val="555555"/>
                <w:sz w:val="17"/>
                <w:szCs w:val="17"/>
              </w:rPr>
              <w:t xml:space="preserve">Submit API scope request to Smokeball. Charles authorizes the integration from his firm account. Credentials obtained and pipeline client built. Required foundation for all automated system work.</w:t>
            </w:r>
          </w:p>
        </w:tc>
        <w:tc>
          <w:tcPr>
            <w:tcW w:type="dxa" w:w="14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1E6B3C"/>
                <w:sz w:val="19"/>
                <w:szCs w:val="19"/>
              </w:rPr>
              <w:t xml:space="preserve">Week 1</w:t>
            </w:r>
          </w:p>
        </w:tc>
      </w:tr>
    </w:tbl>
    <w:p>
      <w:pPr>
        <w:spacing w:after="0" w:before="120"/>
      </w:pPr>
      <w:r>
        <w:t xml:space="preserve"/>
      </w:r>
    </w:p>
    <w:p>
      <w:pPr>
        <w:spacing w:after="80" w:before="220"/>
      </w:pPr>
      <w:r>
        <w:rPr>
          <w:rFonts w:ascii="Arial" w:cs="Arial" w:eastAsia="Arial" w:hAnsi="Arial"/>
          <w:b/>
          <w:bCs/>
          <w:color w:val="2E5FA3"/>
          <w:spacing w:val="50"/>
          <w:sz w:val="19"/>
          <w:szCs w:val="19"/>
        </w:rPr>
        <w:t xml:space="preserve">WHAT THE CLIENT PROVIDES</w:t>
      </w:r>
    </w:p>
    <w:p>
      <w:pPr>
        <w:pBdr>
          <w:bottom w:val="single" w:color="2E5FA3" w:sz="4" w:space="1"/>
        </w:pBd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20" w:before="0"/>
            </w:pPr>
            <w:r>
              <w:rPr>
                <w:rFonts w:ascii="Arial" w:cs="Arial" w:eastAsia="Arial" w:hAnsi="Arial"/>
                <w:b/>
                <w:bCs/>
                <w:color w:val="0A0A14"/>
                <w:sz w:val="18"/>
                <w:szCs w:val="18"/>
              </w:rPr>
              <w:t xml:space="preserve">Required for system work</w:t>
            </w:r>
          </w:p>
          <w:p>
            <w:pPr>
              <w:spacing w:after="8" w:before="0"/>
            </w:pPr>
            <w:r>
              <w:rPr>
                <w:rFonts w:ascii="Arial" w:cs="Arial" w:eastAsia="Arial" w:hAnsi="Arial"/>
                <w:color w:val="444444"/>
                <w:sz w:val="18"/>
                <w:szCs w:val="18"/>
              </w:rPr>
              <w:t xml:space="preserve">•  Smokeball account access · confirmed</w:t>
            </w:r>
          </w:p>
          <w:p>
            <w:pPr>
              <w:spacing w:after="8" w:before="0"/>
            </w:pPr>
            <w:r>
              <w:rPr>
                <w:rFonts w:ascii="Arial" w:cs="Arial" w:eastAsia="Arial" w:hAnsi="Arial"/>
                <w:color w:val="444444"/>
                <w:sz w:val="18"/>
                <w:szCs w:val="18"/>
              </w:rPr>
              <w:t xml:space="preserve">•  Smokeball API authorization · pending</w:t>
            </w:r>
          </w:p>
          <w:p>
            <w:pPr>
              <w:spacing w:after="8" w:before="0"/>
            </w:pPr>
            <w:r>
              <w:rPr>
                <w:rFonts w:ascii="Arial" w:cs="Arial" w:eastAsia="Arial" w:hAnsi="Arial"/>
                <w:color w:val="444444"/>
                <w:sz w:val="18"/>
                <w:szCs w:val="18"/>
              </w:rPr>
              <w:t xml:space="preserve">•  Access to 10TB working drive or drop folder</w:t>
            </w:r>
          </w:p>
          <w:p>
            <w:pPr>
              <w:spacing w:after="8" w:before="0"/>
            </w:pPr>
            <w:r>
              <w:rPr>
                <w:rFonts w:ascii="Arial" w:cs="Arial" w:eastAsia="Arial" w:hAnsi="Arial"/>
                <w:color w:val="444444"/>
                <w:sz w:val="18"/>
                <w:szCs w:val="18"/>
              </w:rPr>
              <w:t xml:space="preserve">•  File naming convention agreement</w:t>
            </w:r>
          </w:p>
          <w:p>
            <w:r>
              <w:rPr>
                <w:rFonts w:ascii="Arial" w:cs="Arial" w:eastAsia="Arial" w:hAnsi="Arial"/>
                <w:color w:val="444444"/>
                <w:sz w:val="18"/>
                <w:szCs w:val="18"/>
              </w:rPr>
              <w:t xml:space="preserve">•  Sample discovery files for pipeline testing</w:t>
            </w:r>
          </w:p>
        </w:tc>
        <w:tc>
          <w:tcPr>
            <w:tcW w:type="dxa" w:w="4680"/>
            <w:tcBorders>
              <w:top w:val="single" w:color="CCCCCC" w:sz="1"/>
              <w:left w:val="single" w:color="CCCCCC" w:sz="1"/>
              <w:bottom w:val="single" w:color="CCCCCC" w:sz="1"/>
              <w:right w:val="single" w:color="CCCCCC" w:sz="1"/>
            </w:tcBorders>
            <w:shd w:fill="F4F4F6" w:val="clear"/>
            <w:tcMar>
              <w:top w:type="dxa" w:w="100"/>
              <w:left w:type="dxa" w:w="160"/>
              <w:bottom w:type="dxa" w:w="100"/>
              <w:right w:type="dxa" w:w="160"/>
            </w:tcMar>
          </w:tcPr>
          <w:p>
            <w:pPr>
              <w:spacing w:after="20" w:before="0"/>
            </w:pPr>
            <w:r>
              <w:rPr>
                <w:rFonts w:ascii="Arial" w:cs="Arial" w:eastAsia="Arial" w:hAnsi="Arial"/>
                <w:b/>
                <w:bCs/>
                <w:color w:val="0A0A14"/>
                <w:sz w:val="18"/>
                <w:szCs w:val="18"/>
              </w:rPr>
              <w:t xml:space="preserve">Required for intelligence work</w:t>
            </w:r>
          </w:p>
          <w:p>
            <w:pPr>
              <w:spacing w:after="8" w:before="0"/>
            </w:pPr>
            <w:r>
              <w:rPr>
                <w:rFonts w:ascii="Arial" w:cs="Arial" w:eastAsia="Arial" w:hAnsi="Arial"/>
                <w:color w:val="444444"/>
                <w:sz w:val="18"/>
                <w:szCs w:val="18"/>
              </w:rPr>
              <w:t xml:space="preserve">•  Case priority list · which matters are most urgent</w:t>
            </w:r>
          </w:p>
          <w:p>
            <w:pPr>
              <w:spacing w:after="8" w:before="0"/>
            </w:pPr>
            <w:r>
              <w:rPr>
                <w:rFonts w:ascii="Arial" w:cs="Arial" w:eastAsia="Arial" w:hAnsi="Arial"/>
                <w:color w:val="444444"/>
                <w:sz w:val="18"/>
                <w:szCs w:val="18"/>
              </w:rPr>
              <w:t xml:space="preserve">•  Witness list per priority matter</w:t>
            </w:r>
          </w:p>
          <w:p>
            <w:pPr>
              <w:spacing w:after="8" w:before="0"/>
            </w:pPr>
            <w:r>
              <w:rPr>
                <w:rFonts w:ascii="Arial" w:cs="Arial" w:eastAsia="Arial" w:hAnsi="Arial"/>
                <w:color w:val="444444"/>
                <w:sz w:val="18"/>
                <w:szCs w:val="18"/>
              </w:rPr>
              <w:t xml:space="preserve">•  Existing discovery for matters under analysis</w:t>
            </w:r>
          </w:p>
          <w:p>
            <w:pPr>
              <w:spacing w:after="8" w:before="0"/>
            </w:pPr>
            <w:r>
              <w:rPr>
                <w:rFonts w:ascii="Arial" w:cs="Arial" w:eastAsia="Arial" w:hAnsi="Arial"/>
                <w:color w:val="444444"/>
                <w:sz w:val="18"/>
                <w:szCs w:val="18"/>
              </w:rPr>
              <w:t xml:space="preserve">•  Work product designation preference</w:t>
            </w:r>
          </w:p>
          <w:p>
            <w:r>
              <w:rPr>
                <w:rFonts w:ascii="Arial" w:cs="Arial" w:eastAsia="Arial" w:hAnsi="Arial"/>
                <w:color w:val="444444"/>
                <w:sz w:val="18"/>
                <w:szCs w:val="18"/>
              </w:rPr>
              <w:t xml:space="preserve">•  Direction on which case to start with</w:t>
            </w:r>
          </w:p>
        </w:tc>
      </w:tr>
    </w:tbl>
    <w:p>
      <w:pPr>
        <w:spacing w:after="0" w:before="120"/>
      </w:pPr>
      <w:r>
        <w:t xml:space="preserve"/>
      </w:r>
    </w:p>
    <w:p>
      <w:pPr>
        <w:spacing w:after="80" w:before="220"/>
      </w:pPr>
      <w:r>
        <w:rPr>
          <w:rFonts w:ascii="Arial" w:cs="Arial" w:eastAsia="Arial" w:hAnsi="Arial"/>
          <w:b/>
          <w:bCs/>
          <w:color w:val="2E5FA3"/>
          <w:spacing w:val="50"/>
          <w:sz w:val="19"/>
          <w:szCs w:val="19"/>
        </w:rPr>
        <w:t xml:space="preserve">30-DAY SUCCESS METRICS</w:t>
      </w:r>
    </w:p>
    <w:p>
      <w:pPr>
        <w:pBdr>
          <w:bottom w:val="single" w:color="2E5FA3" w:sz="4" w:space="1"/>
        </w:pBdr>
        <w:spacing w:after="100" w:before="120"/>
      </w:pPr>
    </w:p>
    <w:p>
      <w:pPr>
        <w:spacing w:after="60" w:before="40"/>
      </w:pPr>
      <w:r>
        <w:rPr>
          <w:rFonts w:ascii="Arial" w:cs="Arial" w:eastAsia="Arial" w:hAnsi="Arial"/>
          <w:i w:val="false"/>
          <w:iCs w:val="false"/>
          <w:color w:val="333333"/>
          <w:sz w:val="20"/>
          <w:szCs w:val="20"/>
        </w:rPr>
        <w:t xml:space="preserve">The following outcomes define a successful first 30 days. Both parties should be able to evaluate the engagement against these at the first monthly review.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D" w:val="clear"/>
            <w:tcMar>
              <w:top w:type="dxa" w:w="100"/>
              <w:left w:type="dxa" w:w="160"/>
              <w:bottom w:type="dxa" w:w="100"/>
              <w:right w:type="dxa" w:w="160"/>
            </w:tcMar>
          </w:tcPr>
          <w:p>
            <w:pPr>
              <w:spacing w:after="8" w:before="0"/>
            </w:pPr>
            <w:r>
              <w:rPr>
                <w:rFonts w:ascii="Arial" w:cs="Arial" w:eastAsia="Arial" w:hAnsi="Arial"/>
                <w:b/>
                <w:bCs/>
                <w:color w:val="2E5FA3"/>
                <w:sz w:val="18"/>
                <w:szCs w:val="18"/>
              </w:rPr>
              <w:t xml:space="preserve">System milestones</w:t>
            </w:r>
          </w:p>
          <w:p>
            <w:pPr>
              <w:spacing w:after="8" w:before="0"/>
            </w:pPr>
            <w:r>
              <w:rPr>
                <w:rFonts w:ascii="Arial" w:cs="Arial" w:eastAsia="Arial" w:hAnsi="Arial"/>
                <w:color w:val="444444"/>
                <w:sz w:val="18"/>
                <w:szCs w:val="18"/>
              </w:rPr>
              <w:t xml:space="preserve">•  Smokeball API access obtained</w:t>
            </w:r>
          </w:p>
          <w:p>
            <w:pPr>
              <w:spacing w:after="8" w:before="0"/>
            </w:pPr>
            <w:r>
              <w:rPr>
                <w:rFonts w:ascii="Arial" w:cs="Arial" w:eastAsia="Arial" w:hAnsi="Arial"/>
                <w:color w:val="444444"/>
                <w:sz w:val="18"/>
                <w:szCs w:val="18"/>
              </w:rPr>
              <w:t xml:space="preserve">•  File naming convention agreed and documented</w:t>
            </w:r>
          </w:p>
          <w:p>
            <w:pPr>
              <w:spacing w:after="8" w:before="0"/>
            </w:pPr>
            <w:r>
              <w:rPr>
                <w:rFonts w:ascii="Arial" w:cs="Arial" w:eastAsia="Arial" w:hAnsi="Arial"/>
                <w:color w:val="444444"/>
                <w:sz w:val="18"/>
                <w:szCs w:val="18"/>
              </w:rPr>
              <w:t xml:space="preserve">•  Drop folder and intake pipeline live on working machine</w:t>
            </w:r>
          </w:p>
          <w:p>
            <w:r>
              <w:rPr>
                <w:rFonts w:ascii="Arial" w:cs="Arial" w:eastAsia="Arial" w:hAnsi="Arial"/>
                <w:color w:val="444444"/>
                <w:sz w:val="18"/>
                <w:szCs w:val="18"/>
              </w:rPr>
              <w:t xml:space="preserve">•  First batch of files normalized and uploaded to Smokeball</w:t>
            </w:r>
          </w:p>
        </w:tc>
        <w:tc>
          <w:tcPr>
            <w:tcW w:type="dxa" w:w="468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pPr>
              <w:spacing w:after="8" w:before="0"/>
            </w:pPr>
            <w:r>
              <w:rPr>
                <w:rFonts w:ascii="Arial" w:cs="Arial" w:eastAsia="Arial" w:hAnsi="Arial"/>
                <w:b/>
                <w:bCs/>
                <w:color w:val="1E6B3C"/>
                <w:sz w:val="18"/>
                <w:szCs w:val="18"/>
              </w:rPr>
              <w:t xml:space="preserve">Intelligence milestones</w:t>
            </w:r>
          </w:p>
          <w:p>
            <w:pPr>
              <w:spacing w:after="8" w:before="0"/>
            </w:pPr>
            <w:r>
              <w:rPr>
                <w:rFonts w:ascii="Arial" w:cs="Arial" w:eastAsia="Arial" w:hAnsi="Arial"/>
                <w:color w:val="444444"/>
                <w:sz w:val="18"/>
                <w:szCs w:val="18"/>
              </w:rPr>
              <w:t xml:space="preserve">•  At least 2 B4 Witness Intelligence Briefs delivered</w:t>
            </w:r>
          </w:p>
          <w:p>
            <w:pPr>
              <w:spacing w:after="8" w:before="0"/>
            </w:pPr>
            <w:r>
              <w:rPr>
                <w:rFonts w:ascii="Arial" w:cs="Arial" w:eastAsia="Arial" w:hAnsi="Arial"/>
                <w:color w:val="444444"/>
                <w:sz w:val="18"/>
                <w:szCs w:val="18"/>
              </w:rPr>
              <w:t xml:space="preserve">•  Subject profiles on priority witnesses complete</w:t>
            </w:r>
          </w:p>
          <w:p>
            <w:pPr>
              <w:spacing w:after="8" w:before="0"/>
            </w:pPr>
            <w:r>
              <w:rPr>
                <w:rFonts w:ascii="Arial" w:cs="Arial" w:eastAsia="Arial" w:hAnsi="Arial"/>
                <w:color w:val="444444"/>
                <w:sz w:val="18"/>
                <w:szCs w:val="18"/>
              </w:rPr>
              <w:t xml:space="preserve">•  OSINT research initiated on at least 1 priority matter</w:t>
            </w:r>
          </w:p>
          <w:p>
            <w:r>
              <w:rPr>
                <w:rFonts w:ascii="Arial" w:cs="Arial" w:eastAsia="Arial" w:hAnsi="Arial"/>
                <w:color w:val="444444"/>
                <w:sz w:val="18"/>
                <w:szCs w:val="18"/>
              </w:rPr>
              <w:t xml:space="preserve">•  First invoice issued and paid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none" w:color="FFFFFF" w:sz="0"/>
              <w:bottom w:val="none" w:color="FFFFFF" w:sz="0"/>
              <w:right w:val="none" w:color="FFFFFF" w:sz="0"/>
            </w:tcBorders>
            <w:shd w:fill="F4F4F6" w:val="clear"/>
            <w:tcMar>
              <w:top w:type="dxa" w:w="180"/>
              <w:left w:type="dxa" w:w="240"/>
              <w:bottom w:type="dxa" w:w="180"/>
              <w:right w:type="dxa" w:w="240"/>
            </w:tcMar>
          </w:tcPr>
          <w:p>
            <w:pPr>
              <w:spacing w:after="60" w:before="0"/>
            </w:pPr>
            <w:r>
              <w:rPr>
                <w:rFonts w:ascii="Arial" w:cs="Arial" w:eastAsia="Arial" w:hAnsi="Arial"/>
                <w:i/>
                <w:iCs/>
                <w:color w:val="444444"/>
                <w:sz w:val="19"/>
                <w:szCs w:val="19"/>
              </w:rPr>
              <w:t xml:space="preserve">This scope will be reviewed at 30 days and adjusted by mutual agreement. The goal of the first engagement is to demonstrate value quickly — through working software and finished intelligence products — and build the foundation for a long-term operational partnership.</w:t>
            </w:r>
          </w:p>
          <w:p>
            <w:r>
              <w:rPr>
                <w:rFonts w:ascii="Arial" w:cs="Arial" w:eastAsia="Arial" w:hAnsi="Arial"/>
                <w:color w:val="888888"/>
                <w:sz w:val="17"/>
                <w:szCs w:val="17"/>
              </w:rPr>
              <w:t xml:space="preserve">Pinteq LLC · matt@pinteq.co · pinteq.co</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2026-05-01T17:39:09.784Z</dcterms:created>
  <dcterms:modified xsi:type="dcterms:W3CDTF">2026-05-01T17:39:09.785Z</dcterms:modified>
</cp:coreProperties>
</file>

<file path=docProps/custom.xml><?xml version="1.0" encoding="utf-8"?>
<Properties xmlns="http://schemas.openxmlformats.org/officeDocument/2006/custom-properties" xmlns:vt="http://schemas.openxmlformats.org/officeDocument/2006/docPropsVTypes"/>
</file>