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A14" w:val="clear"/>
            <w:tcMar>
              <w:top w:type="dxa" w:w="280"/>
              <w:left w:type="dxa" w:w="400"/>
              <w:bottom w:type="dxa" w:w="280"/>
              <w:right w:type="dxa" w:w="400"/>
            </w:tcMar>
          </w:tcPr>
          <w:p>
            <w:pPr>
              <w:spacing w:after="40" w:before="0"/>
            </w:pPr>
            <w:r>
              <w:rPr>
                <w:rFonts w:ascii="Arial" w:cs="Arial" w:eastAsia="Arial" w:hAnsi="Arial"/>
                <w:b/>
                <w:bCs/>
                <w:color w:val="FFFFFF"/>
                <w:sz w:val="32"/>
                <w:szCs w:val="32"/>
              </w:rPr>
              <w:t xml:space="preserve">Smokeball System Audit</w:t>
            </w:r>
          </w:p>
          <w:p>
            <w:pPr>
              <w:spacing w:after="20" w:before="0"/>
            </w:pPr>
            <w:r>
              <w:rPr>
                <w:rFonts w:ascii="Arial" w:cs="Arial" w:eastAsia="Arial" w:hAnsi="Arial"/>
                <w:color w:val="8aaad4"/>
                <w:sz w:val="19"/>
                <w:szCs w:val="19"/>
              </w:rPr>
              <w:t xml:space="preserve">The Law Office of Charles M. Ayres · April 30, 2026</w:t>
            </w:r>
          </w:p>
          <w:p>
            <w:r>
              <w:rPr>
                <w:rFonts w:ascii="Arial" w:cs="Arial" w:eastAsia="Arial" w:hAnsi="Arial"/>
                <w:i/>
                <w:iCs/>
                <w:color w:val="5a7aaa"/>
                <w:sz w:val="17"/>
                <w:szCs w:val="17"/>
              </w:rPr>
              <w:t xml:space="preserve">Prepared by Pinteq LLC · matt@pinteq.co · Confidential</w:t>
            </w:r>
          </w:p>
        </w:tc>
      </w:tr>
    </w:tbl>
    <w:p>
      <w:pPr>
        <w:spacing w:after="0" w:before="160"/>
      </w:pPr>
      <w:r>
        <w:t xml:space="preserve"/>
      </w:r>
    </w:p>
    <w:p>
      <w:pPr>
        <w:spacing w:after="80" w:before="240"/>
      </w:pPr>
      <w:r>
        <w:rPr>
          <w:rFonts w:ascii="Arial" w:cs="Arial" w:eastAsia="Arial" w:hAnsi="Arial"/>
          <w:b/>
          <w:bCs/>
          <w:color w:val="2E5FA3"/>
          <w:spacing w:val="50"/>
          <w:sz w:val="20"/>
          <w:szCs w:val="20"/>
        </w:rPr>
        <w:t xml:space="preserve">01 · PRACTICE SNAPSHOT</w:t>
      </w:r>
    </w:p>
    <w:p>
      <w:pPr>
        <w:pBdr>
          <w:bottom w:val="single" w:color="2E5FA3" w:sz="4" w:space="1"/>
        </w:pBdr>
        <w:spacing w:after="10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pPr>
              <w:spacing w:after="16" w:before="0"/>
            </w:pPr>
            <w:r>
              <w:rPr>
                <w:rFonts w:ascii="Arial" w:cs="Arial" w:eastAsia="Arial" w:hAnsi="Arial"/>
                <w:color w:val="777777"/>
                <w:sz w:val="17"/>
                <w:szCs w:val="17"/>
              </w:rPr>
              <w:t xml:space="preserve">Active matters</w:t>
            </w:r>
          </w:p>
          <w:p>
            <w:pPr>
              <w:spacing w:after="4" w:before="0"/>
            </w:pPr>
            <w:r>
              <w:rPr>
                <w:rFonts w:ascii="Arial" w:cs="Arial" w:eastAsia="Arial" w:hAnsi="Arial"/>
                <w:b/>
                <w:bCs/>
                <w:color w:val="2E5FA3"/>
                <w:sz w:val="26"/>
                <w:szCs w:val="26"/>
              </w:rPr>
              <w:t xml:space="preserve">64 total</w:t>
            </w:r>
          </w:p>
          <w:p>
            <w:r>
              <w:rPr>
                <w:rFonts w:ascii="Arial" w:cs="Arial" w:eastAsia="Arial" w:hAnsi="Arial"/>
                <w:color w:val="555555"/>
                <w:sz w:val="17"/>
                <w:szCs w:val="17"/>
              </w:rPr>
              <w:t xml:space="preserve">36 open/pending visible on first screen</w:t>
            </w:r>
          </w:p>
        </w:tc>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pPr>
              <w:spacing w:after="16" w:before="0"/>
            </w:pPr>
            <w:r>
              <w:rPr>
                <w:rFonts w:ascii="Arial" w:cs="Arial" w:eastAsia="Arial" w:hAnsi="Arial"/>
                <w:color w:val="777777"/>
                <w:sz w:val="17"/>
                <w:szCs w:val="17"/>
              </w:rPr>
              <w:t xml:space="preserve">Primary matter type</w:t>
            </w:r>
          </w:p>
          <w:p>
            <w:pPr>
              <w:spacing w:after="4" w:before="0"/>
            </w:pPr>
            <w:r>
              <w:rPr>
                <w:rFonts w:ascii="Arial" w:cs="Arial" w:eastAsia="Arial" w:hAnsi="Arial"/>
                <w:b/>
                <w:bCs/>
                <w:color w:val="2E5FA3"/>
                <w:sz w:val="26"/>
                <w:szCs w:val="26"/>
              </w:rPr>
              <w:t xml:space="preserve">Felony</w:t>
            </w:r>
          </w:p>
          <w:p>
            <w:r>
              <w:rPr>
                <w:rFonts w:ascii="Arial" w:cs="Arial" w:eastAsia="Arial" w:hAnsi="Arial"/>
                <w:color w:val="555555"/>
                <w:sz w:val="17"/>
                <w:szCs w:val="17"/>
              </w:rPr>
              <w:t xml:space="preserve">Muskegon and Kent County · MI</w:t>
            </w:r>
          </w:p>
        </w:tc>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pPr>
              <w:spacing w:after="16" w:before="0"/>
            </w:pPr>
            <w:r>
              <w:rPr>
                <w:rFonts w:ascii="Arial" w:cs="Arial" w:eastAsia="Arial" w:hAnsi="Arial"/>
                <w:color w:val="777777"/>
                <w:sz w:val="17"/>
                <w:szCs w:val="17"/>
              </w:rPr>
              <w:t xml:space="preserve">April 2026 activity</w:t>
            </w:r>
          </w:p>
          <w:p>
            <w:pPr>
              <w:spacing w:after="4" w:before="0"/>
            </w:pPr>
            <w:r>
              <w:rPr>
                <w:rFonts w:ascii="Arial" w:cs="Arial" w:eastAsia="Arial" w:hAnsi="Arial"/>
                <w:b/>
                <w:bCs/>
                <w:color w:val="2E5FA3"/>
                <w:sz w:val="26"/>
                <w:szCs w:val="26"/>
              </w:rPr>
              <w:t xml:space="preserve">283 hrs</w:t>
            </w:r>
          </w:p>
          <w:p>
            <w:r>
              <w:rPr>
                <w:rFonts w:ascii="Arial" w:cs="Arial" w:eastAsia="Arial" w:hAnsi="Arial"/>
                <w:color w:val="555555"/>
                <w:sz w:val="17"/>
                <w:szCs w:val="17"/>
              </w:rPr>
              <w:t xml:space="preserve">964 logged activities · 64 matters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16" w:before="0"/>
            </w:pPr>
            <w:r>
              <w:rPr>
                <w:rFonts w:ascii="Arial" w:cs="Arial" w:eastAsia="Arial" w:hAnsi="Arial"/>
                <w:color w:val="777777"/>
                <w:sz w:val="17"/>
                <w:szCs w:val="17"/>
              </w:rPr>
              <w:t xml:space="preserve">Billing rate</w:t>
            </w:r>
          </w:p>
          <w:p>
            <w:pPr>
              <w:spacing w:after="4" w:before="0"/>
            </w:pPr>
            <w:r>
              <w:rPr>
                <w:rFonts w:ascii="Arial" w:cs="Arial" w:eastAsia="Arial" w:hAnsi="Arial"/>
                <w:b/>
                <w:bCs/>
                <w:color w:val="1E6B3C"/>
                <w:sz w:val="26"/>
                <w:szCs w:val="26"/>
              </w:rPr>
              <w:t xml:space="preserve">$130/hr</w:t>
            </w:r>
          </w:p>
          <w:p>
            <w:r>
              <w:rPr>
                <w:rFonts w:ascii="Arial" w:cs="Arial" w:eastAsia="Arial" w:hAnsi="Arial"/>
                <w:color w:val="555555"/>
                <w:sz w:val="17"/>
                <w:szCs w:val="17"/>
              </w:rPr>
              <w:t xml:space="preserve">Active time billing in Smokeball</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16" w:before="0"/>
            </w:pPr>
            <w:r>
              <w:rPr>
                <w:rFonts w:ascii="Arial" w:cs="Arial" w:eastAsia="Arial" w:hAnsi="Arial"/>
                <w:color w:val="777777"/>
                <w:sz w:val="17"/>
                <w:szCs w:val="17"/>
              </w:rPr>
              <w:t xml:space="preserve">Tasks overdue</w:t>
            </w:r>
          </w:p>
          <w:p>
            <w:pPr>
              <w:spacing w:after="4" w:before="0"/>
            </w:pPr>
            <w:r>
              <w:rPr>
                <w:rFonts w:ascii="Arial" w:cs="Arial" w:eastAsia="Arial" w:hAnsi="Arial"/>
                <w:b/>
                <w:bCs/>
                <w:color w:val="991B1B"/>
                <w:sz w:val="26"/>
                <w:szCs w:val="26"/>
              </w:rPr>
              <w:t xml:space="preserve">14 overdue</w:t>
            </w:r>
          </w:p>
          <w:p>
            <w:r>
              <w:rPr>
                <w:rFonts w:ascii="Arial" w:cs="Arial" w:eastAsia="Arial" w:hAnsi="Arial"/>
                <w:color w:val="555555"/>
                <w:sz w:val="17"/>
                <w:szCs w:val="17"/>
              </w:rPr>
              <w:t xml:space="preserve">17 due this week · 16 this month</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16" w:before="0"/>
            </w:pPr>
            <w:r>
              <w:rPr>
                <w:rFonts w:ascii="Arial" w:cs="Arial" w:eastAsia="Arial" w:hAnsi="Arial"/>
                <w:color w:val="777777"/>
                <w:sz w:val="17"/>
                <w:szCs w:val="17"/>
              </w:rPr>
              <w:t xml:space="preserve">Smokeball plan</w:t>
            </w:r>
          </w:p>
          <w:p>
            <w:pPr>
              <w:spacing w:after="4" w:before="0"/>
            </w:pPr>
            <w:r>
              <w:rPr>
                <w:rFonts w:ascii="Arial" w:cs="Arial" w:eastAsia="Arial" w:hAnsi="Arial"/>
                <w:b/>
                <w:bCs/>
                <w:color w:val="2E5FA3"/>
                <w:sz w:val="26"/>
                <w:szCs w:val="26"/>
              </w:rPr>
              <w:t xml:space="preserve">Full suite</w:t>
            </w:r>
          </w:p>
          <w:p>
            <w:r>
              <w:rPr>
                <w:rFonts w:ascii="Arial" w:cs="Arial" w:eastAsia="Arial" w:hAnsi="Arial"/>
                <w:color w:val="555555"/>
                <w:sz w:val="17"/>
                <w:szCs w:val="17"/>
              </w:rPr>
              <w:t xml:space="preserve">Matters, billing, calendar, docs</w:t>
            </w:r>
          </w:p>
        </w:tc>
      </w:tr>
    </w:tbl>
    <w:p>
      <w:pPr>
        <w:spacing w:after="0" w:before="120"/>
      </w:pPr>
      <w:r>
        <w:t xml:space="preserve"/>
      </w:r>
    </w:p>
    <w:p>
      <w:pPr>
        <w:spacing w:after="80" w:before="240"/>
      </w:pPr>
      <w:r>
        <w:rPr>
          <w:rFonts w:ascii="Arial" w:cs="Arial" w:eastAsia="Arial" w:hAnsi="Arial"/>
          <w:b/>
          <w:bCs/>
          <w:color w:val="2E5FA3"/>
          <w:spacing w:val="50"/>
          <w:sz w:val="20"/>
          <w:szCs w:val="20"/>
        </w:rPr>
        <w:t xml:space="preserve">02 · WHAT IS WORKING WELL</w:t>
      </w:r>
    </w:p>
    <w:p>
      <w:pPr>
        <w:pBdr>
          <w:bottom w:val="single" w:color="2E5FA3" w:sz="4" w:space="1"/>
        </w:pBdr>
        <w:spacing w:after="100" w:before="140"/>
      </w:pPr>
    </w:p>
    <w:p>
      <w:pPr>
        <w:spacing w:after="60" w:before="40"/>
      </w:pPr>
      <w:r>
        <w:rPr>
          <w:rFonts w:ascii="Arial" w:cs="Arial" w:eastAsia="Arial" w:hAnsi="Arial"/>
          <w:i w:val="false"/>
          <w:iCs w:val="false"/>
          <w:color w:val="333333"/>
          <w:sz w:val="20"/>
          <w:szCs w:val="20"/>
        </w:rPr>
        <w:t xml:space="preserve">Several Smokeball features are in active, consistent use and represent genuine strengths of the current setup. These will be preserved and extended — not replaced.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460"/>
        <w:gridCol w:w="1560"/>
      </w:tblGrid>
      <w:tr>
        <w:tc>
          <w:tcPr>
            <w:tcW w:type="dxa" w:w="2340"/>
            <w:tcBorders>
              <w:top w:val="single" w:color="CCCCCC" w:sz="1"/>
              <w:left w:val="single" w:color="CCCCCC" w:sz="1"/>
              <w:bottom w:val="single" w:color="CCCCCC" w:sz="1"/>
              <w:right w:val="single" w:color="CCCCCC" w:sz="1"/>
            </w:tcBorders>
            <w:shd w:fill="0A0A14"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5460"/>
            <w:tcBorders>
              <w:top w:val="single" w:color="CCCCCC" w:sz="1"/>
              <w:left w:val="single" w:color="CCCCCC" w:sz="1"/>
              <w:bottom w:val="single" w:color="CCCCCC" w:sz="1"/>
              <w:right w:val="single" w:color="CCCCCC" w:sz="1"/>
            </w:tcBorders>
            <w:shd w:fill="0A0A14" w:val="clear"/>
            <w:tcMar>
              <w:top w:type="dxa" w:w="80"/>
              <w:left w:type="dxa" w:w="120"/>
              <w:bottom w:type="dxa" w:w="80"/>
              <w:right w:type="dxa" w:w="120"/>
            </w:tcMar>
          </w:tcPr>
          <w:p>
            <w:r>
              <w:rPr>
                <w:rFonts w:ascii="Arial" w:cs="Arial" w:eastAsia="Arial" w:hAnsi="Arial"/>
                <w:b/>
                <w:bCs/>
                <w:color w:val="FFFFFF"/>
                <w:sz w:val="18"/>
                <w:szCs w:val="18"/>
              </w:rPr>
              <w:t xml:space="preserve">Observation</w:t>
            </w:r>
          </w:p>
        </w:tc>
        <w:tc>
          <w:tcPr>
            <w:tcW w:type="dxa" w:w="1560"/>
            <w:tcBorders>
              <w:top w:val="single" w:color="CCCCCC" w:sz="1"/>
              <w:left w:val="single" w:color="CCCCCC" w:sz="1"/>
              <w:bottom w:val="single" w:color="CCCCCC" w:sz="1"/>
              <w:right w:val="single" w:color="CCCCCC" w:sz="1"/>
            </w:tcBorders>
            <w:shd w:fill="0A0A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6B3C"/>
                <w:sz w:val="18"/>
                <w:szCs w:val="18"/>
              </w:rPr>
              <w:t xml:space="preserve">Matter naming convention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Consistent format already established: [County] · [Case#] · [Client] · [Charge] · [Prosecutor] · [Court]. This is clean and parseable — the pipeline can extract structured data from it automatically.</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 Strong</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6B3C"/>
                <w:sz w:val="18"/>
                <w:szCs w:val="18"/>
              </w:rPr>
              <w:t xml:space="preserve">Stage pipeline</w:t>
            </w:r>
          </w:p>
        </w:tc>
        <w:tc>
          <w:tcPr>
            <w:tcW w:type="dxa" w:w="54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color w:val="333333"/>
                <w:sz w:val="18"/>
                <w:szCs w:val="18"/>
              </w:rPr>
              <w:t xml:space="preserve">Full criminal case lifecycle built and actively tracked: Arraignment → First Contact → PCC → Discovery → Prelim → Bind Over → Pretrial → Additional Discovery → Settlement → Plea → Trial → Sentencing.</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 Strong</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6B3C"/>
                <w:sz w:val="18"/>
                <w:szCs w:val="18"/>
              </w:rPr>
              <w:t xml:space="preserve">Calendar &amp; events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Court dates, jail visits, and hearing events are consistently logged with location and duration. The O’Connor matter showed 6 calendar events properly dated. The chronology engine will read directly from this.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 Active</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6B3C"/>
                <w:sz w:val="18"/>
                <w:szCs w:val="18"/>
              </w:rPr>
              <w:t xml:space="preserve">Time &amp; billing</w:t>
            </w:r>
          </w:p>
        </w:tc>
        <w:tc>
          <w:tcPr>
            <w:tcW w:type="dxa" w:w="54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color w:val="333333"/>
                <w:sz w:val="18"/>
                <w:szCs w:val="18"/>
              </w:rPr>
              <w:t xml:space="preserve">Active billing at $130/hr across multiple matters. Time entries are detailed and categorized. 283 hours logged in April across 64 matters. The billing infrastructure is healthy.</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 Active</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6B3C"/>
                <w:sz w:val="18"/>
                <w:szCs w:val="18"/>
              </w:rPr>
              <w:t xml:space="preserve">Discovery folder structure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The Allen matter shows an organic folder structure already close to the target: Audio/Video, Defendant’s Discovery, FOIA, Hard Drive Material, ICHAT, Photos, Prelim Exhibits, Reports, Subpoenas, Transcripts. This becomes the standard enforced across all matters.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 Extend</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6B3C"/>
                <w:sz w:val="18"/>
                <w:szCs w:val="18"/>
              </w:rPr>
              <w:t xml:space="preserve">Email integration</w:t>
            </w:r>
          </w:p>
        </w:tc>
        <w:tc>
          <w:tcPr>
            <w:tcW w:type="dxa" w:w="54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color w:val="333333"/>
                <w:sz w:val="18"/>
                <w:szCs w:val="18"/>
              </w:rPr>
              <w:t xml:space="preserve">Emails are being captured per matter. The O’Connor matter showed 22 received emails organized by thread. Prosecutor correspondence is tracked. This is a valuable evidence trail that the intelligence layer will reference.</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 Active</w:t>
            </w:r>
          </w:p>
        </w:tc>
      </w:tr>
    </w:tbl>
    <w:p>
      <w:pPr>
        <w:spacing w:after="0" w:before="140"/>
      </w:pPr>
      <w:r>
        <w:t xml:space="preserve"/>
      </w:r>
    </w:p>
    <w:p>
      <w:pPr>
        <w:spacing w:after="80" w:before="240"/>
      </w:pPr>
      <w:r>
        <w:rPr>
          <w:rFonts w:ascii="Arial" w:cs="Arial" w:eastAsia="Arial" w:hAnsi="Arial"/>
          <w:b/>
          <w:bCs/>
          <w:color w:val="2E5FA3"/>
          <w:spacing w:val="50"/>
          <w:sz w:val="20"/>
          <w:szCs w:val="20"/>
        </w:rPr>
        <w:t xml:space="preserve">03 · FINDINGS &amp; GAPS</w:t>
      </w:r>
    </w:p>
    <w:p>
      <w:pPr>
        <w:pBdr>
          <w:bottom w:val="single" w:color="2E5FA3" w:sz="4" w:space="1"/>
        </w:pBdr>
        <w:spacing w:after="100" w:before="140"/>
      </w:pPr>
    </w:p>
    <w:p>
      <w:pPr>
        <w:spacing w:after="60" w:before="40"/>
      </w:pPr>
      <w:r>
        <w:rPr>
          <w:rFonts w:ascii="Arial" w:cs="Arial" w:eastAsia="Arial" w:hAnsi="Arial"/>
          <w:i w:val="false"/>
          <w:iCs w:val="false"/>
          <w:color w:val="333333"/>
          <w:sz w:val="20"/>
          <w:szCs w:val="20"/>
        </w:rPr>
        <w:t xml:space="preserve">The following gaps represent the highest-friction points in the current workflow. These are where time is lost, information becomes unretrievable, and trial preparation suffers.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440"/>
        <w:gridCol w:w="2760"/>
      </w:tblGrid>
      <w:tr>
        <w:tc>
          <w:tcPr>
            <w:tcW w:type="dxa" w:w="1800"/>
            <w:tcBorders>
              <w:top w:val="single" w:color="CCCCCC" w:sz="1"/>
              <w:left w:val="single" w:color="CCCCCC" w:sz="1"/>
              <w:bottom w:val="single" w:color="CCCCCC" w:sz="1"/>
              <w:right w:val="single" w:color="CCCCCC" w:sz="1"/>
            </w:tcBorders>
            <w:shd w:fill="0A0A14"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3360"/>
            <w:tcBorders>
              <w:top w:val="single" w:color="CCCCCC" w:sz="1"/>
              <w:left w:val="single" w:color="CCCCCC" w:sz="1"/>
              <w:bottom w:val="single" w:color="CCCCCC" w:sz="1"/>
              <w:right w:val="single" w:color="CCCCCC" w:sz="1"/>
            </w:tcBorders>
            <w:shd w:fill="0A0A14"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1440"/>
            <w:tcBorders>
              <w:top w:val="single" w:color="CCCCCC" w:sz="1"/>
              <w:left w:val="single" w:color="CCCCCC" w:sz="1"/>
              <w:bottom w:val="single" w:color="CCCCCC" w:sz="1"/>
              <w:right w:val="single" w:color="CCCCCC" w:sz="1"/>
            </w:tcBorders>
            <w:shd w:fill="0A0A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2760"/>
            <w:tcBorders>
              <w:top w:val="single" w:color="CCCCCC" w:sz="1"/>
              <w:left w:val="single" w:color="CCCCCC" w:sz="1"/>
              <w:bottom w:val="single" w:color="CCCCCC" w:sz="1"/>
              <w:right w:val="single" w:color="CCCCCC" w:sz="1"/>
            </w:tcBorders>
            <w:shd w:fill="0A0A14"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180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0A0A14"/>
                <w:sz w:val="18"/>
                <w:szCs w:val="18"/>
              </w:rPr>
              <w:t xml:space="preserve">File naming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Files inside discovery folders have no consistent naming convention. The Allen Audio/Video folder contains: SUSPICIOUS_CONDITION_NOISE_SUBJECT-3, ASSAULT, 2025-12-08_19-54-17_utc_e37..., Case-WY2534851. Four completely different formats in one folder.</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7"/>
                <w:szCs w:val="17"/>
              </w:rPr>
              <w:t xml:space="preserve">Critical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Files cannot be identified without opening them. No automated processing possible.</w:t>
            </w:r>
          </w:p>
        </w:tc>
      </w:tr>
      <w:tr>
        <w:tc>
          <w:tcPr>
            <w:tcW w:type="dxa" w:w="180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0A0A14"/>
                <w:sz w:val="18"/>
                <w:szCs w:val="18"/>
              </w:rPr>
              <w:t xml:space="preserve">Chain of custody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 intake manifest exists. When discovery arrives from the courthouse there is no record of what was received, in what format, or when. Files may exist on drives that never made it into Smokeball.</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7"/>
                <w:szCs w:val="17"/>
              </w:rPr>
              <w:t xml:space="preserve">Critical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No defensible record of discovery receipt. Exposure if a file goes missing.</w:t>
            </w:r>
          </w:p>
        </w:tc>
      </w:tr>
      <w:tr>
        <w:tc>
          <w:tcPr>
            <w:tcW w:type="dxa" w:w="180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0A0A14"/>
                <w:sz w:val="18"/>
                <w:szCs w:val="18"/>
              </w:rPr>
              <w:t xml:space="preserve">Video file sizes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Large video files found in Audio/Video: 11GB, 3.36GB, 2.61GB, 2.07GB, 1.99GB, 491MB, 140MB. These are body cam and surveillance files. None appear to be transcribed or indexed.</w:t>
            </w:r>
          </w:p>
        </w:tc>
        <w:tc>
          <w:tcPr>
            <w:tcW w:type="dxa" w:w="14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540A"/>
                <w:sz w:val="17"/>
                <w:szCs w:val="17"/>
              </w:rPr>
              <w:t xml:space="preserve">High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Evidence in these files is inaccessible without playing each one. No searchable content.</w:t>
            </w:r>
          </w:p>
        </w:tc>
      </w:tr>
      <w:tr>
        <w:tc>
          <w:tcPr>
            <w:tcW w:type="dxa" w:w="180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0A0A14"/>
                <w:sz w:val="18"/>
                <w:szCs w:val="18"/>
              </w:rPr>
              <w:t xml:space="preserve">Tasks overdue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14 overdue tasks visible. 17 due this week. Suggests task generation is not keeping pace with case activity, or tasks are being created without completion tracking.</w:t>
            </w:r>
          </w:p>
        </w:tc>
        <w:tc>
          <w:tcPr>
            <w:tcW w:type="dxa" w:w="14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540A"/>
                <w:sz w:val="17"/>
                <w:szCs w:val="17"/>
              </w:rPr>
              <w:t xml:space="preserve">High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Deadlines at risk. No automated task generation from case events.</w:t>
            </w:r>
          </w:p>
        </w:tc>
      </w:tr>
      <w:tr>
        <w:tc>
          <w:tcPr>
            <w:tcW w:type="dxa" w:w="180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0A0A14"/>
                <w:sz w:val="18"/>
                <w:szCs w:val="18"/>
              </w:rPr>
              <w:t xml:space="preserve">Memos unstructured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Memos are being used for case intelligence but without structure. O’Connor matter shows memos titled “MESSAGES 3RD PARTIES,” “MESSAGES CLIENT,” “NOTES” — all freeform text, not queryable.</w:t>
            </w:r>
          </w:p>
        </w:tc>
        <w:tc>
          <w:tcPr>
            <w:tcW w:type="dxa" w:w="14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540A"/>
                <w:sz w:val="17"/>
                <w:szCs w:val="17"/>
              </w:rPr>
              <w:t xml:space="preserve">High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Intelligence buried in unstructured notes. Cannot be cross-referenced or searched.</w:t>
            </w:r>
          </w:p>
        </w:tc>
      </w:tr>
      <w:tr>
        <w:tc>
          <w:tcPr>
            <w:tcW w:type="dxa" w:w="180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0A0A14"/>
                <w:sz w:val="18"/>
                <w:szCs w:val="18"/>
              </w:rPr>
              <w:t xml:space="preserve">No matter tags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Reports show “&lt;No Tags&gt;” on all matters reviewed. The tagging system is available but unused. No classification by case type, urgency, or investigative priority.</w:t>
            </w:r>
          </w:p>
        </w:tc>
        <w:tc>
          <w:tcPr>
            <w:tcW w:type="dxa" w:w="14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540A"/>
                <w:sz w:val="17"/>
                <w:szCs w:val="17"/>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Cannot filter or query matters by meaningful categories.</w:t>
            </w:r>
          </w:p>
        </w:tc>
      </w:tr>
      <w:tr>
        <w:tc>
          <w:tcPr>
            <w:tcW w:type="dxa" w:w="180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0A0A14"/>
                <w:sz w:val="18"/>
                <w:szCs w:val="18"/>
              </w:rPr>
              <w:t xml:space="preserve">INFOTRACK unused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INFOTRACK tab is present on all matters but showed “Total $0.00” — the litigation search integration appears unused or not configured.</w:t>
            </w:r>
          </w:p>
        </w:tc>
        <w:tc>
          <w:tcPr>
            <w:tcW w:type="dxa" w:w="14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pPr>
              <w:jc w:val="center"/>
            </w:pPr>
            <w:r>
              <w:rPr>
                <w:rFonts w:ascii="Arial" w:cs="Arial" w:eastAsia="Arial" w:hAnsi="Arial"/>
                <w:b/>
                <w:bCs/>
                <w:color w:val="777777"/>
                <w:sz w:val="17"/>
                <w:szCs w:val="17"/>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Potential search capability not being leveraged.</w:t>
            </w:r>
          </w:p>
        </w:tc>
      </w:tr>
      <w:tr>
        <w:tc>
          <w:tcPr>
            <w:tcW w:type="dxa" w:w="180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0A0A14"/>
                <w:sz w:val="18"/>
                <w:szCs w:val="18"/>
              </w:rPr>
              <w:t xml:space="preserve">Intake forms empty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The Intake section shows “No web inquiries” and zero pending or completed forms. Client intake is happening outside Smokeball.</w:t>
            </w:r>
          </w:p>
        </w:tc>
        <w:tc>
          <w:tcPr>
            <w:tcW w:type="dxa" w:w="14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pPr>
              <w:jc w:val="center"/>
            </w:pPr>
            <w:r>
              <w:rPr>
                <w:rFonts w:ascii="Arial" w:cs="Arial" w:eastAsia="Arial" w:hAnsi="Arial"/>
                <w:b/>
                <w:bCs/>
                <w:color w:val="777777"/>
                <w:sz w:val="17"/>
                <w:szCs w:val="17"/>
              </w:rPr>
              <w:t xml:space="preserve">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Onboarding data not captured in the system. Manual entry risk.</w:t>
            </w:r>
          </w:p>
        </w:tc>
      </w:tr>
    </w:tbl>
    <w:p>
      <w:pPr>
        <w:spacing w:after="0" w:before="140"/>
      </w:pPr>
      <w:r>
        <w:t xml:space="preserve"/>
      </w:r>
    </w:p>
    <w:p>
      <w:pPr>
        <w:spacing w:after="80" w:before="240"/>
      </w:pPr>
      <w:r>
        <w:rPr>
          <w:rFonts w:ascii="Arial" w:cs="Arial" w:eastAsia="Arial" w:hAnsi="Arial"/>
          <w:b/>
          <w:bCs/>
          <w:color w:val="2E5FA3"/>
          <w:spacing w:val="50"/>
          <w:sz w:val="20"/>
          <w:szCs w:val="20"/>
        </w:rPr>
        <w:t xml:space="preserve">04 · PINTEQ INTEGRATION OPPORTUNITIES</w:t>
      </w:r>
    </w:p>
    <w:p>
      <w:pPr>
        <w:pBdr>
          <w:bottom w:val="single" w:color="2E5FA3" w:sz="4" w:space="1"/>
        </w:pBdr>
        <w:spacing w:after="100" w:before="140"/>
      </w:pPr>
    </w:p>
    <w:p>
      <w:pPr>
        <w:spacing w:after="60" w:before="40"/>
      </w:pPr>
      <w:r>
        <w:rPr>
          <w:rFonts w:ascii="Arial" w:cs="Arial" w:eastAsia="Arial" w:hAnsi="Arial"/>
          <w:i w:val="false"/>
          <w:iCs w:val="false"/>
          <w:color w:val="333333"/>
          <w:sz w:val="20"/>
          <w:szCs w:val="20"/>
        </w:rPr>
        <w:t xml:space="preserve">Based on the audit findings, the following modules represent the highest-value integration points between Pinteq’s capabilities and the current Smokeball environment. Smokeball remains the source of truth — Pinteq adds the intelligence layer on top of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c>
          <w:tcPr>
            <w:tcW w:type="dxa" w:w="1800"/>
            <w:tcBorders>
              <w:top w:val="single" w:color="CCCCCC" w:sz="1"/>
              <w:left w:val="single" w:color="CCCCCC" w:sz="1"/>
              <w:bottom w:val="single" w:color="CCCCCC" w:sz="1"/>
              <w:right w:val="single" w:color="CCCCCC" w:sz="1"/>
            </w:tcBorders>
            <w:shd w:fill="0A0A14"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800"/>
            <w:tcBorders>
              <w:top w:val="single" w:color="CCCCCC" w:sz="1"/>
              <w:left w:val="single" w:color="CCCCCC" w:sz="1"/>
              <w:bottom w:val="single" w:color="CCCCCC" w:sz="1"/>
              <w:right w:val="single" w:color="CCCCCC" w:sz="1"/>
            </w:tcBorders>
            <w:shd w:fill="0A0A14"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2760"/>
            <w:tcBorders>
              <w:top w:val="single" w:color="CCCCCC" w:sz="1"/>
              <w:left w:val="single" w:color="CCCCCC" w:sz="1"/>
              <w:bottom w:val="single" w:color="CCCCCC" w:sz="1"/>
              <w:right w:val="single" w:color="CCCCCC" w:sz="1"/>
            </w:tcBorders>
            <w:shd w:fill="0A0A14" w:val="clear"/>
            <w:tcMar>
              <w:top w:type="dxa" w:w="80"/>
              <w:left w:type="dxa" w:w="120"/>
              <w:bottom w:type="dxa" w:w="80"/>
              <w:right w:type="dxa" w:w="120"/>
            </w:tcMar>
          </w:tcPr>
          <w:p>
            <w:r>
              <w:rPr>
                <w:rFonts w:ascii="Arial" w:cs="Arial" w:eastAsia="Arial" w:hAnsi="Arial"/>
                <w:b/>
                <w:bCs/>
                <w:color w:val="FFFFFF"/>
                <w:sz w:val="18"/>
                <w:szCs w:val="18"/>
              </w:rPr>
              <w:t xml:space="preserve">Value delivered</w:t>
            </w:r>
          </w:p>
        </w:tc>
      </w:tr>
      <w:tr>
        <w:tc>
          <w:tcPr>
            <w:tcW w:type="dxa" w:w="180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2E5FA3"/>
                <w:sz w:val="18"/>
                <w:szCs w:val="18"/>
              </w:rPr>
              <w:t xml:space="preserve">Module 1 · Intake &amp; normalization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Watches the drop folder for new files. Classifies by type, renames to a consistent convention, logs every file to a master index with case ID, source type, and chain of custody record. Uploads structured files to Smokeball automatically.</w:t>
            </w:r>
          </w:p>
        </w:tc>
        <w:tc>
          <w:tcPr>
            <w:tcW w:type="dxa" w:w="2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E6B3C"/>
                <w:sz w:val="17"/>
                <w:szCs w:val="17"/>
              </w:rPr>
              <w:t xml:space="preserve">Every file accounted for from the moment it arrives. No more hunting. Defensible chain of custody.</w:t>
            </w:r>
          </w:p>
        </w:tc>
      </w:tr>
      <w:tr>
        <w:tc>
          <w:tcPr>
            <w:tcW w:type="dxa" w:w="180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2E5FA3"/>
                <w:sz w:val="18"/>
                <w:szCs w:val="18"/>
              </w:rPr>
              <w:t xml:space="preserve">Module 2 · Chronology engine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Reads Smokeball events, file history, and phone record CSVs to build a layered case timeline. Every documented event placed in sequence with source tagged. Prosecution timeline gaps surfaced automatically.</w:t>
            </w:r>
          </w:p>
        </w:tc>
        <w:tc>
          <w:tcPr>
            <w:tcW w:type="dxa" w:w="2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E6B3C"/>
                <w:sz w:val="17"/>
                <w:szCs w:val="17"/>
              </w:rPr>
              <w:t xml:space="preserve">Complete case chronology ready before trial prep begins. Inconsistencies visible at a glance.</w:t>
            </w:r>
          </w:p>
        </w:tc>
      </w:tr>
      <w:tr>
        <w:tc>
          <w:tcPr>
            <w:tcW w:type="dxa" w:w="180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2E5FA3"/>
                <w:sz w:val="18"/>
                <w:szCs w:val="18"/>
              </w:rPr>
              <w:t xml:space="preserve">Module 3 · Relationship graph</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Parses phone records, contact lists, and social data to map who knew who and when. Nodes = people. Edges = documented interactions. Visual network output. Identifies undisclosed relationships.</w:t>
            </w:r>
          </w:p>
        </w:tc>
        <w:tc>
          <w:tcPr>
            <w:tcW w:type="dxa" w:w="2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E6B3C"/>
                <w:sz w:val="17"/>
                <w:szCs w:val="17"/>
              </w:rPr>
              <w:t xml:space="preserve">Answer “who connects to X” in seconds instead of hours of manual cross-referencing.</w:t>
            </w:r>
          </w:p>
        </w:tc>
      </w:tr>
      <w:tr>
        <w:tc>
          <w:tcPr>
            <w:tcW w:type="dxa" w:w="180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2E5FA3"/>
                <w:sz w:val="18"/>
                <w:szCs w:val="18"/>
              </w:rPr>
              <w:t xml:space="preserve">Module 4 · Witness intelligence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Tags each witness with topics, statements, contradictions, and relationship connections. Generates structured B4 Witness Intelligence Briefs automatically from tagged data.</w:t>
            </w:r>
          </w:p>
        </w:tc>
        <w:tc>
          <w:tcPr>
            <w:tcW w:type="dxa" w:w="2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E6B3C"/>
                <w:sz w:val="17"/>
                <w:szCs w:val="17"/>
              </w:rPr>
              <w:t xml:space="preserve">Chuck walks into cross-examination with a complete brief on every witness — contradictions flagged, angles suggested.</w:t>
            </w:r>
          </w:p>
        </w:tc>
      </w:tr>
      <w:tr>
        <w:tc>
          <w:tcPr>
            <w:tcW w:type="dxa" w:w="180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2E5FA3"/>
                <w:sz w:val="18"/>
                <w:szCs w:val="18"/>
              </w:rPr>
              <w:t xml:space="preserve">Module 5 · Transcription pipeline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Sends audio and video files to Whisper API for transcription. Spanish-language material flagged for translation. Transcripts stored as searchable text in Smokeball. Speaker-segmented where possible.</w:t>
            </w:r>
          </w:p>
        </w:tc>
        <w:tc>
          <w:tcPr>
            <w:tcW w:type="dxa" w:w="2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E6B3C"/>
                <w:sz w:val="17"/>
                <w:szCs w:val="17"/>
              </w:rPr>
              <w:t xml:space="preserve">Every recorded statement becomes searchable text. No more playing 3GB video files to find one quote.</w:t>
            </w:r>
          </w:p>
        </w:tc>
      </w:tr>
    </w:tbl>
    <w:p>
      <w:pPr>
        <w:spacing w:after="0" w:before="140"/>
      </w:pPr>
      <w:r>
        <w:t xml:space="preserve"/>
      </w:r>
    </w:p>
    <w:p>
      <w:pPr>
        <w:spacing w:after="80" w:before="240"/>
      </w:pPr>
      <w:r>
        <w:rPr>
          <w:rFonts w:ascii="Arial" w:cs="Arial" w:eastAsia="Arial" w:hAnsi="Arial"/>
          <w:b/>
          <w:bCs/>
          <w:color w:val="2E5FA3"/>
          <w:spacing w:val="50"/>
          <w:sz w:val="20"/>
          <w:szCs w:val="20"/>
        </w:rPr>
        <w:t xml:space="preserve">05 · WHAT BECOMES POSSIBLE</w:t>
      </w:r>
    </w:p>
    <w:p>
      <w:pPr>
        <w:pBdr>
          <w:bottom w:val="single" w:color="2E5FA3" w:sz="4" w:space="1"/>
        </w:pBdr>
        <w:spacing w:after="100" w:before="140"/>
      </w:pPr>
    </w:p>
    <w:p>
      <w:pPr>
        <w:spacing w:after="60" w:before="40"/>
      </w:pPr>
      <w:r>
        <w:rPr>
          <w:rFonts w:ascii="Arial" w:cs="Arial" w:eastAsia="Arial" w:hAnsi="Arial"/>
          <w:i w:val="false"/>
          <w:iCs w:val="false"/>
          <w:color w:val="333333"/>
          <w:sz w:val="20"/>
          <w:szCs w:val="20"/>
        </w:rPr>
        <w:t xml:space="preserve">When the five modules are operational, the following queries become answerable in seconds rather than hours of manual file review: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4FD" w:val="clear"/>
            <w:tcMar>
              <w:top w:type="dxa" w:w="100"/>
              <w:left w:type="dxa" w:w="160"/>
              <w:bottom w:type="dxa" w:w="100"/>
              <w:right w:type="dxa" w:w="160"/>
            </w:tcMar>
          </w:tcPr>
          <w:p>
            <w:pPr>
              <w:spacing w:after="8" w:before="0"/>
            </w:pPr>
            <w:r>
              <w:rPr>
                <w:rFonts w:ascii="Courier New" w:cs="Courier New" w:eastAsia="Courier New" w:hAnsi="Courier New"/>
                <w:color w:val="2E5FA3"/>
                <w:sz w:val="19"/>
                <w:szCs w:val="19"/>
              </w:rPr>
              <w:t xml:space="preserve">“Show all contact between [X] and [Y] before [date]”</w:t>
            </w:r>
          </w:p>
          <w:p>
            <w:r>
              <w:rPr>
                <w:rFonts w:ascii="Arial" w:cs="Arial" w:eastAsia="Arial" w:hAnsi="Arial"/>
                <w:color w:val="555555"/>
                <w:sz w:val="17"/>
                <w:szCs w:val="17"/>
              </w:rPr>
              <w:t xml:space="preserve">Phone records and social data cross-referenced against timeline</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8" w:before="0"/>
            </w:pPr>
            <w:r>
              <w:rPr>
                <w:rFonts w:ascii="Courier New" w:cs="Courier New" w:eastAsia="Courier New" w:hAnsi="Courier New"/>
                <w:color w:val="2E5FA3"/>
                <w:sz w:val="19"/>
                <w:szCs w:val="19"/>
              </w:rPr>
              <w:t xml:space="preserve">“Who mentions [witness] across all statements?”</w:t>
            </w:r>
          </w:p>
          <w:p>
            <w:r>
              <w:rPr>
                <w:rFonts w:ascii="Arial" w:cs="Arial" w:eastAsia="Arial" w:hAnsi="Arial"/>
                <w:color w:val="555555"/>
                <w:sz w:val="17"/>
                <w:szCs w:val="17"/>
              </w:rPr>
              <w:t xml:space="preserve">All transcripts and memos searched simultaneously</w:t>
            </w:r>
          </w:p>
        </w:tc>
      </w:tr>
      <w:tr>
        <w:tc>
          <w:tcPr>
            <w:tcW w:type="dxa" w:w="4680"/>
            <w:tcBorders>
              <w:top w:val="single" w:color="CCCCCC" w:sz="1"/>
              <w:left w:val="single" w:color="CCCCCC" w:sz="1"/>
              <w:bottom w:val="single" w:color="CCCCCC" w:sz="1"/>
              <w:right w:val="single" w:color="CCCCCC" w:sz="1"/>
            </w:tcBorders>
            <w:shd w:fill="F4F4F6" w:val="clear"/>
            <w:tcMar>
              <w:top w:type="dxa" w:w="100"/>
              <w:left w:type="dxa" w:w="160"/>
              <w:bottom w:type="dxa" w:w="100"/>
              <w:right w:type="dxa" w:w="160"/>
            </w:tcMar>
          </w:tcPr>
          <w:p>
            <w:pPr>
              <w:spacing w:after="8" w:before="0"/>
            </w:pPr>
            <w:r>
              <w:rPr>
                <w:rFonts w:ascii="Courier New" w:cs="Courier New" w:eastAsia="Courier New" w:hAnsi="Courier New"/>
                <w:color w:val="2E5FA3"/>
                <w:sz w:val="19"/>
                <w:szCs w:val="19"/>
              </w:rPr>
              <w:t xml:space="preserve">“Where does [witness] contradict themselves?”</w:t>
            </w:r>
          </w:p>
          <w:p>
            <w:r>
              <w:rPr>
                <w:rFonts w:ascii="Arial" w:cs="Arial" w:eastAsia="Arial" w:hAnsi="Arial"/>
                <w:color w:val="555555"/>
                <w:sz w:val="17"/>
                <w:szCs w:val="17"/>
              </w:rPr>
              <w:t xml:space="preserve">Statement record cross-referenced across all appearances</w:t>
            </w:r>
          </w:p>
        </w:tc>
        <w:tc>
          <w:tcPr>
            <w:tcW w:type="dxa" w:w="4680"/>
            <w:tcBorders>
              <w:top w:val="single" w:color="CCCCCC" w:sz="1"/>
              <w:left w:val="single" w:color="CCCCCC" w:sz="1"/>
              <w:bottom w:val="single" w:color="CCCCCC" w:sz="1"/>
              <w:right w:val="single" w:color="CCCCCC" w:sz="1"/>
            </w:tcBorders>
            <w:shd w:fill="F4F4F6" w:val="clear"/>
            <w:tcMar>
              <w:top w:type="dxa" w:w="100"/>
              <w:left w:type="dxa" w:w="160"/>
              <w:bottom w:type="dxa" w:w="100"/>
              <w:right w:type="dxa" w:w="160"/>
            </w:tcMar>
          </w:tcPr>
          <w:p>
            <w:pPr>
              <w:spacing w:after="8" w:before="0"/>
            </w:pPr>
            <w:r>
              <w:rPr>
                <w:rFonts w:ascii="Courier New" w:cs="Courier New" w:eastAsia="Courier New" w:hAnsi="Courier New"/>
                <w:color w:val="2E5FA3"/>
                <w:sz w:val="19"/>
                <w:szCs w:val="19"/>
              </w:rPr>
              <w:t xml:space="preserve">“Map everyone connected to [subject] within 2 degrees”</w:t>
            </w:r>
          </w:p>
          <w:p>
            <w:r>
              <w:rPr>
                <w:rFonts w:ascii="Arial" w:cs="Arial" w:eastAsia="Arial" w:hAnsi="Arial"/>
                <w:color w:val="555555"/>
                <w:sz w:val="17"/>
                <w:szCs w:val="17"/>
              </w:rPr>
              <w:t xml:space="preserve">Relationship graph traversal from phone and social data</w:t>
            </w:r>
          </w:p>
        </w:tc>
      </w:tr>
      <w:tr>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8" w:before="0"/>
            </w:pPr>
            <w:r>
              <w:rPr>
                <w:rFonts w:ascii="Courier New" w:cs="Courier New" w:eastAsia="Courier New" w:hAnsi="Courier New"/>
                <w:color w:val="2E5FA3"/>
                <w:sz w:val="19"/>
                <w:szCs w:val="19"/>
              </w:rPr>
              <w:t xml:space="preserve">“Did the FOIA package on [case] make it in?”</w:t>
            </w:r>
          </w:p>
          <w:p>
            <w:r>
              <w:rPr>
                <w:rFonts w:ascii="Arial" w:cs="Arial" w:eastAsia="Arial" w:hAnsi="Arial"/>
                <w:color w:val="555555"/>
                <w:sz w:val="17"/>
                <w:szCs w:val="17"/>
              </w:rPr>
              <w:t xml:space="preserve">Master index check · chain of custody log</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8" w:before="0"/>
            </w:pPr>
            <w:r>
              <w:rPr>
                <w:rFonts w:ascii="Courier New" w:cs="Courier New" w:eastAsia="Courier New" w:hAnsi="Courier New"/>
                <w:color w:val="2E5FA3"/>
                <w:sz w:val="19"/>
                <w:szCs w:val="19"/>
              </w:rPr>
              <w:t xml:space="preserve">“What came in on [case] last week?”</w:t>
            </w:r>
          </w:p>
          <w:p>
            <w:r>
              <w:rPr>
                <w:rFonts w:ascii="Arial" w:cs="Arial" w:eastAsia="Arial" w:hAnsi="Arial"/>
                <w:color w:val="555555"/>
                <w:sz w:val="17"/>
                <w:szCs w:val="17"/>
              </w:rPr>
              <w:t xml:space="preserve">Index query by case ID and date range</w:t>
            </w:r>
          </w:p>
        </w:tc>
      </w:tr>
    </w:tbl>
    <w:p>
      <w:pPr>
        <w:spacing w:after="0" w:before="140"/>
      </w:pPr>
      <w:r>
        <w:t xml:space="preserve"/>
      </w:r>
    </w:p>
    <w:p>
      <w:pPr>
        <w:spacing w:after="80" w:before="240"/>
      </w:pPr>
      <w:r>
        <w:rPr>
          <w:rFonts w:ascii="Arial" w:cs="Arial" w:eastAsia="Arial" w:hAnsi="Arial"/>
          <w:b/>
          <w:bCs/>
          <w:color w:val="2E5FA3"/>
          <w:spacing w:val="50"/>
          <w:sz w:val="20"/>
          <w:szCs w:val="20"/>
        </w:rPr>
        <w:t xml:space="preserve">06 · RECOMMENDED NEXT STEPS</w:t>
      </w:r>
    </w:p>
    <w:p>
      <w:pPr>
        <w:pBdr>
          <w:bottom w:val="single" w:color="2E5FA3" w:sz="4" w:space="1"/>
        </w:pBdr>
        <w:spacing w:after="10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W w:type="dxa" w:w="1440"/>
            <w:tcBorders>
              <w:top w:val="single" w:color="CCCCCC" w:sz="1"/>
              <w:left w:val="single" w:color="CCCCCC" w:sz="1"/>
              <w:bottom w:val="single" w:color="CCCCCC" w:sz="1"/>
              <w:right w:val="single" w:color="CCCCCC" w:sz="1"/>
            </w:tcBorders>
            <w:shd w:fill="0A0A1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5760"/>
            <w:tcBorders>
              <w:top w:val="single" w:color="CCCCCC" w:sz="1"/>
              <w:left w:val="single" w:color="CCCCCC" w:sz="1"/>
              <w:bottom w:val="single" w:color="CCCCCC" w:sz="1"/>
              <w:right w:val="single" w:color="CCCCCC" w:sz="1"/>
            </w:tcBorders>
            <w:shd w:fill="0A0A14"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160"/>
            <w:tcBorders>
              <w:top w:val="single" w:color="CCCCCC" w:sz="1"/>
              <w:left w:val="single" w:color="CCCCCC" w:sz="1"/>
              <w:bottom w:val="single" w:color="CCCCCC" w:sz="1"/>
              <w:right w:val="single" w:color="CCCCCC" w:sz="1"/>
            </w:tcBorders>
            <w:shd w:fill="0A0A14" w:val="clear"/>
            <w:tcMar>
              <w:top w:type="dxa" w:w="80"/>
              <w:left w:type="dxa" w:w="120"/>
              <w:bottom w:type="dxa" w:w="80"/>
              <w:right w:type="dxa" w:w="120"/>
            </w:tcMar>
          </w:tcPr>
          <w:p>
            <w:r>
              <w:rPr>
                <w:rFonts w:ascii="Arial" w:cs="Arial" w:eastAsia="Arial" w:hAnsi="Arial"/>
                <w:b/>
                <w:bCs/>
                <w:color w:val="FFFFFF"/>
                <w:sz w:val="18"/>
                <w:szCs w:val="18"/>
              </w:rPr>
              <w:t xml:space="preserve">Timeline</w:t>
            </w:r>
          </w:p>
        </w:tc>
      </w:tr>
      <w:tr>
        <w:tc>
          <w:tcPr>
            <w:tcW w:type="dxa" w:w="144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2E5FA3"/>
                <w:sz w:val="20"/>
                <w:szCs w:val="20"/>
              </w:rPr>
              <w:t xml:space="preserve">01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 w:before="0"/>
            </w:pPr>
            <w:r>
              <w:rPr>
                <w:rFonts w:ascii="Arial" w:cs="Arial" w:eastAsia="Arial" w:hAnsi="Arial"/>
                <w:b/>
                <w:bCs/>
                <w:color w:val="0A0A14"/>
                <w:sz w:val="18"/>
                <w:szCs w:val="18"/>
              </w:rPr>
              <w:t xml:space="preserve">Confirm file naming convention</w:t>
            </w:r>
          </w:p>
          <w:p>
            <w:r>
              <w:rPr>
                <w:rFonts w:ascii="Arial" w:cs="Arial" w:eastAsia="Arial" w:hAnsi="Arial"/>
                <w:color w:val="555555"/>
                <w:sz w:val="17"/>
                <w:szCs w:val="17"/>
              </w:rPr>
              <w:t xml:space="preserve">Agree on the standard format for all incoming discovery files. This is the foundation Module 1 is built on. One 30-minute conversation produces the spec.</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6B3C"/>
                <w:sz w:val="17"/>
                <w:szCs w:val="17"/>
              </w:rPr>
              <w:t xml:space="preserve">This week</w:t>
            </w:r>
          </w:p>
        </w:tc>
      </w:tr>
      <w:tr>
        <w:tc>
          <w:tcPr>
            <w:tcW w:type="dxa" w:w="144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2E5FA3"/>
                <w:sz w:val="20"/>
                <w:szCs w:val="20"/>
              </w:rPr>
              <w:t xml:space="preserve">02</w:t>
            </w:r>
          </w:p>
        </w:tc>
        <w:tc>
          <w:tcPr>
            <w:tcW w:type="dxa" w:w="57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pPr>
              <w:spacing w:after="8" w:before="0"/>
            </w:pPr>
            <w:r>
              <w:rPr>
                <w:rFonts w:ascii="Arial" w:cs="Arial" w:eastAsia="Arial" w:hAnsi="Arial"/>
                <w:b/>
                <w:bCs/>
                <w:color w:val="0A0A14"/>
                <w:sz w:val="18"/>
                <w:szCs w:val="18"/>
              </w:rPr>
              <w:t xml:space="preserve">Submit Smokeball API access application</w:t>
            </w:r>
          </w:p>
          <w:p>
            <w:r>
              <w:rPr>
                <w:rFonts w:ascii="Arial" w:cs="Arial" w:eastAsia="Arial" w:hAnsi="Arial"/>
                <w:color w:val="555555"/>
                <w:sz w:val="17"/>
                <w:szCs w:val="17"/>
              </w:rPr>
              <w:t xml:space="preserve">Charles authorizes the API request from Pinteq. Application submitted to marketplace.smokeball.com. Typically approved within 1–2 weeks. Required before any pipeline development begins.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6B3C"/>
                <w:sz w:val="17"/>
                <w:szCs w:val="17"/>
              </w:rPr>
              <w:t xml:space="preserve">This week</w:t>
            </w:r>
          </w:p>
        </w:tc>
      </w:tr>
      <w:tr>
        <w:tc>
          <w:tcPr>
            <w:tcW w:type="dxa" w:w="144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2E5FA3"/>
                <w:sz w:val="20"/>
                <w:szCs w:val="20"/>
              </w:rPr>
              <w:t xml:space="preserve">03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 w:before="0"/>
            </w:pPr>
            <w:r>
              <w:rPr>
                <w:rFonts w:ascii="Arial" w:cs="Arial" w:eastAsia="Arial" w:hAnsi="Arial"/>
                <w:b/>
                <w:bCs/>
                <w:color w:val="0A0A14"/>
                <w:sz w:val="18"/>
                <w:szCs w:val="18"/>
              </w:rPr>
              <w:t xml:space="preserve">Build Module 1 intake and normalization pipeline</w:t>
            </w:r>
          </w:p>
          <w:p>
            <w:r>
              <w:rPr>
                <w:rFonts w:ascii="Arial" w:cs="Arial" w:eastAsia="Arial" w:hAnsi="Arial"/>
                <w:color w:val="555555"/>
                <w:sz w:val="17"/>
                <w:szCs w:val="17"/>
              </w:rPr>
              <w:t xml:space="preserve">Python pipeline that watches the drop folder, classifies and renames files, logs to master index, and uploads to Smokeball via API. First working demo within 2 weeks of API access.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Weeks 2–6</w:t>
            </w:r>
          </w:p>
        </w:tc>
      </w:tr>
      <w:tr>
        <w:tc>
          <w:tcPr>
            <w:tcW w:type="dxa" w:w="144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2E5FA3"/>
                <w:sz w:val="20"/>
                <w:szCs w:val="20"/>
              </w:rPr>
              <w:t xml:space="preserve">04</w:t>
            </w:r>
          </w:p>
        </w:tc>
        <w:tc>
          <w:tcPr>
            <w:tcW w:type="dxa" w:w="57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pPr>
              <w:spacing w:after="8" w:before="0"/>
            </w:pPr>
            <w:r>
              <w:rPr>
                <w:rFonts w:ascii="Arial" w:cs="Arial" w:eastAsia="Arial" w:hAnsi="Arial"/>
                <w:b/>
                <w:bCs/>
                <w:color w:val="0A0A14"/>
                <w:sz w:val="18"/>
                <w:szCs w:val="18"/>
              </w:rPr>
              <w:t xml:space="preserve">Begin intelligence work on active cases</w:t>
            </w:r>
          </w:p>
          <w:p>
            <w:r>
              <w:rPr>
                <w:rFonts w:ascii="Arial" w:cs="Arial" w:eastAsia="Arial" w:hAnsi="Arial"/>
                <w:color w:val="555555"/>
                <w:sz w:val="17"/>
                <w:szCs w:val="17"/>
              </w:rPr>
              <w:t xml:space="preserve">Start producing structured intelligence reports — subject profiles, relationship maps, witness intelligence briefs — on the highest-priority active matters while the pipeline is being built.</w:t>
            </w:r>
          </w:p>
        </w:tc>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color w:val="555555"/>
                <w:sz w:val="17"/>
                <w:szCs w:val="17"/>
              </w:rPr>
              <w:t xml:space="preserve">Immediate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8"/>
              <w:left w:val="none" w:color="FFFFFF" w:sz="0"/>
              <w:bottom w:val="none" w:color="FFFFFF" w:sz="0"/>
              <w:right w:val="none" w:color="FFFFFF" w:sz="0"/>
            </w:tcBorders>
            <w:shd w:fill="F4F4F6" w:val="clear"/>
            <w:tcMar>
              <w:top w:type="dxa" w:w="180"/>
              <w:left w:type="dxa" w:w="240"/>
              <w:bottom w:type="dxa" w:w="180"/>
              <w:right w:type="dxa" w:w="240"/>
            </w:tcMar>
          </w:tcPr>
          <w:p>
            <w:pPr>
              <w:spacing w:after="40" w:before="0"/>
            </w:pPr>
            <w:r>
              <w:rPr>
                <w:rFonts w:ascii="Courier New" w:cs="Courier New" w:eastAsia="Courier New" w:hAnsi="Courier New"/>
                <w:color w:val="2E5FA3"/>
                <w:spacing w:val="60"/>
                <w:sz w:val="24"/>
                <w:szCs w:val="24"/>
              </w:rPr>
              <w:t xml:space="preserve">| pinteq |</w:t>
            </w:r>
          </w:p>
          <w:p>
            <w:pPr>
              <w:spacing w:after="60" w:before="0"/>
            </w:pPr>
            <w:r>
              <w:rPr>
                <w:rFonts w:ascii="Georgia" w:cs="Georgia" w:eastAsia="Georgia" w:hAnsi="Georgia"/>
                <w:i/>
                <w:iCs/>
                <w:color w:val="8a6a2a"/>
                <w:sz w:val="18"/>
                <w:szCs w:val="18"/>
              </w:rPr>
              <w:t xml:space="preserve">the art of information</w:t>
            </w:r>
          </w:p>
          <w:p>
            <w:pPr>
              <w:spacing w:after="20" w:before="0"/>
            </w:pPr>
            <w:r>
              <w:rPr>
                <w:rFonts w:ascii="Arial" w:cs="Arial" w:eastAsia="Arial" w:hAnsi="Arial"/>
                <w:color w:val="555555"/>
                <w:sz w:val="17"/>
                <w:szCs w:val="17"/>
              </w:rPr>
              <w:t xml:space="preserve">Smokeball System Audit · The Law Office of Charles M. Ayres · April 30, 2026</w:t>
            </w:r>
          </w:p>
          <w:p>
            <w:r>
              <w:rPr>
                <w:rFonts w:ascii="Arial" w:cs="Arial" w:eastAsia="Arial" w:hAnsi="Arial"/>
                <w:color w:val="888888"/>
                <w:sz w:val="16"/>
                <w:szCs w:val="16"/>
              </w:rPr>
              <w:t xml:space="preserve">Prepared by Pinteq LLC · matt@pinteq.co · pinteq.co · Confidential · Work Product</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2026-05-01T17:21:33.674Z</dcterms:created>
  <dcterms:modified xsi:type="dcterms:W3CDTF">2026-05-01T17:21:33.675Z</dcterms:modified>
</cp:coreProperties>
</file>

<file path=docProps/custom.xml><?xml version="1.0" encoding="utf-8"?>
<Properties xmlns="http://schemas.openxmlformats.org/officeDocument/2006/custom-properties" xmlns:vt="http://schemas.openxmlformats.org/officeDocument/2006/docPropsVTypes"/>
</file>