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63625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63625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63625F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F96296">
      <w:pPr>
        <w:pStyle w:val="NormalWeb"/>
        <w:numPr>
          <w:ilvl w:val="0"/>
          <w:numId w:val="16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63625F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63625F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2" w:history="1">
        <w:r w:rsidR="009D7F84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F96296">
      <w:pPr>
        <w:pStyle w:val="ListParagraph"/>
        <w:numPr>
          <w:ilvl w:val="0"/>
          <w:numId w:val="19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4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5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1E5D6C89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742470">
        <w:rPr>
          <w:rFonts w:eastAsia="Times New Roman"/>
          <w:lang w:val="en-CA" w:eastAsia="en-CA"/>
        </w:rPr>
        <w:t>Estimators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7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8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</w:t>
        </w:r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-</w:t>
        </w:r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15BFA601" w:rsidR="006A686A" w:rsidRPr="006A686A" w:rsidRDefault="006A686A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</w:t>
      </w:r>
      <w:r w:rsidR="0074247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63625F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9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</w:t>
        </w:r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e</w:t>
        </w:r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40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1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1008A55F" w14:textId="77777777" w:rsidR="00E5070B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6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49FABBE2" w:rsidR="00E5070B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basics</w:t>
      </w:r>
    </w:p>
    <w:p w14:paraId="04E7C199" w14:textId="27469404" w:rsidR="00F96296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mean, median</w:t>
      </w:r>
    </w:p>
    <w:p w14:paraId="602D033B" w14:textId="6A58892E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0B30C594" w14:textId="2FABDD18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in the folder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\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Uncertainty_Course</w:t>
      </w:r>
      <w:proofErr w:type="spellEnd"/>
      <w:r w:rsidRPr="00F96296">
        <w:rPr>
          <w:rFonts w:ascii="Calibri" w:eastAsia="Times New Roman" w:hAnsi="Calibri" w:cs="Calibri"/>
          <w:color w:val="000000"/>
          <w:lang w:val="en-CA" w:eastAsia="en-CA"/>
        </w:rPr>
        <w:t>\Bootstrap and Monte Carlo</w:t>
      </w:r>
    </w:p>
    <w:p w14:paraId="5A0FF644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92FBDE" w14:textId="7F33E3EF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 or Bright Space: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Bootstrap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examples.ipynb</w:t>
      </w:r>
      <w:proofErr w:type="spellEnd"/>
    </w:p>
    <w:p w14:paraId="691884AC" w14:textId="31677DF9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7" w:history="1">
        <w:r w:rsidRPr="00F962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</w:p>
    <w:p w14:paraId="6CA6A661" w14:textId="447B679A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4D4252A4" w14:textId="254F2548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Bootstrap chapter</w:t>
      </w:r>
    </w:p>
    <w:p w14:paraId="4E6F77AE" w14:textId="5847B1CD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49E83754" w14:textId="446D6CE2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D9BBCE" w14:textId="77777777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FE6BD4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5049C6A8" w14:textId="0191F548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 - optional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8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9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50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1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38DDAA3D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3EAE4A" w14:textId="77777777" w:rsidR="0063625F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</w:t>
      </w:r>
    </w:p>
    <w:p w14:paraId="04BC54C5" w14:textId="77777777" w:rsidR="00F96296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Solving integrals</w:t>
      </w:r>
      <w:r w:rsidR="000E29A0" w:rsidRPr="006362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F92411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48D85E02" w14:textId="2E208A9B" w:rsid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on </w:t>
      </w: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in the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Bootstrap and Monte Carlo</w:t>
      </w:r>
    </w:p>
    <w:p w14:paraId="7B6A5154" w14:textId="67439B65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52" w:history="1">
        <w:r w:rsidRPr="00B27F8D">
          <w:rPr>
            <w:rStyle w:val="Hyperlink"/>
            <w:rFonts w:ascii="Calibri" w:eastAsia="Times New Roman" w:hAnsi="Calibri" w:cs="Calibri"/>
            <w:lang w:val="en-CA" w:eastAsia="en-CA"/>
          </w:rPr>
          <w:t>https://am207.github.io/2017/slides/lecture4.pdf</w:t>
        </w:r>
      </w:hyperlink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2F9B4B38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A16AAC" w14:textId="3EF8096A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Bright 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Space: </w:t>
      </w:r>
      <w:r>
        <w:rPr>
          <w:rFonts w:ascii="Calibri" w:eastAsia="Times New Roman" w:hAnsi="Calibri" w:cs="Calibri"/>
          <w:color w:val="000000"/>
          <w:lang w:val="en-CA" w:eastAsia="en-CA"/>
        </w:rPr>
        <w:t>Monte Carlo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example.ipynb</w:t>
      </w:r>
      <w:proofErr w:type="spellEnd"/>
    </w:p>
    <w:p w14:paraId="442C5ED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753FE34D" w14:textId="77DAB65B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Chapters 2 and 3 from the book Understanding Computational Bayesian Statistics</w:t>
      </w:r>
      <w:bookmarkStart w:id="1" w:name="_GoBack"/>
      <w:bookmarkEnd w:id="1"/>
    </w:p>
    <w:p w14:paraId="2F0008D2" w14:textId="77777777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2F5F1FE8" w14:textId="77777777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AB6E9A" w14:textId="480CB04E" w:rsidR="00B07B5F" w:rsidRPr="00F96296" w:rsidRDefault="00B07B5F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29DCEF5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6: </w:t>
      </w:r>
      <w:r w:rsidR="00742470">
        <w:rPr>
          <w:rFonts w:eastAsia="Times New Roman"/>
          <w:lang w:val="en-CA" w:eastAsia="en-CA"/>
        </w:rPr>
        <w:t>Estimating distributions and modeling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13ACD8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3DAD38F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06D8723" w14:textId="61504E69" w:rsidR="00B07B5F" w:rsidRDefault="00B07B5F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M. </w:t>
      </w:r>
      <w:proofErr w:type="spellStart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Blei</w:t>
      </w:r>
      <w:proofErr w:type="spellEnd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“Build, compute, critique, repeat: Data analysis with latent variable models.” Annual Review of Statistics and Its Application 1 (2014): 203-232</w:t>
      </w:r>
    </w:p>
    <w:p w14:paraId="7CF2B670" w14:textId="77777777" w:rsidR="00B07B5F" w:rsidRDefault="00B07B5F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53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64DEE50" w14:textId="77777777" w:rsidR="00B07B5F" w:rsidRDefault="00B07B5F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4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6BC1DD8" w14:textId="77777777" w:rsidR="00B07B5F" w:rsidRDefault="00B07B5F" w:rsidP="00B07B5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29D1DCCF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10B60E" w14:textId="77777777" w:rsidR="00B07B5F" w:rsidRDefault="00B07B5F" w:rsidP="00F96296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Pr="002F6C9D">
        <w:t xml:space="preserve"> </w:t>
      </w:r>
      <w:r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3253484" w14:textId="77777777" w:rsidR="00B07B5F" w:rsidRDefault="00B07B5F" w:rsidP="00F96296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5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5C887E" w14:textId="77777777" w:rsidR="00B07B5F" w:rsidRPr="00A72CFB" w:rsidRDefault="00B07B5F" w:rsidP="00F96296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9ED09C3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459C5C53" w14:textId="77777777" w:rsidR="00B07B5F" w:rsidRPr="0034200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3D38575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13F30EC8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5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7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5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60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1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604E5598" w:rsidR="001A67B0" w:rsidRDefault="001A67B0" w:rsidP="001A67B0">
      <w:pPr>
        <w:pStyle w:val="Heading3"/>
      </w:pPr>
      <w:r w:rsidRPr="00E5070B">
        <w:t xml:space="preserve">Lecture </w:t>
      </w:r>
      <w:r w:rsidR="00B07B5F">
        <w:t>8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F9629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63625F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3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applications.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F96296">
      <w:pPr>
        <w:pStyle w:val="ListParagraph"/>
        <w:numPr>
          <w:ilvl w:val="0"/>
          <w:numId w:val="18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F96296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209AEEEE" w:rsidR="001A67B0" w:rsidRDefault="001A67B0" w:rsidP="001A67B0">
      <w:pPr>
        <w:pStyle w:val="Heading3"/>
      </w:pPr>
      <w:r w:rsidRPr="00E5070B">
        <w:t xml:space="preserve">Lecture </w:t>
      </w:r>
      <w:r w:rsidR="00B07B5F">
        <w:t>9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64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proofErr w:type="spellStart"/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5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6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CB59622" w14:textId="77777777" w:rsidR="00956925" w:rsidRPr="00CB7E2D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6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673A1D31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17ADBD" w14:textId="77777777" w:rsidR="0063625F" w:rsidRDefault="0063625F"/>
    <w:p w14:paraId="6A08188B" w14:textId="77777777" w:rsidR="0063625F" w:rsidRDefault="0063625F" w:rsidP="0063625F">
      <w:pPr>
        <w:pStyle w:val="Heading3"/>
      </w:pPr>
      <w:r>
        <w:t>Lecture 11a MCMC</w:t>
      </w:r>
    </w:p>
    <w:p w14:paraId="1E445D78" w14:textId="77777777" w:rsidR="0063625F" w:rsidRPr="006619D9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MCMC</w:t>
      </w:r>
    </w:p>
    <w:p w14:paraId="3FC283AF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442A82B" w14:textId="77777777" w:rsidR="0063625F" w:rsidRPr="00E5070B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C3A3A10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50D23361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B09F997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6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38B8D82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649B9F2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56F47F6" w14:textId="77777777" w:rsidR="0063625F" w:rsidRPr="008741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6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49289A68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7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35B8734E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002C43E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3D3633E9" w14:textId="77777777" w:rsidR="0063625F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B8AED2" w14:textId="53A28E92" w:rsidR="0063625F" w:rsidRPr="0063625F" w:rsidRDefault="0063625F">
      <w:r>
        <w:br w:type="page"/>
      </w:r>
    </w:p>
    <w:p w14:paraId="1540F64B" w14:textId="5A048D97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7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7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7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5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F96296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odrag Bolic" w:date="2017-12-24T15:56:00Z" w:initials="MB">
    <w:p w14:paraId="72E2600F" w14:textId="77777777" w:rsidR="0063625F" w:rsidRDefault="0063625F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63625F" w:rsidRDefault="0063625F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E1"/>
    <w:multiLevelType w:val="hybridMultilevel"/>
    <w:tmpl w:val="721C3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9274B0"/>
    <w:multiLevelType w:val="hybridMultilevel"/>
    <w:tmpl w:val="DE982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E1490"/>
    <w:multiLevelType w:val="hybridMultilevel"/>
    <w:tmpl w:val="333C0B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6"/>
  </w:num>
  <w:num w:numId="6">
    <w:abstractNumId w:val="0"/>
  </w:num>
  <w:num w:numId="7">
    <w:abstractNumId w:val="19"/>
  </w:num>
  <w:num w:numId="8">
    <w:abstractNumId w:val="20"/>
  </w:num>
  <w:num w:numId="9">
    <w:abstractNumId w:val="10"/>
  </w:num>
  <w:num w:numId="10">
    <w:abstractNumId w:val="17"/>
  </w:num>
  <w:num w:numId="11">
    <w:abstractNumId w:val="3"/>
  </w:num>
  <w:num w:numId="12">
    <w:abstractNumId w:val="6"/>
  </w:num>
  <w:num w:numId="13">
    <w:abstractNumId w:val="4"/>
  </w:num>
  <w:num w:numId="14">
    <w:abstractNumId w:val="18"/>
  </w:num>
  <w:num w:numId="15">
    <w:abstractNumId w:val="14"/>
  </w:num>
  <w:num w:numId="16">
    <w:abstractNumId w:val="21"/>
  </w:num>
  <w:num w:numId="17">
    <w:abstractNumId w:val="5"/>
  </w:num>
  <w:num w:numId="18">
    <w:abstractNumId w:val="11"/>
  </w:num>
  <w:num w:numId="19">
    <w:abstractNumId w:val="15"/>
  </w:num>
  <w:num w:numId="20">
    <w:abstractNumId w:val="13"/>
  </w:num>
  <w:num w:numId="21">
    <w:abstractNumId w:val="12"/>
  </w:num>
  <w:num w:numId="22">
    <w:abstractNumId w:val="1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C3AE3"/>
    <w:rsid w:val="000D0B45"/>
    <w:rsid w:val="000E29A0"/>
    <w:rsid w:val="000F56B6"/>
    <w:rsid w:val="00190B8A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4200F"/>
    <w:rsid w:val="0038104F"/>
    <w:rsid w:val="003A22ED"/>
    <w:rsid w:val="003E1673"/>
    <w:rsid w:val="0044796B"/>
    <w:rsid w:val="00463C76"/>
    <w:rsid w:val="004A07C0"/>
    <w:rsid w:val="004A26C7"/>
    <w:rsid w:val="004D5306"/>
    <w:rsid w:val="004E6753"/>
    <w:rsid w:val="004F43CD"/>
    <w:rsid w:val="00513853"/>
    <w:rsid w:val="0053731E"/>
    <w:rsid w:val="005442C9"/>
    <w:rsid w:val="005544A5"/>
    <w:rsid w:val="005853F7"/>
    <w:rsid w:val="005A6E72"/>
    <w:rsid w:val="006035F3"/>
    <w:rsid w:val="0063625F"/>
    <w:rsid w:val="006619D9"/>
    <w:rsid w:val="006A0B28"/>
    <w:rsid w:val="006A686A"/>
    <w:rsid w:val="006B7BD2"/>
    <w:rsid w:val="006E2166"/>
    <w:rsid w:val="006F15E0"/>
    <w:rsid w:val="0070354D"/>
    <w:rsid w:val="00723FDA"/>
    <w:rsid w:val="007339ED"/>
    <w:rsid w:val="00742470"/>
    <w:rsid w:val="007E3569"/>
    <w:rsid w:val="00810F14"/>
    <w:rsid w:val="0081621A"/>
    <w:rsid w:val="0083040C"/>
    <w:rsid w:val="00841E8C"/>
    <w:rsid w:val="00874114"/>
    <w:rsid w:val="008C46D8"/>
    <w:rsid w:val="008D4CA8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124D"/>
    <w:rsid w:val="00C33295"/>
    <w:rsid w:val="00CA002D"/>
    <w:rsid w:val="00CB7E2D"/>
    <w:rsid w:val="00CC4BFC"/>
    <w:rsid w:val="00CD16CF"/>
    <w:rsid w:val="00D84F58"/>
    <w:rsid w:val="00DC3E03"/>
    <w:rsid w:val="00DC540E"/>
    <w:rsid w:val="00E01CE1"/>
    <w:rsid w:val="00E418F1"/>
    <w:rsid w:val="00E44EEF"/>
    <w:rsid w:val="00E5070B"/>
    <w:rsid w:val="00E9089B"/>
    <w:rsid w:val="00EC11AF"/>
    <w:rsid w:val="00EF6FAA"/>
    <w:rsid w:val="00F42424"/>
    <w:rsid w:val="00F96296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am207.github.io/2017/wiki/frequentist-example.html" TargetMode="External"/><Relationship Id="rId63" Type="http://schemas.openxmlformats.org/officeDocument/2006/relationships/hyperlink" Target="https://github.com/lrhgit/uqsa_tutorials" TargetMode="External"/><Relationship Id="rId68" Type="http://schemas.openxmlformats.org/officeDocument/2006/relationships/hyperlink" Target="https://chi-feng.github.io/mcmc-demo/" TargetMode="Externa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24" Type="http://schemas.openxmlformats.org/officeDocument/2006/relationships/hyperlink" Target="http://markdown-guide.readthedocs.io/en/latest/basics.html" TargetMode="External"/><Relationship Id="rId32" Type="http://schemas.openxmlformats.org/officeDocument/2006/relationships/hyperlink" Target="http://nbviewer.jupyter.org/github/unpingco/Python-for-Signal-Processing/blob/master/Confidence_Intervals.ipynb" TargetMode="External"/><Relationship Id="rId37" Type="http://schemas.openxmlformats.org/officeDocument/2006/relationships/hyperlink" Target="https://am207.github.io/2017/wiki/SamplingCLT.html" TargetMode="External"/><Relationship Id="rId40" Type="http://schemas.openxmlformats.org/officeDocument/2006/relationships/hyperlink" Target="https://www.stat.berkeley.edu/~stark/SticiGui/index.htm" TargetMode="External"/><Relationship Id="rId45" Type="http://schemas.openxmlformats.org/officeDocument/2006/relationships/hyperlink" Target="http://hamelg.blogspot.ca/2015/" TargetMode="External"/><Relationship Id="rId53" Type="http://schemas.openxmlformats.org/officeDocument/2006/relationships/hyperlink" Target="http://greenteapress.com/wp/modsimpy/" TargetMode="External"/><Relationship Id="rId58" Type="http://schemas.openxmlformats.org/officeDocument/2006/relationships/hyperlink" Target="https://www.southampton.ac.uk/~fangohr/teaching/python/book/html/16-scipy.html" TargetMode="External"/><Relationship Id="rId66" Type="http://schemas.openxmlformats.org/officeDocument/2006/relationships/hyperlink" Target="http://nbviewer.jupyter.org/github/leig/Applied-Predictive-Modeling-with-Python/blob/master/notebooks/Chapter%2011.ipynb" TargetMode="External"/><Relationship Id="rId74" Type="http://schemas.openxmlformats.org/officeDocument/2006/relationships/hyperlink" Target="http://gpflow.readthedocs.io/en/latest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://www.site.uottawa.ca/~mbolic" TargetMode="External"/><Relationship Id="rId61" Type="http://schemas.openxmlformats.org/officeDocument/2006/relationships/hyperlink" Target="https://github.com/Queens-Physics/qexpy/tree/garrow" TargetMode="External"/><Relationship Id="rId19" Type="http://schemas.openxmlformats.org/officeDocument/2006/relationships/hyperlink" Target="https://github.com/mdbloice/MLDS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s://www.stat.berkeley.edu/~stark/SticiGui/Text/confidenceIntervals.htm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s://people.duke.edu/~ccc14/sta663/ResamplingAndMonteCarloSimulations.html" TargetMode="External"/><Relationship Id="rId56" Type="http://schemas.openxmlformats.org/officeDocument/2006/relationships/hyperlink" Target="http://www.chem-soc.si/dokumenti/analytical-measurement-measurement-uncertainty-and-statistics/view" TargetMode="External"/><Relationship Id="rId64" Type="http://schemas.openxmlformats.org/officeDocument/2006/relationships/hyperlink" Target="http://dfm.io/emcee/current/user/line/" TargetMode="External"/><Relationship Id="rId69" Type="http://schemas.openxmlformats.org/officeDocument/2006/relationships/hyperlink" Target="https://people.duke.edu/~ccc14/sta-663/MonteCarlo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github.com/facebookincubator/bootstrapped" TargetMode="External"/><Relationship Id="rId72" Type="http://schemas.openxmlformats.org/officeDocument/2006/relationships/hyperlink" Target="http://rc.signalprocessingsociety.org/sps/product/conference-videos-and-slides/SPSVID00121?source=IB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github.com/pbstark/MX14/blob/master/index.ipynb" TargetMode="External"/><Relationship Id="rId38" Type="http://schemas.openxmlformats.org/officeDocument/2006/relationships/hyperlink" Target="http://hamelg.blogspot.ca/2015/11/python-for-data-analysis-part-23-point.html" TargetMode="External"/><Relationship Id="rId46" Type="http://schemas.openxmlformats.org/officeDocument/2006/relationships/hyperlink" Target="https://www.quantconnect.com/tutorials/introduction-python-confidence-interval-hypothesis-testing/" TargetMode="External"/><Relationship Id="rId59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67" Type="http://schemas.openxmlformats.org/officeDocument/2006/relationships/hyperlink" Target="https://speakerdeck.com/jakevdp/frequentism-and-bayesianism-whats-the-big-deal-scipy-2014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www.stat.berkeley.edu/~stark/SticiGui/Text/confidenceIntervals.htm" TargetMode="External"/><Relationship Id="rId54" Type="http://schemas.openxmlformats.org/officeDocument/2006/relationships/hyperlink" Target="http://www.cmrr.umn.edu/~kendrick/statsmatlab/" TargetMode="External"/><Relationship Id="rId62" Type="http://schemas.openxmlformats.org/officeDocument/2006/relationships/hyperlink" Target="http://nbviewer.jupyter.org/github/lrhgit/uqsa_tutorials/blob/master/index.ipynb" TargetMode="External"/><Relationship Id="rId70" Type="http://schemas.openxmlformats.org/officeDocument/2006/relationships/hyperlink" Target="https://people.duke.edu/~ccc14/sta-663/MCMC.html" TargetMode="External"/><Relationship Id="rId75" Type="http://schemas.openxmlformats.org/officeDocument/2006/relationships/hyperlink" Target="https://github.com/snphbaum/scikit-gpup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hyperlink" Target="https://am207.github.io/2017/wiki/Expectations.html" TargetMode="External"/><Relationship Id="rId49" Type="http://schemas.openxmlformats.org/officeDocument/2006/relationships/hyperlink" Target="http://people.duke.edu/~ccc14/sta-663-2017/15B_ResamplingAndSimulation.html" TargetMode="External"/><Relationship Id="rId57" Type="http://schemas.openxmlformats.org/officeDocument/2006/relationships/hyperlink" Target="http://chaospy.readthedocs.io/en/master/index.html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://hamelg.blogspot.ca/2015/11/python-for-data-analysis-part-23-point.html" TargetMode="External"/><Relationship Id="rId52" Type="http://schemas.openxmlformats.org/officeDocument/2006/relationships/hyperlink" Target="https://am207.github.io/2017/slides/lecture4.pdf" TargetMode="External"/><Relationship Id="rId60" Type="http://schemas.openxmlformats.org/officeDocument/2006/relationships/hyperlink" Target="https://pdfs.semanticscholar.org/0c35/cbd410af71673f0bcfd3107ccf6b30c8f2e7.pdf" TargetMode="External"/><Relationship Id="rId65" Type="http://schemas.openxmlformats.org/officeDocument/2006/relationships/hyperlink" Target="http://nbviewer.jupyter.org/github/leig/Applied-Predictive-Modeling-with-Python/blob/master/notebooks/Chapter%206.ipynb" TargetMode="External"/><Relationship Id="rId73" Type="http://schemas.openxmlformats.org/officeDocument/2006/relationships/hyperlink" Target="https://duvenaud.github.io/sta414/lectures/Lecture11_GPs_2.pdf" TargetMode="External"/><Relationship Id="rId7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nbviewer.jupyter.org/github/unpingco/Python-for-Signal-Processing/blob/master/Confidence_Intervals.ipynb" TargetMode="External"/><Relationship Id="rId34" Type="http://schemas.openxmlformats.org/officeDocument/2006/relationships/hyperlink" Target="https://www.stat.berkeley.edu/~stark/SticiGui/index.htm" TargetMode="External"/><Relationship Id="rId50" Type="http://schemas.openxmlformats.org/officeDocument/2006/relationships/hyperlink" Target="https://am207.github.io/2017/wiki/frequentist-example.html" TargetMode="External"/><Relationship Id="rId55" Type="http://schemas.openxmlformats.org/officeDocument/2006/relationships/hyperlink" Target="http://smash.psych.nyu.edu/courses/spring12/modeling/" TargetMode="External"/><Relationship Id="rId76" Type="http://schemas.openxmlformats.org/officeDocument/2006/relationships/hyperlink" Target="https://github.com/jrg365/gpytorch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www.biometrische-gesellschaft.de/fileadmin/AG_Daten/BayesMethodik/workshops_etc/2016-12_Mainz/Muff2016-slides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3-Gaussian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14483</TotalTime>
  <Pages>26</Pages>
  <Words>4588</Words>
  <Characters>26157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6</cp:revision>
  <cp:lastPrinted>2017-12-06T15:05:00Z</cp:lastPrinted>
  <dcterms:created xsi:type="dcterms:W3CDTF">2017-12-18T02:54:00Z</dcterms:created>
  <dcterms:modified xsi:type="dcterms:W3CDTF">2018-02-05T02:49:00Z</dcterms:modified>
</cp:coreProperties>
</file>