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before="220" w:line="213.33333333333331" w:lineRule="auto"/>
        <w:rPr>
          <w:b w:val="1"/>
          <w:bCs w:val="1"/>
          <w:color w:val="4472c4"/>
          <w:sz w:val="25"/>
          <w:szCs w:val="25"/>
        </w:rPr>
      </w:pPr>
      <w:bookmarkStart w:colFirst="0" w:colLast="0" w:name="_v8619u1obg84" w:id="0"/>
      <w:bookmarkEnd w:id="0"/>
      <w:r w:rsidDel="00000000" w:rsidR="00000000" w:rsidRPr="00000000">
        <w:rPr>
          <w:b w:val="1"/>
          <w:bCs w:val="1"/>
          <w:color w:val="4472c4"/>
          <w:sz w:val="25"/>
          <w:szCs w:val="25"/>
          <w:rtl w:val="0"/>
        </w:rPr>
        <w:t xml:space="preserve">1 Assignment</w:t>
      </w:r>
    </w:p>
    <w:p w:rsidR="00000000" w:rsidDel="00000000" w:rsidP="00000000" w:rsidRDefault="00000000" w:rsidRPr="00000000" w14:paraId="00000002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Download Qcells CORE Pro from the Apple App Store or Google Play Store, select Demo, and review the available installer workflow.</w:t>
      </w:r>
    </w:p>
    <w:p w:rsidR="00000000" w:rsidDel="00000000" w:rsidP="00000000" w:rsidRDefault="00000000" w:rsidRPr="00000000" w14:paraId="00000003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Create a 5-10 page technical design for the observed workflow. Clearly separate observed behavior from assumptions.</w:t>
      </w:r>
    </w:p>
    <w:p w:rsidR="00000000" w:rsidDel="00000000" w:rsidP="00000000" w:rsidRDefault="00000000" w:rsidRPr="00000000" w14:paraId="00000004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Describe a practical native mobile architecture and assumed integration with Qcells backend services and device firmware.</w:t>
      </w:r>
    </w:p>
    <w:p w:rsidR="00000000" w:rsidDel="00000000" w:rsidP="00000000" w:rsidRDefault="00000000" w:rsidRPr="00000000" w14:paraId="00000005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Deep dive on resilient commissioning across BLE or local Wi-Fi, firmware, and later cloud synchronization.</w:t>
      </w:r>
    </w:p>
    <w:p w:rsidR="00000000" w:rsidDel="00000000" w:rsidP="00000000" w:rsidRDefault="00000000" w:rsidRPr="00000000" w14:paraId="00000006">
      <w:pPr>
        <w:shd w:fill="ffffff" w:val="clear"/>
        <w:spacing w:after="80"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Prepare a 30-minute presentation plus 15 minutes of Q&amp;A. At least one proposed Android candidate and one proposed iOS candidate must materially contribute and present.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before="220" w:line="213.33333333333331" w:lineRule="auto"/>
        <w:rPr>
          <w:b w:val="1"/>
          <w:bCs w:val="1"/>
          <w:color w:val="4472c4"/>
          <w:sz w:val="25"/>
          <w:szCs w:val="25"/>
        </w:rPr>
      </w:pPr>
      <w:bookmarkStart w:colFirst="0" w:colLast="0" w:name="_85dlrnc1a9lc" w:id="1"/>
      <w:bookmarkEnd w:id="1"/>
      <w:r w:rsidDel="00000000" w:rsidR="00000000" w:rsidRPr="00000000">
        <w:rPr>
          <w:b w:val="1"/>
          <w:bCs w:val="1"/>
          <w:color w:val="4472c4"/>
          <w:sz w:val="25"/>
          <w:szCs w:val="25"/>
          <w:rtl w:val="0"/>
        </w:rPr>
        <w:t xml:space="preserve">2 Minimum content</w:t>
      </w:r>
    </w:p>
    <w:p w:rsidR="00000000" w:rsidDel="00000000" w:rsidP="00000000" w:rsidRDefault="00000000" w:rsidRPr="00000000" w14:paraId="00000008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Observed workflow and key states, including important error and recovery paths</w:t>
      </w:r>
    </w:p>
    <w:p w:rsidR="00000000" w:rsidDel="00000000" w:rsidP="00000000" w:rsidRDefault="00000000" w:rsidRPr="00000000" w14:paraId="00000009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Major mobile components and interfaces</w:t>
      </w:r>
    </w:p>
    <w:p w:rsidR="00000000" w:rsidDel="00000000" w:rsidP="00000000" w:rsidRDefault="00000000" w:rsidRPr="00000000" w14:paraId="0000000A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Assumed backend and firmware interaction, including commands/events, timeout, retry, version compatibility, and error handling</w:t>
      </w:r>
    </w:p>
    <w:p w:rsidR="00000000" w:rsidDel="00000000" w:rsidP="00000000" w:rsidRDefault="00000000" w:rsidRPr="00000000" w14:paraId="0000000B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Offline persistence, restart recovery, synchronization, and duplicate-operation prevention</w:t>
      </w:r>
    </w:p>
    <w:p w:rsidR="00000000" w:rsidDel="00000000" w:rsidP="00000000" w:rsidRDefault="00000000" w:rsidRPr="00000000" w14:paraId="0000000C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Test approach using mocks/simulators and hardware-in-the-loop where relevant</w:t>
      </w:r>
    </w:p>
    <w:p w:rsidR="00000000" w:rsidDel="00000000" w:rsidP="00000000" w:rsidRDefault="00000000" w:rsidRPr="00000000" w14:paraId="0000000D">
      <w:pPr>
        <w:shd w:fill="ffffff" w:val="clear"/>
        <w:spacing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A system/context diagram and one sequence or state diagram</w:t>
      </w:r>
    </w:p>
    <w:p w:rsidR="00000000" w:rsidDel="00000000" w:rsidP="00000000" w:rsidRDefault="00000000" w:rsidRPr="00000000" w14:paraId="0000000E">
      <w:pPr>
        <w:shd w:fill="ffffff" w:val="clear"/>
        <w:spacing w:after="80" w:before="200" w:line="265.09090909090907" w:lineRule="auto"/>
        <w:ind w:left="360" w:firstLine="0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14"/>
          <w:szCs w:val="14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Key assumptions, tradeoffs, risks, and open questions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7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Deadline: 1/10/2026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7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Please send the English version of the technical proposal for me to review; as for the Korean version, he can prepare to present it directly to the client.</w:t>
        <w:br w:type="textWrapping"/>
        <w:br w:type="textWrapping"/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review this and get back to me so I’m kept in the loop.</w:t>
        <w:br w:type="textWrapping"/>
        <w:t xml:space="preserve">Thank you,</w:t>
        <w:br w:type="textWrapping"/>
        <w:t xml:space="preserve">Lan Pham.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135"/>
        <w:tblGridChange w:id="0">
          <w:tblGrid>
            <w:gridCol w:w="2640"/>
            <w:gridCol w:w="6135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</w:rPr>
              <w:drawing>
                <wp:inline distB="114300" distT="114300" distL="114300" distR="114300">
                  <wp:extent cx="1663700" cy="812800"/>
                  <wp:effectExtent b="0" l="0" r="0" t="0"/>
                  <wp:docPr descr="Image" id="1" name="image1.png"/>
                  <a:graphic>
                    <a:graphicData uri="http://schemas.openxmlformats.org/drawingml/2006/picture">
                      <pic:pic>
                        <pic:nvPicPr>
                          <pic:cNvPr descr="Imag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Pham Thi Ngoc Lan | Talent Acquisition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CMC Global | 17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 </w:t>
            </w: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Floor, G8 Building, 65 Hai Phong, Hai Chau, Da Nang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M: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+84 704447260</w:t>
            </w: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| E: </w:t>
            </w:r>
            <w:r w:rsidDel="00000000" w:rsidR="00000000" w:rsidRPr="00000000">
              <w:rPr>
                <w:b w:val="1"/>
                <w:bCs w:val="1"/>
                <w:color w:val="467886"/>
                <w:sz w:val="20"/>
                <w:szCs w:val="20"/>
                <w:rtl w:val="0"/>
              </w:rPr>
              <w:t xml:space="preserve">ptnlan@cmcglobal.vn</w:t>
            </w: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  | W: </w:t>
            </w:r>
            <w:hyperlink r:id="rId7">
              <w:r w:rsidDel="00000000" w:rsidR="00000000" w:rsidRPr="00000000">
                <w:rPr>
                  <w:b w:val="1"/>
                  <w:bCs w:val="1"/>
                  <w:color w:val="467886"/>
                  <w:sz w:val="20"/>
                  <w:szCs w:val="20"/>
                  <w:u w:val="single"/>
                  <w:rtl w:val="0"/>
                </w:rPr>
                <w:t xml:space="preserve">http://cmcglobal.com.vn/</w:t>
              </w:r>
            </w:hyperlink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cmcglobal.com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