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Documento di prova Sophia Vector</w:t>
      </w:r>
    </w:p>
    <w:p>
      <w:pPr>
        <w:pStyle w:val="BodyText"/>
        <w:bidi w:val="0"/>
        <w:spacing w:before="0" w:after="283"/>
        <w:jc w:val="left"/>
        <w:rPr/>
      </w:pPr>
      <w:r>
        <w:rPr/>
        <w:t>Questo documento verifica la pipeline di ingestion. Parole chiave: obblighi di trasparenza verso il cliente, IBAN IT60X0542811101000000123456, codice fiscale RSSMRA80A01H501U.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Tabella anagrafica</w:t>
      </w:r>
    </w:p>
    <w:tbl>
      <w:tblPr>
        <w:tblW w:w="559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1"/>
        <w:gridCol w:w="3376"/>
        <w:gridCol w:w="841"/>
      </w:tblGrid>
      <w:tr>
        <w:trPr/>
        <w:tc>
          <w:tcPr>
            <w:tcW w:w="138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Nome</w:t>
            </w:r>
          </w:p>
        </w:tc>
        <w:tc>
          <w:tcPr>
            <w:tcW w:w="33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IBAN</w:t>
            </w:r>
          </w:p>
        </w:tc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Filiale</w:t>
            </w:r>
          </w:p>
        </w:tc>
      </w:tr>
      <w:tr>
        <w:trPr/>
        <w:tc>
          <w:tcPr>
            <w:tcW w:w="13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Mario Rossi</w:t>
            </w:r>
          </w:p>
        </w:tc>
        <w:tc>
          <w:tcPr>
            <w:tcW w:w="33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IT60X0542811101000000123456</w:t>
            </w:r>
          </w:p>
        </w:tc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Torino</w:t>
            </w:r>
          </w:p>
        </w:tc>
      </w:tr>
      <w:tr>
        <w:trPr/>
        <w:tc>
          <w:tcPr>
            <w:tcW w:w="13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Luca Bianchi</w:t>
            </w:r>
          </w:p>
        </w:tc>
        <w:tc>
          <w:tcPr>
            <w:tcW w:w="33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IT60X0542811101000000999888</w:t>
            </w:r>
          </w:p>
        </w:tc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Milano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38</Words>
  <Characters>303</Characters>
  <CharactersWithSpaces>329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>Documento di prova Sophia Vector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