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EB5C7A">
      <w:pPr>
        <w:pStyle w:val="a"/>
      </w:pPr>
      <w:proofErr w:type="spellStart"/>
      <w:r>
        <w:t>officedown</w:t>
      </w:r>
      <w:proofErr w:type="spell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0" w:name="_Toc92573763"/>
      <w:bookmarkStart w:id="1" w:name="prerequisites"/>
      <w:r>
        <w:t>1</w:t>
      </w:r>
      <w:r>
        <w:tab/>
        <w:t>Prerequisites</w:t>
      </w:r>
      <w:bookmarkEnd w:id="0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2" w:name="_Toc92573764"/>
      <w:bookmarkStart w:id="3" w:name="intro"/>
      <w:bookmarkEnd w:id="1"/>
      <w:r>
        <w:t>2</w:t>
      </w:r>
      <w:r>
        <w:tab/>
        <w:t>Introduction</w:t>
      </w:r>
      <w:bookmarkEnd w:id="2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4" w:name="_Toc92573765"/>
      <w:bookmarkStart w:id="5" w:name="lists"/>
      <w:r>
        <w:t>2.1</w:t>
      </w:r>
      <w:r>
        <w:tab/>
        <w:t>List demo</w:t>
      </w:r>
      <w:bookmarkEnd w:id="4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>
          <w:fldChar w:fldCharType="separate"/>
        </w:r>
        <w:r w:rsidR="00BB5E1F">
          <w:t>2.1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tables">
        <w:r>
          <w:fldChar w:fldCharType="begin"/>
        </w:r>
        <w:r>
          <w:instrText xml:space="preserve"> REF tables \h \r</w:instrText>
        </w:r>
        <w:r>
          <w:fldChar w:fldCharType="separate"/>
        </w:r>
        <w:r w:rsidR="00BB5E1F">
          <w:t>4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sections">
        <w:r>
          <w:fldChar w:fldCharType="begin"/>
        </w:r>
        <w:r>
          <w:instrText xml:space="preserve"> REF sections \h \r</w:instrText>
        </w:r>
        <w:r>
          <w:fldChar w:fldCharType="separate"/>
        </w:r>
        <w:r w:rsidR="00BB5E1F">
          <w:t>5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>
          <w:fldChar w:fldCharType="separate"/>
        </w:r>
        <w:r w:rsidR="00BB5E1F">
          <w:rPr>
            <w:noProof/>
          </w:rPr>
          <w:t>2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table: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BB5E1F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6" w:name="_Toc92573766"/>
      <w:bookmarkStart w:id="7" w:name="toc"/>
      <w:bookmarkEnd w:id="3"/>
      <w:bookmarkEnd w:id="5"/>
      <w:r>
        <w:t>3</w:t>
      </w:r>
      <w:r>
        <w:tab/>
        <w:t>Tables of content</w:t>
      </w:r>
      <w:bookmarkEnd w:id="6"/>
    </w:p>
    <w:p w:rsidR="002E00F8" w:rsidRDefault="002E0BCA">
      <w:pPr>
        <w:pStyle w:val="2"/>
      </w:pPr>
      <w:bookmarkStart w:id="8" w:name="_Toc92573767"/>
      <w:bookmarkStart w:id="9" w:name="table-of-figures"/>
      <w:r>
        <w:t>3.1</w:t>
      </w:r>
      <w:r>
        <w:tab/>
        <w:t>Table of figures</w:t>
      </w:r>
      <w:bookmarkEnd w:id="8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0" w:name="_Toc92573768"/>
      <w:bookmarkStart w:id="11" w:name="table-of-tables"/>
      <w:bookmarkEnd w:id="9"/>
      <w:r>
        <w:t>3.2</w:t>
      </w:r>
      <w:r>
        <w:tab/>
        <w:t>Table of tables</w:t>
      </w:r>
      <w:bookmarkEnd w:id="10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2" w:name="_Toc92573769"/>
      <w:bookmarkStart w:id="13" w:name="table-of-content"/>
      <w:bookmarkEnd w:id="11"/>
      <w:r>
        <w:t>3.3</w:t>
      </w:r>
      <w:r>
        <w:tab/>
        <w:t>Table of content</w:t>
      </w:r>
      <w:bookmarkEnd w:id="12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7759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4" w:name="_Toc92573770"/>
      <w:bookmarkStart w:id="15" w:name="tables"/>
      <w:bookmarkEnd w:id="7"/>
      <w:bookmarkEnd w:id="13"/>
      <w:r>
        <w:lastRenderedPageBreak/>
        <w:t>4</w:t>
      </w:r>
      <w:r>
        <w:tab/>
        <w:t>Tables</w:t>
      </w:r>
      <w:bookmarkEnd w:id="14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6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6"/>
      <w:r>
        <w:t xml:space="preserve">: </w:t>
      </w:r>
      <w:proofErr w:type="spellStart"/>
      <w:r>
        <w:t>mtcars</w:t>
      </w:r>
      <w:bookmarkStart w:id="17" w:name="_GoBack"/>
      <w:bookmarkEnd w:id="17"/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5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lastRenderedPageBreak/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599" w:rsidRDefault="00477599">
      <w:pPr>
        <w:spacing w:after="0"/>
      </w:pPr>
      <w:r>
        <w:separator/>
      </w:r>
    </w:p>
  </w:endnote>
  <w:endnote w:type="continuationSeparator" w:id="0">
    <w:p w:rsidR="00477599" w:rsidRDefault="00477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EB5C7A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EB5C7A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EB5C7A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EB5C7A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7599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599" w:rsidRDefault="00477599">
      <w:r>
        <w:separator/>
      </w:r>
    </w:p>
  </w:footnote>
  <w:footnote w:type="continuationSeparator" w:id="0">
    <w:p w:rsidR="00477599" w:rsidRDefault="0047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4D32E2D6"/>
    <w:lvl w:ilvl="0" w:tplc="68C0F6A2">
      <w:start w:val="11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210A"/>
    <w:rsid w:val="002E00F8"/>
    <w:rsid w:val="002E0BCA"/>
    <w:rsid w:val="00475363"/>
    <w:rsid w:val="00477599"/>
    <w:rsid w:val="004E29B3"/>
    <w:rsid w:val="004F0F49"/>
    <w:rsid w:val="00590D07"/>
    <w:rsid w:val="006C3366"/>
    <w:rsid w:val="00784D58"/>
    <w:rsid w:val="008D6863"/>
    <w:rsid w:val="00AD29C9"/>
    <w:rsid w:val="00AD5E23"/>
    <w:rsid w:val="00B53CC4"/>
    <w:rsid w:val="00B86B75"/>
    <w:rsid w:val="00BB5E1F"/>
    <w:rsid w:val="00BC48D5"/>
    <w:rsid w:val="00C36279"/>
    <w:rsid w:val="00C80BF9"/>
    <w:rsid w:val="00E315A3"/>
    <w:rsid w:val="00EB5C7A"/>
    <w:rsid w:val="00FC57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4</cp:revision>
  <dcterms:created xsi:type="dcterms:W3CDTF">2022-01-29T03:02:00Z</dcterms:created>
  <dcterms:modified xsi:type="dcterms:W3CDTF">2022-01-31T09:26:00Z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