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9.png" ContentType="image/png"/>
  <Override PartName="/word/media/rId33.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p>
    <w:bookmarkStart w:id="24" w:name="비교의-시각화"/>
    <w:p>
      <w:pPr>
        <w:pStyle w:val="1"/>
      </w:pPr>
      <w:r>
        <w:t xml:space="preserve">비교의 시각화</w: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0" w:name="백신-접종률-top-10-국가는---순위-막대-그래프"/>
    <w:p>
      <w:pPr>
        <w:pStyle w:val="2"/>
      </w:pPr>
      <w:r>
        <w:t xml:space="preserve">백신 접종률 top 10 국가는? - 순위 막대 그래프</w:t>
      </w:r>
    </w:p>
    <w:p>
      <w:r>
        <w:pict>
          <v:rect style="width:0;height:1.5pt" o:hralign="center" o:hrstd="t" o:hr="t"/>
        </w:pic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pStyle w:val="SourceCode"/>
      </w:pPr>
      <w:r>
        <w:rPr>
          <w:rStyle w:val="NormalTok"/>
        </w:rPr>
        <w:t xml:space="preserve">vaccine_top10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6855ae5d-c403-45eb-8852-7328759db491"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55ae5d-c403-45eb-8852-7328759db491"/>
      <w:r>
        <w:t xml:space="preserve"/>
      </w:r>
      <w:r>
        <w:t xml:space="preserve">데이터가 정렬된 막대그래프</w:t>
      </w:r>
    </w:p>
    <w:p>
      <w:pPr>
        <w:pStyle w:val="a1"/>
      </w:pPr>
      <w:r>
        <w:t xml:space="preserve">앞의 백신 접종률 상위 top 10 국가를 보면 가장 백신 접종률이 높은 국가는 포르투갈로 92.6%이고, 우리나라는 전세계에서 4번째로 86.74%를 보이고 있다. 대륙별로 보자면 코로나19에 매우 피해가 컸던 유럽 국가에서는 포르투갈만과 스페인이 top 10에 포함되어 있고 아시아 국가가 가장 많은 3개 국가가 포함되었다. 남미가 2개국, 북미가 2개국, 오세아니아에서 1개국이 포함되었다. 아프리카 대륙의 국가는 한 나라도 포함되지 못한 것으로 나타난다.</w:t>
      </w:r>
    </w:p>
    <w:bookmarkEnd w:id="20"/>
    <w:bookmarkStart w:id="21" w:name="대륙별로-top-5-은-수평-막대-그래프"/>
    <w:p>
      <w:pPr>
        <w:pStyle w:val="2"/>
      </w:pPr>
      <w:r>
        <w:t xml:space="preserve">대륙별로 top 5 은? – 수평 막대 그래프</w:t>
      </w:r>
    </w:p>
    <w:p>
      <w:r>
        <w:pict>
          <v:rect style="width:0;height:1.5pt" o:hralign="center" o:hrstd="t" o:hr="t"/>
        </w:pic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pStyle w:val="SourceCode"/>
      </w:pPr>
      <w:r>
        <w:rPr>
          <w:rStyle w:val="NormalTok"/>
        </w:rPr>
        <w:t xml:space="preserve">vaccine_top5_by_continent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0"/>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top 5 국가의 결과를 보면 대부분 70% 후반의 백신 접종률을 보이지만 아프리카와 북미 지역은 상대적으로 백신 접종률이 떨어지는 것으로 나타난다. 아프리카는 대륙의 국가들의 소득이 낮기 때문에 그럴수 있으리라 추정도 가능하지만 북미 지역의 경우 쿠바와 캐나다만 접종률이 높고 나머지 국가들은 60%중반을 넘기지 못하는 것으로 나타난다. 특히 미국의 백신 접종률이 60% 중반밖에 되지 못한다. 또하나 특징적인 부분이 오세아니아인데 오세아니아는 호주만 표기되었다. 이는 데이터 전처리 과정에서 인구 천만명이상의 국가를 대상으로 하였기 때문에 오세아니아 대륙에 인구 천만명 이상 국가가 호주밖에 없기 때문에 이러한 결과가 나왔다.</w:t>
      </w:r>
    </w:p>
    <w:bookmarkEnd w:id="21"/>
    <w:bookmarkStart w:id="22" w:name="백신-접종률이-높은-국가의-사망률은-이중-축의-사용"/>
    <w:p>
      <w:pPr>
        <w:pStyle w:val="2"/>
      </w:pPr>
      <w:r>
        <w:t xml:space="preserve">백신 접종률이 높은 국가의 사망률은? – 이중 축의 사용</w:t>
      </w:r>
    </w:p>
    <w:p>
      <w:pPr>
        <w:pStyle w:val="FirstParagraph"/>
      </w:pPr>
      <w:r>
        <w:t xml:space="preserve">시각화를 하다보면 하나의 그래프에 여러 개의 데이터를 표현해야하는 경우가 많다. 다른 종류의 데이터를 표현하는데에는 서로 동일한 시각화 방법을 사용할 수도 있고 다른 시각화 방법을 사용할 수도 있다. 가장 흔하게 사용하는 경우가 막대 그래프와 선그래프를 혼용하는 경우이다. 이렇게 하나 이상의 데이터 계열을 표현하는 경우에는 보통 X, Y축 중 한 축의 스케일은 공유하지만 나머지 한 축은 각각의 데이터에 대한 스케일을 가질 수 있다. 따라서 추가적인 축의 설정이 필요하다.</w:t>
      </w:r>
      <w:r>
        <w:t xml:space="preserve"> </w:t>
      </w:r>
      <w:r>
        <w:rPr>
          <w:rStyle w:val="VerbatimChar"/>
        </w:rPr>
        <w:t xml:space="preserve">plotly</w:t>
      </w:r>
      <w:r>
        <w:t xml:space="preserve">에서는 기본적으로 설정되는 X축은 xaxis, Y축은 yaxis로</w:t>
      </w:r>
      <w:r>
        <w:t xml:space="preserve"> </w:t>
      </w:r>
      <w:r>
        <w:rPr>
          <w:rStyle w:val="VerbatimChar"/>
        </w:rPr>
        <w:t xml:space="preserve">layout()</w:t>
      </w:r>
      <w:r>
        <w:t xml:space="preserve">에서 설정이 가능하고 추가적으로 설정하는 축은 뒤에 숫자를 붙여 설정할 수 있다. X축을 추가적으로 설정하려면 xaxis2, Y축을 추가적으로 설정하려면 yaxis2로 설정한다. 이렇게 설정된 추가 축을 사용하는 trace에</w:t>
      </w:r>
      <w:r>
        <w:t xml:space="preserve"> </w:t>
      </w:r>
      <w:r>
        <w:rPr>
          <w:rStyle w:val="VerbatimChar"/>
        </w:rPr>
        <w:t xml:space="preserve">xaxis</w:t>
      </w:r>
      <w:r>
        <w:t xml:space="preserve">,</w:t>
      </w:r>
      <w:r>
        <w:t xml:space="preserve"> </w:t>
      </w:r>
      <w:r>
        <w:rPr>
          <w:rStyle w:val="VerbatimChar"/>
        </w:rPr>
        <w:t xml:space="preserve">yaxis</w:t>
      </w:r>
      <w:r>
        <w:t xml:space="preserve"> </w:t>
      </w:r>
      <w:r>
        <w:t xml:space="preserve">속성을 사용하여 해당 trace가 참조해야하는 축을 매칭한다. 이 두 속성을 설정하지 않으면</w:t>
      </w:r>
      <w:r>
        <w:t xml:space="preserve"> </w:t>
      </w:r>
      <w:r>
        <w:rPr>
          <w:rStyle w:val="VerbatimChar"/>
        </w:rPr>
        <w:t xml:space="preserve">layout()</w:t>
      </w:r>
      <w:r>
        <w:t xml:space="preserve">에서 설정되는</w:t>
      </w:r>
      <w:r>
        <w:t xml:space="preserve"> </w:t>
      </w:r>
      <w:r>
        <w:rPr>
          <w:rStyle w:val="VerbatimChar"/>
        </w:rPr>
        <w:t xml:space="preserve">xaxis</w:t>
      </w:r>
      <w:r>
        <w:t xml:space="preserve">와</w:t>
      </w:r>
      <w:r>
        <w:t xml:space="preserve"> </w:t>
      </w:r>
      <w:r>
        <w:rPr>
          <w:rStyle w:val="VerbatimChar"/>
        </w:rPr>
        <w:t xml:space="preserve">yaxis</w:t>
      </w:r>
      <w:r>
        <w:t xml:space="preserve">가 매칭되지만</w:t>
      </w:r>
      <w:r>
        <w:t xml:space="preserve"> </w:t>
      </w:r>
      <w:r>
        <w:rPr>
          <w:rStyle w:val="VerbatimChar"/>
        </w:rPr>
        <w:t xml:space="preserve">xaxis</w:t>
      </w:r>
      <w:r>
        <w:t xml:space="preserve">와</w:t>
      </w:r>
      <w:r>
        <w:t xml:space="preserve"> </w:t>
      </w:r>
      <w:r>
        <w:rPr>
          <w:rStyle w:val="VerbatimChar"/>
        </w:rPr>
        <w:t xml:space="preserve">yaxis</w:t>
      </w:r>
      <w:r>
        <w:t xml:space="preserve">에</w:t>
      </w:r>
      <w:r>
        <w:t xml:space="preserve"> </w:t>
      </w:r>
      <w:r>
        <w:t xml:space="preserve">‘</w:t>
      </w:r>
      <w:r>
        <w:t xml:space="preserve">x2</w:t>
      </w:r>
      <w:r>
        <w:t xml:space="preserve">’</w:t>
      </w:r>
      <w:r>
        <w:t xml:space="preserve">, ’y2’로 설정하면</w:t>
      </w:r>
      <w:r>
        <w:t xml:space="preserve"> </w:t>
      </w:r>
      <w:r>
        <w:rPr>
          <w:rStyle w:val="VerbatimChar"/>
        </w:rPr>
        <w:t xml:space="preserve">layout()</w:t>
      </w:r>
      <w:r>
        <w:t xml:space="preserve">의</w:t>
      </w:r>
      <w:r>
        <w:t xml:space="preserve"> </w:t>
      </w:r>
      <w:r>
        <w:rPr>
          <w:rStyle w:val="VerbatimChar"/>
        </w:rPr>
        <w:t xml:space="preserve">xaxis2</w:t>
      </w:r>
      <w:r>
        <w:t xml:space="preserve">,</w:t>
      </w:r>
      <w:r>
        <w:t xml:space="preserve"> </w:t>
      </w:r>
      <w:r>
        <w:rPr>
          <w:rStyle w:val="VerbatimChar"/>
        </w:rPr>
        <w:t xml:space="preserve">yaxis2</w:t>
      </w:r>
      <w:r>
        <w:t xml:space="preserve">에 매칭된다. 기본 축 설정인</w:t>
      </w:r>
      <w:r>
        <w:t xml:space="preserve"> </w:t>
      </w:r>
      <w:r>
        <w:rPr>
          <w:rStyle w:val="VerbatimChar"/>
        </w:rPr>
        <w:t xml:space="preserve">xaxis</w:t>
      </w:r>
      <w:r>
        <w:t xml:space="preserve">와</w:t>
      </w:r>
      <w:r>
        <w:t xml:space="preserve"> </w:t>
      </w:r>
      <w:r>
        <w:rPr>
          <w:rStyle w:val="VerbatimChar"/>
        </w:rPr>
        <w:t xml:space="preserve">yaxis</w:t>
      </w:r>
      <w:r>
        <w:t xml:space="preserve">의 속성 설정과 다른 하나는</w:t>
      </w:r>
      <w:r>
        <w:t xml:space="preserve"> </w:t>
      </w:r>
      <w:r>
        <w:rPr>
          <w:rStyle w:val="VerbatimChar"/>
        </w:rPr>
        <w:t xml:space="preserve">overlaying</w:t>
      </w:r>
      <w:r>
        <w:t xml:space="preserve">인데</w:t>
      </w:r>
      <w:r>
        <w:t xml:space="preserve"> </w:t>
      </w:r>
      <w:r>
        <w:rPr>
          <w:rStyle w:val="VerbatimChar"/>
        </w:rPr>
        <w:t xml:space="preserve">overlaying</w:t>
      </w:r>
      <w:r>
        <w:t xml:space="preserve">에 공유해야 할 축의 id를 설정함으로써 해당 축에 부가적인 축이라는 것을 설정해야 한다. 서로 축이 겹쳐서 그려지지 않도록</w:t>
      </w:r>
      <w:r>
        <w:t xml:space="preserve"> </w:t>
      </w:r>
      <w:r>
        <w:rPr>
          <w:rStyle w:val="VerbatimChar"/>
        </w:rPr>
        <w:t xml:space="preserve">side</w:t>
      </w:r>
      <w:r>
        <w:t xml:space="preserve"> </w:t>
      </w:r>
      <w:r>
        <w:t xml:space="preserve">속성을 사용하여 축이 그려지는 위치를 설정할 수 있다.</w:t>
      </w:r>
    </w:p>
    <w:p>
      <w:pPr>
        <w:pStyle w:val="a1"/>
      </w:pPr>
      <w:r>
        <w:t xml:space="preserve">이중 축의 사례를 살펴보기 위해 앞에서 그렸던 완전 백신 접종률 상위 10 국가 막대 그래프에 인구 10만명당 사망자수를 점으로 표시하는 스캐터 trace를 추가해보도록 하겠다. 백신 접종률의 Y축 스케일은 0%부터 100%까지의 스케일을 가지지만 해당 국가의 인구 10만명당 사망자수는 0.3부터 281까지의 스케일을 가지기 때문에 추가적인 Y축이 필요하게 된다. 따라서 인구 10만명당 사망자수를 표시하는</w:t>
      </w:r>
      <w:r>
        <w:t xml:space="preserve"> </w:t>
      </w:r>
      <w:r>
        <w:rPr>
          <w:rStyle w:val="VerbatimChar"/>
        </w:rPr>
        <w:t xml:space="preserve">add_trace()</w:t>
      </w:r>
      <w:r>
        <w:t xml:space="preserve">의</w:t>
      </w:r>
      <w:r>
        <w:t xml:space="preserve"> </w:t>
      </w:r>
      <w:r>
        <w:rPr>
          <w:rStyle w:val="VerbatimChar"/>
        </w:rPr>
        <w:t xml:space="preserve">yaxis</w:t>
      </w:r>
      <w:r>
        <w:t xml:space="preserve"> </w:t>
      </w:r>
      <w:r>
        <w:t xml:space="preserve">속성에 ’y2’를 설정하여 추가적인 축을 사용하는 trace로 설정하고</w:t>
      </w:r>
      <w:r>
        <w:t xml:space="preserve"> </w:t>
      </w:r>
      <w:r>
        <w:rPr>
          <w:rStyle w:val="VerbatimChar"/>
        </w:rPr>
        <w:t xml:space="preserve">layout</w:t>
      </w:r>
      <w:r>
        <w:t xml:space="preserve">에 ’y2’에 해당하는 축에 대한</w:t>
      </w:r>
      <w:r>
        <w:t xml:space="preserve"> </w:t>
      </w:r>
      <w:r>
        <w:rPr>
          <w:rStyle w:val="VerbatimChar"/>
        </w:rPr>
        <w:t xml:space="preserve">yaxis2</w:t>
      </w:r>
      <w:r>
        <w:t xml:space="preserve">를 설정한다. 그리고</w:t>
      </w:r>
      <w:r>
        <w:t xml:space="preserve"> </w:t>
      </w:r>
      <w:r>
        <w:rPr>
          <w:rStyle w:val="VerbatimChar"/>
        </w:rPr>
        <w:t xml:space="preserve">overlaying</w:t>
      </w:r>
      <w:r>
        <w:t xml:space="preserve"> </w:t>
      </w:r>
      <w:r>
        <w:t xml:space="preserve">속성에 ’y’를 설정하여 Y축에 대한 보조축이라는 점을 설정하였고</w:t>
      </w:r>
      <w:r>
        <w:t xml:space="preserve"> </w:t>
      </w:r>
      <w:r>
        <w:rPr>
          <w:rStyle w:val="VerbatimChar"/>
        </w:rPr>
        <w:t xml:space="preserve">side</w:t>
      </w:r>
      <w:r>
        <w:t xml:space="preserve">를 ’right’로 설정하여</w:t>
      </w:r>
      <w:r>
        <w:t xml:space="preserve"> </w:t>
      </w:r>
      <w:r>
        <w:rPr>
          <w:rStyle w:val="VerbatimChar"/>
        </w:rPr>
        <w:t xml:space="preserve">yaxis2</w:t>
      </w:r>
      <w:r>
        <w:t xml:space="preserve">가 오른쪽에 표시되도록 설정하였다.</w:t>
      </w:r>
    </w:p>
    <w:p>
      <w:pPr>
        <w:pStyle w:val="SourceCode"/>
      </w:pP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백신 접종 완료율과 인구 10만명당 사망자수를 동시에 표기해보니 포르투갈, 칠레, 스페인, 아르헨티나는 높은 백신 접종률에도 불구하고 10만명당 200명 이상의 사망자가 나왔다. 하지만 쿠바, 우리나라, 캄보디아, 호주등의 국가는 높은 접종률을 보이면서 10만명당 사망자수도 낮게 나타난다.</w:t>
      </w:r>
    </w:p>
    <w:p>
      <w:pPr>
        <w:pStyle w:val="a1"/>
      </w:pPr>
      <w:r>
        <w:t xml:space="preserve">앞서 그렸던 대륙별 완전 백신 접종률 상위 top 5 국가에 인구 10만명당 사망률을 추가적으로 표시하고 축을 추가하는 방법은 다음과 같다.</w:t>
      </w:r>
    </w:p>
    <w:p>
      <w:pPr>
        <w:pStyle w:val="SourceCode"/>
      </w:pP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2"/>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국가들의 인구 10만명당 사망자수를 살펴보면 아시아 국가의 접종률이 높은 국가들은 전반적으로 낮은 사망자수를 나타냈고 유럽과 남미는 백신 접종률이 높았지만 사망자 수도 높게 나타나고 있음을 알 수 있다.</w:t>
      </w:r>
    </w:p>
    <w:bookmarkEnd w:id="22"/>
    <w:bookmarkStart w:id="23" w:name="꼭-수직-막대를-사용해야-한다면---롤리팝-그래프"/>
    <w:p>
      <w:pPr>
        <w:pStyle w:val="2"/>
      </w:pPr>
      <w:r>
        <w:t xml:space="preserve">꼭 수직 막대를 사용해야 한다면 - 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a1"/>
      </w:pPr>
      <w:r>
        <w:t xml:space="preserve">아시아 지역 인구 5백만명 이상 국가들의 접종 완료율과 사망자수를 롤리팝 그래프로 보면 전반적으로 접종률이 높은 아랍에미레이트, 싱가포르, 우리나라, 캄보디아, 일본 등의 국가는 사망다수도 비교적 낮게 나타난다. 반면 접종률이 낮게 나타나는 이라크, 키르기스탄, 레바논, 팔레스타인, 요르단, 아제르바이잔 등의 국가는 사망자수이 높게 나타나고 있다.</w:t>
      </w:r>
    </w:p>
    <w:bookmarkEnd w:id="23"/>
    <w:bookmarkEnd w:id="24"/>
    <w:bookmarkStart w:id="27" w:name="차이difference의-시각화"/>
    <w:p>
      <w:pPr>
        <w:pStyle w:val="1"/>
      </w:pPr>
      <w:r>
        <w:t xml:space="preserve">차이(difference)의 시각화</w: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5" w:name="효율적-대륙별-사망자의-최대와-최소-시각화---덤델-그래프"/>
    <w:p>
      <w:pPr>
        <w:pStyle w:val="2"/>
      </w:pPr>
      <w:r>
        <w:t xml:space="preserve">효율적 대륙별 사망자의 최대와 최소 시각화 - 덤델 그래프</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'right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'left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대륙별 10만명당 사망자수 차이 시각화를 보면 남미의 경우 최소 사망자수 국가와 최대 사망자수 국가의 차이가 약 620명으로 가장 크게 나타난다. 반면 아시아 국가의 경우 최대와 최소의 차이가 약 165명정도로 가장 작게 나타나고 있음을 알 수 있다.</w:t>
      </w:r>
    </w:p>
    <w:bookmarkEnd w:id="25"/>
    <w:bookmarkStart w:id="26" w:name="피라미드-그래프"/>
    <w:p>
      <w:pPr>
        <w:pStyle w:val="2"/>
      </w:pPr>
      <w:r>
        <w:t xml:space="preserve">피라미드 그래프</w:t>
      </w:r>
    </w:p>
    <w:p>
      <w:pPr>
        <w:pStyle w:val="SourceCode"/>
      </w:pPr>
      <w:r>
        <w:rPr>
          <w:rStyle w:val="NormalTok"/>
        </w:rPr>
        <w:t xml:space="preserve">diff_kor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diff_kor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bookmarkEnd w:id="26"/>
    <w:bookmarkEnd w:id="27"/>
    <w:bookmarkStart w:id="50" w:name="구성의-시각화"/>
    <w:p>
      <w:pPr>
        <w:pStyle w:val="1"/>
      </w:pPr>
      <w:r>
        <w:t xml:space="preserve">구성의 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8"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bookmarkEnd w:id="28"/>
    <w:bookmarkStart w:id="30" w:name="다단계-구성의-시각화---선버스트-차트"/>
    <w:p>
      <w:pPr>
        <w:pStyle w:val="2"/>
      </w:pPr>
      <w:r>
        <w:t xml:space="preserve">다단계 구성의 시각화 - 선버스트 차트</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선버스트 trace에서 추가적으로 알아두어야 할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a1"/>
      </w:pPr>
      <w:r>
        <w:rPr>
          <w:rStyle w:val="VerbatimChar"/>
        </w:rPr>
        <w:t xml:space="preserve">insidetextorientation</w:t>
      </w:r>
      <w:r>
        <w:t xml:space="preserve">은 선버스트 trace에 표시되는 내부 정보 문자열이 표시되는 각도를 설정한다.</w:t>
      </w:r>
      <w:r>
        <w:t xml:space="preserve"> </w:t>
      </w:r>
      <w:r>
        <w:rPr>
          <w:rStyle w:val="VerbatimChar"/>
        </w:rPr>
        <w:t xml:space="preserve">insidetextorientation</w:t>
      </w:r>
      <w:r>
        <w:t xml:space="preserve">는 ’radial’과 ’horizontal’의 두 가지 방법이 사용되는데 ’radial’은 섹터의 각도에 따라 문자가 회전하고 ’horizontal’은 섹터의 각도와 관계없이 수평으로 표기된다.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11569462</w:t>
      </w:r>
      <w:r>
        <w:br/>
      </w:r>
      <w:r>
        <w:rPr>
          <w:rStyle w:val="VerbatimChar"/>
        </w:rPr>
        <w:t xml:space="preserve">##  2 &lt;NA&gt;          Asia             143480302</w:t>
      </w:r>
      <w:r>
        <w:br/>
      </w:r>
      <w:r>
        <w:rPr>
          <w:rStyle w:val="VerbatimChar"/>
        </w:rPr>
        <w:t xml:space="preserve">##  3 &lt;NA&gt;          Europe           185192424</w:t>
      </w:r>
      <w:r>
        <w:br/>
      </w:r>
      <w:r>
        <w:rPr>
          <w:rStyle w:val="VerbatimChar"/>
        </w:rPr>
        <w:t xml:space="preserve">##  4 &lt;NA&gt;          North America     95061377</w:t>
      </w:r>
      <w:r>
        <w:br/>
      </w:r>
      <w:r>
        <w:rPr>
          <w:rStyle w:val="VerbatimChar"/>
        </w:rPr>
        <w:t xml:space="preserve">##  5 &lt;NA&gt;          Oceania            6193582</w:t>
      </w:r>
      <w:r>
        <w:br/>
      </w:r>
      <w:r>
        <w:rPr>
          <w:rStyle w:val="VerbatimChar"/>
        </w:rPr>
        <w:t xml:space="preserve">##  6 &lt;NA&gt;          South America     56237763</w:t>
      </w:r>
      <w:r>
        <w:br/>
      </w:r>
      <w:r>
        <w:rPr>
          <w:rStyle w:val="VerbatimChar"/>
        </w:rPr>
        <w:t xml:space="preserve">##  7 South America Argentina          9052536</w:t>
      </w:r>
      <w:r>
        <w:br/>
      </w:r>
      <w:r>
        <w:rPr>
          <w:rStyle w:val="VerbatimChar"/>
        </w:rPr>
        <w:t xml:space="preserve">##  8 Oceania       Australia          5137796</w:t>
      </w:r>
      <w:r>
        <w:br/>
      </w:r>
      <w:r>
        <w:rPr>
          <w:rStyle w:val="VerbatimChar"/>
        </w:rPr>
        <w:t xml:space="preserve">##  9 South America Brazil            30048897</w:t>
      </w:r>
      <w:r>
        <w:br/>
      </w:r>
      <w:r>
        <w:rPr>
          <w:rStyle w:val="VerbatimChar"/>
        </w:rPr>
        <w:t xml:space="preserve">## 10 North America Canada             3545510</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이제 전처리된 데이터를 사용하여 선버스트 차트를 만든다.</w:t>
      </w:r>
      <w:r>
        <w:t xml:space="preserve"> </w:t>
      </w:r>
      <w:r>
        <w:rPr>
          <w:rStyle w:val="VerbatimChar"/>
        </w:rPr>
        <w:t xml:space="preserve">add_trace()</w:t>
      </w:r>
      <w:r>
        <w:t xml:space="preserve">의</w:t>
      </w:r>
      <w:r>
        <w:t xml:space="preserve"> </w:t>
      </w:r>
      <w:r>
        <w:rPr>
          <w:rStyle w:val="VerbatimChar"/>
        </w:rPr>
        <w:t xml:space="preserve">type</w:t>
      </w:r>
      <w:r>
        <w:t xml:space="preserve">에 ’sunburst’를 설정함으로써 해당 trace가 선버스트 trace임을 설정하고 선버스트 trace에 필수적으로 필요한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속성에 전처리한 데이터 중 해당 열을 매핑하여 완성하였다.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다른 trace와는 달리 선버스트 trace는 마우스 클릭에 따른 추가적인 사용자 반응 작용이 있다. 선버스트 차트에서 특정 섹터를 클릭하면 해당 부분 섹터가 확대되어 표시됨으로써 세부 데이터를 확인하기 쉬워진다.</w:t>
      </w:r>
    </w:p>
    <w:p>
      <w:pPr>
        <w:pStyle w:val="CaptionedFigure"/>
      </w:pPr>
      <w:r>
        <w:drawing>
          <wp:inline>
            <wp:extent cx="5943600" cy="2971800"/>
            <wp:effectExtent b="0" l="0" r="0" t="0"/>
            <wp:docPr descr="아시아 섹터를 클릭한 선버스트 차트의 반응 결과" title="" id="21" name="Picture"/>
            <a:graphic>
              <a:graphicData uri="http://schemas.openxmlformats.org/drawingml/2006/picture">
                <pic:pic>
                  <pic:nvPicPr>
                    <pic:cNvPr descr="D:/R/git/datavisualization/plotly/chap6/sunburst.png" id="22"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선버스트 차트의 반응 결과</w:t>
      </w:r>
    </w:p>
    <w:bookmarkEnd w:id="30"/>
    <w:bookmarkStart w:id="31" w:name="데이터는-이렇게-흘러갑니다.---산키-다이어그램"/>
    <w:p>
      <w:pPr>
        <w:pStyle w:val="2"/>
      </w:pPr>
      <w:r>
        <w:t xml:space="preserve">데이터는 이렇게 흘러갑니다. - 산키 다이어그램</w:t>
      </w:r>
    </w:p>
    <w:p>
      <w:r>
        <w:pict>
          <v:rect style="width:0;height:1.5pt" o:hralign="center" o:hrstd="t" o:hr="t"/>
        </w:pic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'취업자수'</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선처리 할 때 노드링크의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f547c94e-8589-45a3-9dbc-976bbdea53c9"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547c94e-8589-45a3-9dbc-976bbdea53c9"/>
      <w:r>
        <w:t xml:space="preserve"/>
      </w:r>
      <w:r>
        <w:t xml:space="preserve">산키 다이어그램</w:t>
      </w:r>
    </w:p>
    <w:bookmarkEnd w:id="31"/>
    <w:bookmarkStart w:id="32" w:name="radar"/>
    <w:p>
      <w:pPr>
        <w:pStyle w:val="2"/>
      </w:pPr>
      <w:r>
        <w:t xml:space="preserve">radar</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df_radar_deaths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십만명당사망자수)</w:t>
      </w:r>
      <w:r>
        <w:br/>
      </w:r>
      <w:r>
        <w:br/>
      </w:r>
      <w:r>
        <w:rPr>
          <w:rStyle w:val="NormalTok"/>
        </w:rPr>
        <w:t xml:space="preserve">df_radar_veccine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r =</w:t>
      </w:r>
      <w:r>
        <w:rPr>
          <w:rStyle w:val="NormalTok"/>
        </w:rPr>
        <w:t xml:space="preserve"> </w:t>
      </w:r>
      <w:r>
        <w:rPr>
          <w:rStyle w:val="SpecialCharTok"/>
        </w:rPr>
        <w:t xml:space="preserve">~</w:t>
      </w:r>
      <w:r>
        <w:rPr>
          <w:rStyle w:val="NormalTok"/>
        </w:rPr>
        <w:t xml:space="preserve">백신접종완료률,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df_radar_deaths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r =</w:t>
      </w:r>
      <w:r>
        <w:rPr>
          <w:rStyle w:val="NormalTok"/>
        </w:rPr>
        <w:t xml:space="preserve"> </w:t>
      </w:r>
      <w:r>
        <w:rPr>
          <w:rStyle w:val="SpecialCharTok"/>
        </w:rPr>
        <w:t xml:space="preserve">~</w:t>
      </w:r>
      <w:r>
        <w:rPr>
          <w:rStyle w:val="NormalTok"/>
        </w:rPr>
        <w:t xml:space="preserve">십만명당사망자수,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bookmarkEnd w:id="32"/>
    <w:bookmarkStart w:id="34" w:name="보고서는-네모야---트리맵"/>
    <w:p>
      <w:pPr>
        <w:pStyle w:val="2"/>
      </w:pPr>
      <w:r>
        <w:t xml:space="preserve">보고서는 네모야 - 트리맵</w:t>
      </w:r>
    </w:p>
    <w:p>
      <w:r>
        <w:pict>
          <v:rect style="width:0;height:1.5pt" o:hralign="center" o:hrstd="t" o:hr="t"/>
        </w:pict>
      </w:r>
    </w:p>
    <w:p>
      <w:pPr>
        <w:pStyle w:val="FirstParagraph"/>
      </w:pPr>
      <w:r>
        <w:t xml:space="preserve">대부분의 보고문서들은 네모난 종이위에 표현되거나 네모난 화면위에 표현된다. 앞서 기술한 파이 차트나 도넛 차트는 원형으로 표현되기 떄문에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CaptionedFigure"/>
      </w:pPr>
      <w:r>
        <w:drawing>
          <wp:inline>
            <wp:extent cx="5943600" cy="2971800"/>
            <wp:effectExtent b="0" l="0" r="0" t="0"/>
            <wp:docPr descr="아시아 섹터를 클릭한 트리맵 차트의 반응 결과" title="" id="31" name="Picture"/>
            <a:graphic>
              <a:graphicData uri="http://schemas.openxmlformats.org/drawingml/2006/picture">
                <pic:pic>
                  <pic:nvPicPr>
                    <pic:cNvPr descr="D:/R/git/datavisualization/plotly/chap6/treemap.png" id="32"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트리맵 차트의 반응 결과</w:t>
      </w:r>
    </w:p>
    <w:bookmarkEnd w:id="34"/>
    <w:bookmarkStart w:id="39" w:name="수학의-정석에-있던거였는데-벤-다이어그램"/>
    <w:p>
      <w:pPr>
        <w:pStyle w:val="2"/>
      </w:pPr>
      <w:r>
        <w:t xml:space="preserve">수학의 정석에 있던거였는데? – 벤 다이어그램</w:t>
      </w:r>
    </w:p>
    <w:p>
      <w:r>
        <w:pict>
          <v:rect style="width:0;height:1.5pt" o:hralign="center" o:hrstd="t" o:hr="t"/>
        </w:pic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R에서 벤다이어그램을 만들 수 있도록 제공되는 패키지는</w:t>
      </w:r>
      <w:r>
        <w:t xml:space="preserve"> </w:t>
      </w:r>
      <w:r>
        <w:rPr>
          <w:rStyle w:val="VerbatimChar"/>
        </w:rPr>
        <w:t xml:space="preserve">ggVennDiagram</w:t>
      </w:r>
      <w:r>
        <w:t xml:space="preserve"> </w:t>
      </w:r>
      <w:r>
        <w:t xml:space="preserve">패키지이다.</w:t>
      </w:r>
      <w:r>
        <w:rPr>
          <w:rStyle w:val="ab"/>
        </w:rPr>
        <w:footnoteReference w:id="35"/>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bookmarkStart w:id="36" w:name="기본-벤다이어그램"/>
    <w:p>
      <w:pPr>
        <w:pStyle w:val="3"/>
      </w:pPr>
      <w:r>
        <w:t xml:space="preserve">기본 벤다이어그램</w:t>
      </w:r>
    </w:p>
    <w:p>
      <w:pPr>
        <w:pStyle w:val="FirstParagraph"/>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d3d5db72-9265-4401-bc69-991d536758f2"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3d5db72-9265-4401-bc69-991d536758f2"/>
      <w:r>
        <w:t xml:space="preserve"/>
      </w:r>
      <w:r>
        <w:t xml:space="preserve">기본 벤다이어그램</w:t>
      </w:r>
    </w:p>
    <w:bookmarkEnd w:id="36"/>
    <w:bookmarkStart w:id="37" w:name="벤다어그램-색-바꾸기"/>
    <w:p>
      <w:pPr>
        <w:pStyle w:val="3"/>
      </w:pPr>
      <w:r>
        <w:t xml:space="preserve">벤다어그램 색 바꾸기</w:t>
      </w:r>
    </w:p>
    <w:p>
      <w:pPr>
        <w:pStyle w:val="FirstParagraph"/>
      </w:pPr>
      <w:r>
        <w:rPr>
          <w:rStyle w:val="VerbatimChar"/>
        </w:rPr>
        <w:t xml:space="preserve">ggVenDiagram()</w:t>
      </w:r>
      <w:r>
        <w:t xml:space="preserve">은</w:t>
      </w:r>
      <w:r>
        <w:t xml:space="preserve"> </w:t>
      </w:r>
      <w:r>
        <w:rPr>
          <w:rStyle w:val="VerbatimChar"/>
        </w:rPr>
        <w:t xml:space="preserve">ggplot</w:t>
      </w:r>
      <w:r>
        <w:t xml:space="preserve">의 기본 컨셉을 사용하기 때문에 색을 바꾸는 것은</w:t>
      </w:r>
      <w:r>
        <w:t xml:space="preserve"> </w:t>
      </w:r>
      <w:r>
        <w:rPr>
          <w:rStyle w:val="VerbatimChar"/>
        </w:rPr>
        <w:t xml:space="preserve">scale_fill_*()</w:t>
      </w:r>
      <w:r>
        <w:t xml:space="preserve">을 사용할 수 있다. 다음은 흰색부터 하늘색까지의 그라디언트를 사용한 벤다이어그램이다. 추가적으로 범례를 제거하고 제목을 설정하였다.</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'white'부터 'skyblue'까지인 그라디언트로 설정하고 범례는 제거</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"skyblue"</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color 스케일을 사용자 정의형으로 설정하고 범례는 제거</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'대학'</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'대학원'</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CommentTok"/>
        </w:rPr>
        <w:t xml:space="preserve">#  theme(legend.position = "none")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학과의 분포'</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d09534c5-ccc9-49bc-877c-b8f64e182dd5"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9534c5-ccc9-49bc-877c-b8f64e182dd5"/>
      <w:r>
        <w:t xml:space="preserve"/>
      </w:r>
      <w:r>
        <w:t xml:space="preserve">벤다이어그램 꾸미기</w:t>
      </w:r>
    </w:p>
    <w:bookmarkEnd w:id="37"/>
    <w:bookmarkStart w:id="38" w:name="개이상-값에-대한-벤다이어그램"/>
    <w:p>
      <w:pPr>
        <w:pStyle w:val="3"/>
      </w:pPr>
      <w:r>
        <w:t xml:space="preserve">3개이상 값에 대한 벤다이어그램</w:t>
      </w:r>
    </w:p>
    <w:p>
      <w:pPr>
        <w:pStyle w:val="FirstParagraph"/>
      </w:pPr>
      <w:r>
        <w:t xml:space="preserve">보통 벤다이어그램은 원 3개를 사용하는 것이 대부분이다. 하지만</w:t>
      </w:r>
      <w:r>
        <w:t xml:space="preserve"> </w:t>
      </w:r>
      <w:r>
        <w:rPr>
          <w:rStyle w:val="VerbatimChar"/>
        </w:rPr>
        <w:t xml:space="preserve">ggVennDiagram</w:t>
      </w:r>
      <w:r>
        <w:t xml:space="preserve"> </w:t>
      </w:r>
      <w:r>
        <w:t xml:space="preserve">패키지에서는 7개까지의 값에 대한 벤다이어그램을 지원한다. 다음은 변수에 수에 다른 벤다이어그램의 형태를 보이고 있다.</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a1"/>
      </w:pPr>
      <w:r>
        <w:t xml:space="preserve">앞서 그려보았던 벤다이어그램의 대학원을 석사와 박사로 나눠 네개의 변량에 대한 벤다이어그램은 다음과 같이 생성할 수 있다.</w:t>
      </w:r>
    </w:p>
    <w:p>
      <w:pPr>
        <w:pStyle w:val="SourceCode"/>
      </w:pPr>
      <w:r>
        <w:rPr>
          <w:rStyle w:val="DocumentationTok"/>
        </w:rPr>
        <w:t xml:space="preserve">## 석사과정의 공학계열 학과명을 벡터로 저장</w:t>
      </w:r>
      <w:r>
        <w:br/>
      </w:r>
      <w:r>
        <w:rPr>
          <w:rStyle w:val="NormalTok"/>
        </w:rPr>
        <w:t xml:space="preserve">vec_석사학과명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학위구분 </w:t>
      </w:r>
      <w:r>
        <w:rPr>
          <w:rStyle w:val="SpecialCharTok"/>
        </w:rPr>
        <w:t xml:space="preserve">==</w:t>
      </w:r>
      <w:r>
        <w:rPr>
          <w:rStyle w:val="NormalTok"/>
        </w:rPr>
        <w:t xml:space="preserve"> </w:t>
      </w:r>
      <w:r>
        <w:rPr>
          <w:rStyle w:val="StringTok"/>
        </w:rPr>
        <w:t xml:space="preserve">'석사'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박사과정의 공학계열 학과명을 벡터로 저장</w:t>
      </w:r>
      <w:r>
        <w:br/>
      </w:r>
      <w:r>
        <w:rPr>
          <w:rStyle w:val="NormalTok"/>
        </w:rPr>
        <w:t xml:space="preserve">vec_박사학과명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학위구분 </w:t>
      </w:r>
      <w:r>
        <w:rPr>
          <w:rStyle w:val="SpecialCharTok"/>
        </w:rPr>
        <w:t xml:space="preserve">==</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list_venn_diagram1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석사 </w:t>
      </w:r>
      <w:r>
        <w:rPr>
          <w:rStyle w:val="OtherTok"/>
        </w:rPr>
        <w:t xml:space="preserve">=</w:t>
      </w:r>
      <w:r>
        <w:rPr>
          <w:rStyle w:val="NormalTok"/>
        </w:rPr>
        <w:t xml:space="preserve"> vec_석사학과명, 박사 </w:t>
      </w:r>
      <w:r>
        <w:rPr>
          <w:rStyle w:val="OtherTok"/>
        </w:rPr>
        <w:t xml:space="preserve">=</w:t>
      </w:r>
      <w:r>
        <w:rPr>
          <w:rStyle w:val="NormalTok"/>
        </w:rPr>
        <w:t xml:space="preserve"> vec_박사학과명)</w:t>
      </w:r>
    </w:p>
    <w:p>
      <w:pPr>
        <w:pStyle w:val="SourceCode"/>
      </w:pPr>
      <w:r>
        <w:rPr>
          <w:rStyle w:val="FunctionTok"/>
        </w:rPr>
        <w:t xml:space="preserve">ggVennDiagram</w:t>
      </w:r>
      <w:r>
        <w:rPr>
          <w:rStyle w:val="NormalTok"/>
        </w:rPr>
        <w:t xml:space="preserve">(list_venn_diagram1)</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36959934-7062-4034-be48-e6f9040a5b70"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959934-7062-4034-be48-e6f9040a5b70"/>
      <w:r>
        <w:t xml:space="preserve"/>
      </w:r>
      <w:r>
        <w:t xml:space="preserve">4개의 변량 벤다이어그램</w:t>
      </w:r>
    </w:p>
    <w:bookmarkEnd w:id="38"/>
    <w:bookmarkEnd w:id="39"/>
    <w:bookmarkStart w:id="49" w:name="여러-종류이-널리-퍼져있는-데이터는---업셋-그래프"/>
    <w:p>
      <w:pPr>
        <w:pStyle w:val="2"/>
      </w:pPr>
      <w:r>
        <w:t xml:space="preserve">여러 종류이 널리 퍼져있는 데이터는? - 업셋 그래프</w:t>
      </w:r>
    </w:p>
    <w:p>
      <w:r>
        <w:pict>
          <v:rect style="width:0;height:1.5pt" o:hralign="center" o:hrstd="t" o:hr="t"/>
        </w:pic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40"/>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7"/>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3cedfe87-09c3-4b8b-8a5e-6e165d54e878"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cedfe87-09c3-4b8b-8a5e-6e165d54e878"/>
      <w: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3c0e9fe2-7de9-4db0-aa5a-e5c1a0e20622"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c0e9fe2-7de9-4db0-aa5a-e5c1a0e20622"/>
      <w: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f99b2c93-56cd-4948-a774-9b0104489b61"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9b2c93-56cd-4948-a774-9b0104489b61"/>
      <w: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7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5dba031d-db1a-4c25-be4e-38ca8c62636b"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dba031d-db1a-4c25-be4e-38ca8c62636b"/>
      <w:r>
        <w:t xml:space="preserve"/>
      </w:r>
      <w:r>
        <w:t xml:space="preserve">바이올린 업셋 그래프</w:t>
      </w:r>
    </w:p>
    <w:bookmarkEnd w:id="49"/>
    <w:bookmarkEnd w:id="50"/>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9</w:t>
        </w:r>
        <w:r>
          <w:rPr>
            <w:rStyle w:val="af"/>
          </w:rPr>
          <w:fldChar w:fldCharType="end"/>
        </w:r>
      </w:p>
    </w:sdtContent>
  </w:sdt>
  <w:p w:rsidR="00676DF8" w:rsidRDefault="0026607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11</w:t>
        </w:r>
        <w:r>
          <w:rPr>
            <w:rStyle w:val="af"/>
          </w:rPr>
          <w:fldChar w:fldCharType="end"/>
        </w:r>
      </w:p>
    </w:sdtContent>
  </w:sdt>
  <w:p w:rsidR="00676DF8" w:rsidRDefault="0026607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2</w:t>
        </w:r>
        <w:r>
          <w:rPr>
            <w:rStyle w:val="af"/>
          </w:rPr>
          <w:fldChar w:fldCharType="end"/>
        </w:r>
      </w:p>
    </w:sdtContent>
  </w:sdt>
  <w:p w:rsidR="00676DF8" w:rsidRDefault="0026607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7</w:t>
        </w:r>
        <w:r>
          <w:rPr>
            <w:rStyle w:val="af"/>
          </w:rPr>
          <w:fldChar w:fldCharType="end"/>
        </w:r>
      </w:p>
    </w:sdtContent>
  </w:sdt>
  <w:p w:rsidR="00676DF8" w:rsidRDefault="0026607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40">
    <w:p>
      <w:pPr>
        <w:pStyle w:val="a9"/>
      </w:pPr>
      <w:r>
        <w:rPr>
          <w:rStyle w:val="ab"/>
        </w:rPr>
        <w:footnoteRef/>
      </w:r>
      <w:r>
        <w:t xml:space="preserve"> </w:t>
      </w:r>
      <w:hyperlink r:id="rId41">
        <w:r>
          <w:rPr>
            <w:rStyle w:val="ac"/>
          </w:rPr>
          <w:t xml:space="preserve">Alexander Lex</w:t>
        </w:r>
      </w:hyperlink>
      <w:r>
        <w:t xml:space="preserve">,</w:t>
      </w:r>
      <w:r>
        <w:t xml:space="preserve"> </w:t>
      </w:r>
      <w:hyperlink r:id="rId42">
        <w:r>
          <w:rPr>
            <w:rStyle w:val="ac"/>
          </w:rPr>
          <w:t xml:space="preserve">Nils Gehlenborg</w:t>
        </w:r>
      </w:hyperlink>
      <w:r>
        <w:t xml:space="preserve">,</w:t>
      </w:r>
      <w:r>
        <w:t xml:space="preserve"> </w:t>
      </w:r>
      <w:hyperlink r:id="rId43">
        <w:r>
          <w:rPr>
            <w:rStyle w:val="ac"/>
          </w:rPr>
          <w:t xml:space="preserve">Hendrik Strobelt</w:t>
        </w:r>
      </w:hyperlink>
      <w:r>
        <w:t xml:space="preserve">, Romain Vuillemot,</w:t>
      </w:r>
      <w:r>
        <w:t xml:space="preserve"> </w:t>
      </w:r>
      <w:hyperlink r:id="rId44">
        <w:r>
          <w:rPr>
            <w:rStyle w:val="ac"/>
          </w:rPr>
          <w:t xml:space="preserve">Hanspeter Pfister</w:t>
        </w:r>
      </w:hyperlink>
      <w:r>
        <w:br/>
      </w:r>
      <w:hyperlink r:id="rId45">
        <w:r>
          <w:rPr>
            <w:rStyle w:val="ac"/>
            <w:bCs/>
            <w:b/>
          </w:rPr>
          <w:t xml:space="preserve">UpSet: Visualization of Intersecting Sets</w:t>
        </w:r>
      </w:hyperlink>
      <w:r>
        <w:br/>
      </w:r>
      <w:r>
        <w:t xml:space="preserve">IEEE Transactions on Visualization and Computer Graphics (InfoVis), 20(12): 1983–1992,</w:t>
      </w:r>
      <w:r>
        <w:t xml:space="preserve"> </w:t>
      </w:r>
      <w:hyperlink r:id="rId46">
        <w:r>
          <w:rPr>
            <w:rStyle w:val="ac"/>
          </w:rPr>
          <w:t xml:space="preserve">doi:10.1109/TVCG.2014.2346248</w:t>
        </w:r>
      </w:hyperlink>
      <w:r>
        <w:t xml:space="preserve">, 2014.</w:t>
      </w:r>
    </w:p>
  </w:footnote>
  <w:footnote w:id="47">
    <w:p>
      <w:pPr>
        <w:pStyle w:val="a9"/>
      </w:pPr>
      <w:r>
        <w:rPr>
          <w:rStyle w:val="ab"/>
        </w:rPr>
        <w:footnoteRef/>
      </w:r>
      <w:r>
        <w:t xml:space="preserve"> </w:t>
      </w:r>
      <w:hyperlink r:id="rId48">
        <w:r>
          <w:rPr>
            <w:rStyle w:val="ac"/>
          </w:rPr>
          <w:t xml:space="preserve">https://upset.app/</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B5AF156"/>
    <w:lvl w:ilvl="0" w:tplc="A3CAFF46">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9" Type="http://schemas.openxmlformats.org/officeDocument/2006/relationships/image" Target="media/rId29.png"/>
<Relationship Id="rId33" Type="http://schemas.openxmlformats.org/officeDocument/2006/relationships/image" Target="media/rId33.png"/>
<Relationship Id="rId46" Type="http://schemas.openxmlformats.org/officeDocument/2006/relationships/hyperlink" Target="http://dx.doi.org/10.1109/TVCG.2014.2346248" TargetMode="External"/>
<Relationship Id="rId43" Type="http://schemas.openxmlformats.org/officeDocument/2006/relationships/hyperlink" Target="http://hendrik.strobelt.com/" TargetMode="External"/>
<Relationship Id="rId44" Type="http://schemas.openxmlformats.org/officeDocument/2006/relationships/hyperlink" Target="http://vcg.seas.harvard.edu/people/hanspeter-pfister" TargetMode="External"/>
<Relationship Id="rId42" Type="http://schemas.openxmlformats.org/officeDocument/2006/relationships/hyperlink" Target="http://www.gehlenborg.com/" TargetMode="External"/>
<Relationship Id="rId45" Type="http://schemas.openxmlformats.org/officeDocument/2006/relationships/hyperlink" Target="https://sci.utah.edu/~vdl/papers/2014_infovis_upset.pdf" TargetMode="External"/>
<Relationship Id="rId48" Type="http://schemas.openxmlformats.org/officeDocument/2006/relationships/hyperlink" Target="https://upset.app/" TargetMode="External"/>
<Relationship Id="rId41" Type="http://schemas.openxmlformats.org/officeDocument/2006/relationships/hyperlink" Target="https://vdl.sci.utah.edu/team/lex/" TargetMode="External"/>
<Relationship Id="rId49" Type="http://schemas.openxmlformats.org/officeDocument/2006/relationships/image" Target="media/filea006ddd352.png"/>
<Relationship Id="rId50" Type="http://schemas.openxmlformats.org/officeDocument/2006/relationships/image" Target="media/filea00430b6223.png"/>
<Relationship Id="rId51" Type="http://schemas.openxmlformats.org/officeDocument/2006/relationships/image" Target="media/filea0048d11ad9.png"/>
<Relationship Id="rId52" Type="http://schemas.openxmlformats.org/officeDocument/2006/relationships/image" Target="media/filea0033eb6ff0.png"/>
<Relationship Id="rId53" Type="http://schemas.openxmlformats.org/officeDocument/2006/relationships/image" Target="media/filea00126416a6.png"/>
<Relationship Id="rId54" Type="http://schemas.openxmlformats.org/officeDocument/2006/relationships/image" Target="media/filea005250638e.png"/>
<Relationship Id="rId55" Type="http://schemas.openxmlformats.org/officeDocument/2006/relationships/image" Target="media/filea005f2310f9.png"/>
<Relationship Id="rId56" Type="http://schemas.openxmlformats.org/officeDocument/2006/relationships/image" Target="media/filea0012da1563.png"/>
<Relationship Id="rId57" Type="http://schemas.openxmlformats.org/officeDocument/2006/relationships/image" Target="media/filea0061537282.png"/>
<Relationship Id="rId58" Type="http://schemas.openxmlformats.org/officeDocument/2006/relationships/image" Target="media/filea00178969b4.png"/>
<Relationship Id="rId59" Type="http://schemas.openxmlformats.org/officeDocument/2006/relationships/image" Target="media/filea00158f28d2.png"/>
<Relationship Id="rId60" Type="http://schemas.openxmlformats.org/officeDocument/2006/relationships/image" Target="media/filea00617f5aba.png"/>
<Relationship Id="rId61" Type="http://schemas.openxmlformats.org/officeDocument/2006/relationships/image" Target="media/filea0022b32110.png"/>
<Relationship Id="rId62" Type="http://schemas.openxmlformats.org/officeDocument/2006/relationships/image" Target="media/filea00500768f9.png"/>
<Relationship Id="rId63" Type="http://schemas.openxmlformats.org/officeDocument/2006/relationships/image" Target="media/filea0070f95aed.png"/>
<Relationship Id="rId64" Type="http://schemas.openxmlformats.org/officeDocument/2006/relationships/image" Target="media/filea0010d765cd.png"/>
<Relationship Id="rId65" Type="http://schemas.openxmlformats.org/officeDocument/2006/relationships/image" Target="media/filea003c6227d9.png"/>
<Relationship Id="rId66" Type="http://schemas.openxmlformats.org/officeDocument/2006/relationships/image" Target="media/filea0065924c46.png"/>
<Relationship Id="rId67" Type="http://schemas.openxmlformats.org/officeDocument/2006/relationships/image" Target="media/filea0026586a78.png"/>
<Relationship Id="rId68" Type="http://schemas.openxmlformats.org/officeDocument/2006/relationships/image" Target="media/filea0062911c35.png"/>
<Relationship Id="rId69" Type="http://schemas.openxmlformats.org/officeDocument/2006/relationships/image" Target="media/filea00a916a4f.png"/>
<Relationship Id="rId70" Type="http://schemas.openxmlformats.org/officeDocument/2006/relationships/image" Target="media/filea00ae36b87.png"/>
</Relationships>

</file>

<file path=word/_rels/footnotes.xml.rels><?xml version="1.0" encoding="UTF-8" standalone="yes"?>

<Relationships  xmlns="http://schemas.openxmlformats.org/package/2006/relationships">
<Relationship Id="rId46" Type="http://schemas.openxmlformats.org/officeDocument/2006/relationships/hyperlink" Target="http://dx.doi.org/10.1109/TVCG.2014.2346248" TargetMode="External"/>
<Relationship Id="rId43" Type="http://schemas.openxmlformats.org/officeDocument/2006/relationships/hyperlink" Target="http://hendrik.strobelt.com/" TargetMode="External"/>
<Relationship Id="rId44" Type="http://schemas.openxmlformats.org/officeDocument/2006/relationships/hyperlink" Target="http://vcg.seas.harvard.edu/people/hanspeter-pfister" TargetMode="External"/>
<Relationship Id="rId42" Type="http://schemas.openxmlformats.org/officeDocument/2006/relationships/hyperlink" Target="http://www.gehlenborg.com/" TargetMode="External"/>
<Relationship Id="rId45" Type="http://schemas.openxmlformats.org/officeDocument/2006/relationships/hyperlink" Target="https://sci.utah.edu/~vdl/papers/2014_infovis_upset.pdf" TargetMode="External"/>
<Relationship Id="rId48" Type="http://schemas.openxmlformats.org/officeDocument/2006/relationships/hyperlink" Target="https://upset.app/" TargetMode="External"/>
<Relationship Id="rId41"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dc:title>
  <dc:creator/>
  <cp:keywords/>
  <dcterms:created xsi:type="dcterms:W3CDTF">2022-04-11T08:45:40Z</dcterms:created>
  <dcterms:modified xsi:type="dcterms:W3CDTF">2022-04-11T17:45:41Z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