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NanumSquare" w:hAnsi="NanumSquare" w:eastAsia="NanumSquare"/>
          <w:b/>
          <w:color w:val="0B2545"/>
          <w:sz w:val="48"/>
        </w:rPr>
        <w:t>팩터 연구 시스템 요약</w:t>
      </w:r>
    </w:p>
    <w:p>
      <w:pPr>
        <w:keepNext/>
        <w:spacing w:before="0" w:after="60"/>
      </w:pPr>
      <w:r>
        <w:rPr>
          <w:rFonts w:ascii="NanumSquare" w:hAnsi="NanumSquare" w:eastAsia="NanumSquare"/>
          <w:color w:val="555555"/>
          <w:sz w:val="25"/>
        </w:rPr>
        <w:t>SKILL.md 구조와 좋은 팩터의 통과 기준</w:t>
      </w:r>
    </w:p>
    <w:p>
      <w:pPr>
        <w:spacing w:before="0" w:after="200"/>
      </w:pPr>
      <w:r>
        <w:rPr>
          <w:rFonts w:ascii="NanumSquare" w:hAnsi="NanumSquare" w:eastAsia="NanumSquare"/>
          <w:color w:val="555555"/>
          <w:sz w:val="19"/>
        </w:rPr>
        <w:t>기준 버전  fr-3.7.0   |   연구 프로토콜  epoch-1.4   |   2026년 8월</w:t>
      </w:r>
    </w:p>
    <w:p>
      <w:pPr>
        <w:spacing w:before="80" w:after="140" w:line="276" w:lineRule="auto"/>
        <w:ind w:left="200" w:right="200"/>
        <w:shd w:fill="F4F6F9"/>
        <w:pBdr>
          <w:left w:val="single" w:sz="18" w:space="8" w:color="2E74B5"/>
        </w:pBdr>
      </w:pPr>
      <w:r>
        <w:rPr>
          <w:rFonts w:ascii="NanumSquare" w:hAnsi="NanumSquare" w:eastAsia="NanumSquare"/>
          <w:b/>
          <w:color w:val="0B2545"/>
        </w:rPr>
        <w:t xml:space="preserve">핵심 결론  </w:t>
      </w:r>
      <w:r>
        <w:rPr>
          <w:rFonts w:ascii="NanumSquare" w:hAnsi="NanumSquare" w:eastAsia="NanumSquare"/>
        </w:rPr>
        <w:t>SKILL.md는 변하지 않는 연구 절차와 금지사항만 담고, 팩터 승격은 IC 하나가 아니라 데이터 무결성·강건성·다중검정·미노출 OOS·기존 Gold와의 비중복을 함께 확인한다.</w:t>
      </w:r>
    </w:p>
    <w:p>
      <w:pPr>
        <w:pStyle w:val="Heading1"/>
      </w:pPr>
      <w:r>
        <w:t>1. SKILL.md를 어떻게 정리했나</w:t>
      </w:r>
    </w:p>
    <w:p>
      <w:r>
        <w:rPr>
          <w:rFonts w:ascii="NanumSquare" w:hAnsi="NanumSquare" w:eastAsia="NanumSquare"/>
          <w:b w:val="0"/>
        </w:rPr>
        <w:t xml:space="preserve">SKILL.md의 역할은 </w:t>
      </w:r>
      <w:r>
        <w:rPr>
          <w:rFonts w:ascii="NanumSquare" w:hAnsi="NanumSquare" w:eastAsia="NanumSquare"/>
          <w:b/>
          <w:color w:val="0B2545"/>
        </w:rPr>
        <w:t>에이전트가 항상 지켜야 하는 연구 헌법</w:t>
      </w:r>
      <w:r>
        <w:rPr>
          <w:rFonts w:ascii="NanumSquare" w:hAnsi="NanumSquare" w:eastAsia="NanumSquare"/>
        </w:rPr>
        <w:t>이다. 자주 바뀌는 데이터 기간·컬럼·연구 결과는 다른 파일로 분리해 중복과 오래된 정보를 줄였다.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SKILL.md:</w:t>
      </w:r>
      <w:r>
        <w:rPr>
          <w:rFonts w:ascii="NanumSquare" w:hAnsi="NanumSquare" w:eastAsia="NanumSquare"/>
        </w:rPr>
        <w:t xml:space="preserve"> 변하지 않는 절차·금지사항·완료 응답 형식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epoch-protocol.md:</w:t>
      </w:r>
      <w:r>
        <w:rPr>
          <w:rFonts w:ascii="NanumSquare" w:hAnsi="NanumSquare" w:eastAsia="NanumSquare"/>
        </w:rPr>
        <w:t xml:space="preserve"> campaign·epoch·embargo·36개월 OOS 상태 전이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engine/gate.py:</w:t>
      </w:r>
      <w:r>
        <w:rPr>
          <w:rFonts w:ascii="NanumSquare" w:hAnsi="NanumSquare" w:eastAsia="NanumSquare"/>
        </w:rPr>
        <w:t xml:space="preserve"> 실제 임계값과 결정론적 판정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  <w:b/>
        </w:rPr>
        <w:t>latest.md와 research/runs/:</w:t>
      </w:r>
      <w:r>
        <w:rPr>
          <w:rFonts w:ascii="NanumSquare" w:hAnsi="NanumSquare" w:eastAsia="NanumSquare"/>
        </w:rPr>
        <w:t xml:space="preserve"> 현재 데이터 상태와 누적 연구 결과</w:t>
      </w:r>
    </w:p>
    <w:p>
      <w:pPr>
        <w:pStyle w:val="Heading2"/>
      </w:pPr>
      <w:r>
        <w:t>에이전트가 따르는 기본 흐름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현재 Silver 상태와 과거 시행 이력을 읽는다.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가설·산식·방향·파라미터를 결과 전에 동결한다.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Silver PIT에서 T0~T3 discovery를 실행한다.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campaign 전체를 BY 보정하고 통과 후보 전부를 자동 confirmation 대상으로 삼는다.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Python과 query-only Gold SQL의 key·원값·방향 반영 rank가 같은지 검증한다.</w:t>
      </w:r>
    </w:p>
    <w:p>
      <w:pPr>
        <w:numPr>
          <w:ilvl w:val="0"/>
          <w:numId w:val="11"/>
        </w:numPr>
        <w:spacing w:after="40" w:line="276" w:lineRule="auto"/>
      </w:pPr>
      <w:r>
        <w:rPr>
          <w:rFonts w:ascii="NanumSquare" w:hAnsi="NanumSquare" w:eastAsia="NanumSquare"/>
        </w:rPr>
        <w:t>미노출 OOS 36개월을 한 번만 공개하고, 사람 검토 후 Gold 적재를 결정한다.</w:t>
      </w:r>
    </w:p>
    <w:p>
      <w:pPr>
        <w:pStyle w:val="Heading2"/>
      </w:pPr>
      <w:r>
        <w:t>변하지 않는 핵심 금지사항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Bronze·현재상태 재무·미래정보를 연구 입력으로 사용하지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여러 팩터 rank나 점수를 가중합하지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결과를 본 뒤 부호·룩백·임계값·유니버스를 바꾸지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LLM이나 사람이 이미 본 기간을 다시 공식 OOS라고 부르지 않는다.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PROMOTE 판정만으로 Gold를 자동 발행하지 않는다.</w:t>
      </w:r>
    </w:p>
    <w:p>
      <w:r>
        <w:br w:type="page"/>
      </w:r>
    </w:p>
    <w:p>
      <w:pPr>
        <w:pStyle w:val="Heading1"/>
      </w:pPr>
      <w:r>
        <w:t>2. 좋은 팩터의 통과 기준</w:t>
      </w:r>
    </w:p>
    <w:p>
      <w:r>
        <w:rPr>
          <w:rFonts w:ascii="NanumSquare" w:hAnsi="NanumSquare" w:eastAsia="NanumSquare"/>
        </w:rPr>
        <w:t>현재 기준은 월별 종목 팩터 순위와 다음 달 총수익률 순위의 Spearman IC를 중심으로 하되, 표본과 선택 과정이 올바른지를 먼저 검사한다.</w:t>
      </w:r>
    </w:p>
    <w:tbl>
      <w:tblPr>
        <w:tblStyle w:val="TableGrid"/>
        <w:tblW w:type="dxa" w:w="969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800"/>
        <w:gridCol w:w="2150"/>
        <w:gridCol w:w="6740"/>
      </w:tblGrid>
      <w:tr>
        <w:trPr>
          <w:tblHeader w:val="true"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확인 대상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8"/>
              </w:rPr>
              <w:t>현재 핵심 기준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T0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정의·코드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단일 신호, 입력·캐시 일치, 결정론적 계산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T1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데이터 무결성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커버리지, 종착수익률 스트레스, Silver 총수익률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T2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기본 예측력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전체 IC ≥ 0.03, 투자 가능 IC ≥ 0.03, Rank ICIR ≥ 0.15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T3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강건성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4개 구간 중 3개 이상 양수, 집중도 ≤ 0.60, 중립화 IC ≥ 0.01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T4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선택 편향·OOS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Discovery BY, 미노출 OOS 36개월 IC ≥ 0.05, OOS BY, 귀무 보정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T5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비중복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기존 APPROVED Gold와 월별 절대 Spearman 중앙값 ≤ 0.80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anumSquare" w:hAnsi="NanumSquare" w:eastAsia="NanumSquare"/>
                <w:b/>
                <w:color w:val="0B2545"/>
                <w:sz w:val="17"/>
              </w:rPr>
              <w:t>구현</w:t>
            </w:r>
          </w:p>
        </w:tc>
        <w:tc>
          <w:tcPr>
            <w:tcW w:type="dxa" w:w="21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연구-운영 일치</w:t>
            </w:r>
          </w:p>
        </w:tc>
        <w:tc>
          <w:tcPr>
            <w:tcW w:type="dxa" w:w="674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anumSquare" w:hAnsi="NanumSquare" w:eastAsia="NanumSquare"/>
                <w:b w:val="0"/>
                <w:sz w:val="17"/>
              </w:rPr>
              <w:t>Python과 Gold SQL의 key·raw value·rank parity</w:t>
            </w:r>
          </w:p>
        </w:tc>
      </w:tr>
    </w:tbl>
    <w:p>
      <w:pPr>
        <w:spacing w:before="120" w:after="80"/>
      </w:pPr>
      <w:r>
        <w:rPr>
          <w:rFonts w:ascii="NanumSquare" w:hAnsi="NanumSquare" w:eastAsia="NanumSquare"/>
          <w:b/>
          <w:color w:val="1F4D78"/>
        </w:rPr>
        <w:t xml:space="preserve">참고: </w:t>
      </w:r>
      <w:r>
        <w:rPr>
          <w:rFonts w:ascii="NanumSquare" w:hAnsi="NanumSquare" w:eastAsia="NanumSquare"/>
          <w:color w:val="555555"/>
          <w:sz w:val="20"/>
        </w:rPr>
        <w:t>수익률, net IR, 회전율과 거래비용은 승격 기준이 아니라 운용 진단값이다. 투자 가능 유니버스도 임의의 거래대금 5억원 대신 ADV20 &gt; 0을 사용한다.</w:t>
      </w:r>
    </w:p>
    <w:p>
      <w:pPr>
        <w:pStyle w:val="Heading2"/>
      </w:pPr>
      <w:r>
        <w:t>IC 임계값의 의미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Discovery IC 0.03: 최종 Gold 기준이 아니라 유망 후보를 너무 일찍 버리지 않는 후보선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OOS IC 0.05: 미노출 36개월에서 요구하는 최종 효과크기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Rank ICIR 0.15: 월별 IC 변동이 지나치게 큰 신호를 거르는 내부 안정성 기준</w:t>
      </w:r>
    </w:p>
    <w:p>
      <w:pPr>
        <w:numPr>
          <w:ilvl w:val="0"/>
          <w:numId w:val="10"/>
        </w:numPr>
        <w:spacing w:after="40" w:line="276" w:lineRule="auto"/>
      </w:pPr>
      <w:r>
        <w:rPr>
          <w:rFonts w:ascii="NanumSquare" w:hAnsi="NanumSquare" w:eastAsia="NanumSquare"/>
        </w:rPr>
        <w:t>BY q ≤ 0.10: 여러 후보를 시험한 선택 편향을 campaign 단위로 보정</w:t>
      </w:r>
    </w:p>
    <w:p>
      <w:pPr>
        <w:pStyle w:val="Heading1"/>
      </w:pPr>
      <w:r>
        <w:t>3. 기준을 뒷받침한 연구</w:t>
      </w:r>
    </w:p>
    <w:p>
      <w:r>
        <w:rPr>
          <w:rFonts w:ascii="NanumSquare" w:hAnsi="NanumSquare" w:eastAsia="NanumSquare"/>
        </w:rPr>
        <w:t>문헌의 숫자를 그대로 복사하지 않고, 각 연구가 설명하는 위험을 현재 KRX 월별 Rank IC 구조에 맞게 정책값으로 옮겼다.</w:t>
      </w:r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IC와 효과크기: </w:t>
      </w:r>
      <w:hyperlink r:id="rId10">
        <w:r>
          <w:rPr>
            <w:rFonts w:ascii="NanumSquare" w:hAnsi="NanumSquare" w:eastAsia="NanumSquare"/>
            <w:color w:val="2E74B5"/>
            <w:u w:val="single"/>
          </w:rPr>
          <w:t>Kahn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1">
        <w:r>
          <w:rPr>
            <w:rFonts w:ascii="NanumSquare" w:hAnsi="NanumSquare" w:eastAsia="NanumSquare"/>
            <w:color w:val="2E74B5"/>
            <w:u w:val="single"/>
          </w:rPr>
          <w:t>MSCI Barra</w:t>
        </w:r>
      </w:hyperlink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통계 보정: </w:t>
      </w:r>
      <w:hyperlink r:id="rId12">
        <w:r>
          <w:rPr>
            <w:rFonts w:ascii="NanumSquare" w:hAnsi="NanumSquare" w:eastAsia="NanumSquare"/>
            <w:color w:val="2E74B5"/>
            <w:u w:val="single"/>
          </w:rPr>
          <w:t>Newey-West HAC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3">
        <w:r>
          <w:rPr>
            <w:rFonts w:ascii="NanumSquare" w:hAnsi="NanumSquare" w:eastAsia="NanumSquare"/>
            <w:color w:val="2E74B5"/>
            <w:u w:val="single"/>
          </w:rPr>
          <w:t>Benjamini-Yekutieli FDR</w:t>
        </w:r>
      </w:hyperlink>
    </w:p>
    <w:p>
      <w:pPr>
        <w:spacing w:after="80" w:line="276" w:lineRule="auto"/>
      </w:pPr>
      <w:r>
        <w:rPr>
          <w:rFonts w:ascii="NanumSquare" w:hAnsi="NanumSquare" w:eastAsia="NanumSquare"/>
          <w:b/>
          <w:color w:val="1F4D78"/>
          <w:sz w:val="19"/>
        </w:rPr>
        <w:t xml:space="preserve">과최적화 통제: </w:t>
      </w:r>
      <w:hyperlink r:id="rId14">
        <w:r>
          <w:rPr>
            <w:rFonts w:ascii="NanumSquare" w:hAnsi="NanumSquare" w:eastAsia="NanumSquare"/>
            <w:color w:val="2E74B5"/>
            <w:u w:val="single"/>
          </w:rPr>
          <w:t>Harvey-Liu-Zhu</w:t>
        </w:r>
      </w:hyperlink>
      <w:r>
        <w:rPr>
          <w:rFonts w:ascii="NanumSquare" w:hAnsi="NanumSquare" w:eastAsia="NanumSquare"/>
          <w:color w:val="555555"/>
          <w:sz w:val="19"/>
        </w:rPr>
        <w:t xml:space="preserve"> · </w:t>
      </w:r>
      <w:hyperlink r:id="rId15">
        <w:r>
          <w:rPr>
            <w:rFonts w:ascii="NanumSquare" w:hAnsi="NanumSquare" w:eastAsia="NanumSquare"/>
            <w:color w:val="2E74B5"/>
            <w:u w:val="single"/>
          </w:rPr>
          <w:t>Arnott-Harvey-Markowitz</w:t>
        </w:r>
      </w:hyperlink>
    </w:p>
    <w:p>
      <w:pPr>
        <w:pStyle w:val="Heading1"/>
      </w:pPr>
      <w:r>
        <w:t>4. 지금까지 얻은 가장 중요한 교훈</w:t>
      </w:r>
    </w:p>
    <w:p>
      <w:pPr>
        <w:spacing w:before="80" w:after="140" w:line="276" w:lineRule="auto"/>
        <w:ind w:left="200" w:right="200"/>
        <w:shd w:fill="F4F6F9"/>
        <w:pBdr>
          <w:left w:val="single" w:sz="18" w:space="8" w:color="2E74B5"/>
        </w:pBdr>
      </w:pPr>
      <w:r>
        <w:rPr>
          <w:rFonts w:ascii="NanumSquare" w:hAnsi="NanumSquare" w:eastAsia="NanumSquare"/>
          <w:b/>
          <w:color w:val="0B2545"/>
        </w:rPr>
        <w:t xml:space="preserve">판정 원칙  </w:t>
      </w:r>
      <w:r>
        <w:rPr>
          <w:rFonts w:ascii="NanumSquare" w:hAnsi="NanumSquare" w:eastAsia="NanumSquare"/>
        </w:rPr>
        <w:t>높은 IC는 필요하지만 충분하지 않다. 데이터 무결성과 독립적인 검증 과정이 함께 보장돼야 Gold APPROVED 팩터라고 부를 수 있다.</w:t>
      </w:r>
    </w:p>
    <w:p>
      <w:pPr>
        <w:spacing w:after="0"/>
      </w:pPr>
      <w:r>
        <w:rPr>
          <w:rFonts w:ascii="NanumSquare" w:hAnsi="NanumSquare" w:eastAsia="NanumSquare"/>
        </w:rPr>
        <w:t>최근 trading_turnover_20d와 paid_in_capital_ratio는 회고 36개월 IC가 각각 약 0.138과 0.087로 높았지만, LLM과 후보 선택 과정이 그 기간을 이미 봤기 때문에 공식 T4로 인정하지 않았다. 이 사례는 현재 절차가 단순히 좋은 숫자를 고르는 것이 아니라, 그 숫자가 만들어진 과정까지 검증하도록 설계됐다는 뜻이다.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anumSquare" w:hAnsi="NanumSquare" w:eastAsia="NanumSquare"/>
        <w:color w:val="555555"/>
        <w:sz w:val="18"/>
      </w:rPr>
      <w:t xml:space="preserve">팩터 연구 시스템 요약  |  </w:t>
    </w:r>
    <w:r>
      <w:rPr>
        <w:rFonts w:ascii="NanumSquare" w:hAnsi="NanumSquare"/>
        <w:color w:val="777777"/>
        <w:sz w:val="18"/>
      </w:rPr>
      <w:fldChar w:fldCharType="begin"/>
    </w:r>
    <w:r>
      <w:rPr>
        <w:rFonts w:ascii="NanumSquare" w:hAnsi="NanumSquare"/>
        <w:color w:val="777777"/>
        <w:sz w:val="18"/>
      </w:rPr>
      <w:instrText xml:space="preserve"> PAGE </w:instrText>
    </w:r>
    <w:r>
      <w:rPr>
        <w:rFonts w:ascii="NanumSquare" w:hAnsi="NanumSquare"/>
        <w:color w:val="777777"/>
        <w:sz w:val="18"/>
      </w:rPr>
      <w:fldChar w:fldCharType="separate"/>
    </w:r>
    <w:r>
      <w:rPr>
        <w:rFonts w:ascii="NanumSquare" w:hAnsi="NanumSquare"/>
        <w:color w:val="777777"/>
        <w:sz w:val="18"/>
      </w:rPr>
      <w:t>1</w:t>
    </w:r>
    <w:r>
      <w:rPr>
        <w:rFonts w:ascii="NanumSquare" w:hAnsi="NanumSquare"/>
        <w:color w:val="777777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40" w:line="276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76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pc.cfainstitute.org/research/foundation/2018/future-of-investment-management" TargetMode="External"/><Relationship Id="rId11" Type="http://schemas.openxmlformats.org/officeDocument/2006/relationships/hyperlink" Target="https://www.msci.com/documents/10199/1645561/PI_Converting_Scores_Into_Alphas.pdf/7adf1f42-10aa-40eb-9e8c-ecc11eeba2d4" TargetMode="External"/><Relationship Id="rId12" Type="http://schemas.openxmlformats.org/officeDocument/2006/relationships/hyperlink" Target="https://www.nber.org/papers/t0055" TargetMode="External"/><Relationship Id="rId13" Type="http://schemas.openxmlformats.org/officeDocument/2006/relationships/hyperlink" Target="https://doi.org/10.1214/aos/1013699998" TargetMode="External"/><Relationship Id="rId14" Type="http://schemas.openxmlformats.org/officeDocument/2006/relationships/hyperlink" Target="https://academic.oup.com/rfs/article-abstract/29/1/5/1843824" TargetMode="External"/><Relationship Id="rId15" Type="http://schemas.openxmlformats.org/officeDocument/2006/relationships/hyperlink" Target="https://papers.ssrn.com/sol3/papers.cfm?abstract_id=32756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팩터 연구 시스템 요약</dc:title>
  <dc:subject>SKILL.md 구조와 팩터 통과 기준</dc:subject>
  <dc:creator>TeamAlpha Research</dc:creator>
  <cp:keywords>factor research, IC, OOS, Gold, SKILL.md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