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Infinite Counterfamily to a Set Identity in a Recursive Collatz Sieve</w:t>
      </w:r>
    </w:p>
    <w:p>
      <w:pPr>
        <w:spacing w:after="40"/>
      </w:pPr>
      <w:r>
        <w:rPr>
          <w:b/>
        </w:rPr>
        <w:t>James E. Dunn</w:t>
      </w:r>
    </w:p>
    <w:p>
      <w:pPr>
        <w:spacing w:after="220"/>
      </w:pPr>
      <w:r>
        <w:t>ORCID 0009-0005-2679-6574  ·  6 October 2026</w:t>
      </w:r>
    </w:p>
    <w:p>
      <w:pPr>
        <w:pStyle w:val="Heading1"/>
      </w:pPr>
      <w:r>
        <w:t>Abstract</w:t>
      </w:r>
    </w:p>
    <w:p>
      <w:pPr/>
      <w:r>
        <w:t>The proof of Lemma 3.1 in Ansari's recursive Collatz sieve uses a displayed set identity to complete an induction. At its n = 2 specialization, every integer 75 + 108t, with t nonnegative, belongs to the proposed set difference but not to the next sieve. This gives an infinite counterfamily to that identity. The arithmetic statement has also been checked in Lean. The result identifies a failure of the displayed induction step; it does not decide whether the paper's recursive sufficiency conclusion admits another proof.</w:t>
      </w:r>
    </w:p>
    <w:p>
      <w:pPr>
        <w:pStyle w:val="Heading1"/>
      </w:pPr>
      <w:r>
        <w:t>The Set Identity</w:t>
      </w:r>
    </w:p>
    <w:p>
      <w:pPr/>
      <w:r>
        <w:t>In the proof of Lemma 3.1 of Ansari [1], the final equality in the induction on printed page 478 identifies the next sieve with a larger digit set after subtracting an exceptional set. The n = 2 case is enough to test this equality without any convention about an empty string of digits. Throughout, k and t range over the nonnegative integers.</w:t>
      </w:r>
    </w:p>
    <w:p>
      <w:pPr/>
      <w:r>
        <w:t>Write E(k, a₂, a₁, a₀) for the common digit expression. The definitions on pages 477–478 of [1], specialized to n = 2, are:</w:t>
      </w:r>
    </w:p>
    <w:p>
      <w:pPr>
        <w:pStyle w:val="MathDisplay"/>
      </w:pPr>
      <w:r>
        <w:rPr>
          <w:rFonts w:ascii="STIX Two Math" w:hAnsi="STIX Two Math"/>
          <w:sz w:val="21"/>
        </w:rPr>
        <w:t>E(k, a₂, a₁, a₀) = 108k + 36a₂ + 12a₁ + 4a₀ + 3</w:t>
      </w:r>
    </w:p>
    <w:p>
      <w:pPr>
        <w:pStyle w:val="MathDisplay"/>
      </w:pPr>
      <w:r>
        <w:rPr>
          <w:rFonts w:ascii="STIX Two Math" w:hAnsi="STIX Two Math"/>
          <w:sz w:val="21"/>
        </w:rPr>
        <w:t>F₃ = {E(k, a₂, a₁, a₀) : a₀, a₁, a₂ ∈ {0, 1}}</w:t>
      </w:r>
    </w:p>
    <w:p>
      <w:pPr>
        <w:pStyle w:val="MathDisplay"/>
      </w:pPr>
      <w:r>
        <w:rPr>
          <w:rFonts w:ascii="STIX Two Math" w:hAnsi="STIX Two Math"/>
          <w:sz w:val="21"/>
        </w:rPr>
        <w:t>F′₂ = {E(k, a₂, a₁, a₀) : a₀ ∈ {0, 1}, a₁, a₂ ∈ {0, 1, 2}}</w:t>
      </w:r>
    </w:p>
    <w:p>
      <w:pPr>
        <w:pStyle w:val="MathDisplay"/>
      </w:pPr>
      <w:r>
        <w:rPr>
          <w:rFonts w:ascii="STIX Two Math" w:hAnsi="STIX Two Math"/>
          <w:sz w:val="21"/>
        </w:rPr>
        <w:t>A′₂ = {108k + 99 + 4a₀ : a₀ ∈ {0, 1}}</w:t>
      </w:r>
    </w:p>
    <w:p>
      <w:pPr/>
      <w:r>
        <w:t>The equality asserted at the end of that induction becomes</w:t>
      </w:r>
    </w:p>
    <w:p>
      <w:pPr>
        <w:pStyle w:val="MathDisplay"/>
      </w:pPr>
      <w:r>
        <w:rPr>
          <w:rFonts w:ascii="STIX Two Math" w:hAnsi="STIX Two Math"/>
          <w:sz w:val="21"/>
        </w:rPr>
        <w:t>F₃ = F′₂ ∖ A′₂.</w:t>
      </w:r>
    </w:p>
    <w:p>
      <w:pPr>
        <w:pStyle w:val="Heading1"/>
      </w:pPr>
      <w:r>
        <w:t>An Infinite Counterfamily</w:t>
      </w:r>
    </w:p>
    <w:p>
      <w:pPr/>
      <w:r>
        <w:rPr>
          <w:b/>
        </w:rPr>
        <w:t>Proposition.</w:t>
      </w:r>
      <w:r>
        <w:t xml:space="preserve"> For every t ≥ 0, the integer xₜ = 75 + 108t belongs to F′₂ ∖ A′₂ and does not belong to F₃. Consequently, the displayed equality is false.</w:t>
      </w:r>
    </w:p>
    <w:p>
      <w:pPr/>
      <w:r>
        <w:rPr>
          <w:b/>
        </w:rPr>
        <w:t>Proof.</w:t>
      </w:r>
      <w:r>
        <w:t xml:space="preserve"> Set k = t, a₂ = 2, and a₁ = a₀ = 0. Then E(t, 2, 0, 0) = 75 + 108t, so xₜ belongs to F′₂. Modulo 108, the only residues of A′₂ are 99 and 103. The residues of F₃ are 3, 7, 15, 19, 39, 43, 51, and 55. These lists are complete: each bounded digit offset lies between 0 and 107. Since xₜ has residue 75, it belongs to neither A′₂ nor F₃. This holds for every nonnegative t. ∎</w:t>
      </w:r>
    </w:p>
    <w:p>
      <w:pPr/>
      <w:r>
        <w:t>The same family also lies in the preceding sieve F₂: 75 + 108t = 36(2 + 3t) + 3, with a₁ = a₀ = 0 in the definition of F₂.</w:t>
      </w:r>
    </w:p>
    <w:p>
      <w:pPr>
        <w:pStyle w:val="Heading1"/>
      </w:pPr>
      <w:r>
        <w:t>The Digit Set Difference</w:t>
      </w:r>
    </w:p>
    <w:p>
      <w:pPr/>
      <w:r>
        <w:t>The difference between the two sides is visible in the digit restrictions. Within F′₂, let B₂ contain the elements represented with a₂ = 2 and let C₂ contain those represented with a₁ = 2. The bounded representation is unique: (x − 3)/4 = 27k + a₀ + 3a₁ + 9a₂, where a₀ ∈ {0, 1} and a₁, a₂ ∈ {0, 1, 2}. The digit sum is less than 27. Thus the elements admitted to F′₂ but absent from F₃ have at least one of those digits equal to 2, while A′₂ selects only the case in which both equal 2. Equivalently,</w:t>
      </w:r>
    </w:p>
    <w:p>
      <w:pPr>
        <w:pStyle w:val="MathDisplay"/>
      </w:pPr>
      <w:r>
        <w:rPr>
          <w:rFonts w:ascii="STIX Two Math" w:hAnsi="STIX Two Math"/>
          <w:sz w:val="21"/>
        </w:rPr>
        <w:t>F₃ = F′₂ ∖ (B₂ ∪ C₂),      A′₂ = B₂ ∩ C₂.</w:t>
      </w:r>
    </w:p>
    <w:p>
      <w:pPr/>
      <w:r>
        <w:t>The counterfamily has a₂ = 2 and a₁ = 0, so subtracting A′₂ leaves it in the right-hand side of the printed identity.</w:t>
      </w:r>
    </w:p>
    <w:p>
      <w:pPr>
        <w:pStyle w:val="Heading1"/>
      </w:pPr>
      <w:r>
        <w:t>Formal Verification and Scope</w:t>
      </w:r>
    </w:p>
    <w:p>
      <w:pPr/>
      <w:r>
        <w:t>The Lean 4 companion AnsariSieveIdentity.lean defines the four specialized predicates over natural numbers. It proves the counterfamily's membership in F₂ and F′₂ and nonmembership in A′₂ and F₃, combines these claims in one theorem, and proves the parameterization injective and unbounded. It also proves the negation of the universal membership equivalence:</w:t>
      </w:r>
    </w:p>
    <w:p>
      <w:pPr>
        <w:pStyle w:val="MathDisplay"/>
      </w:pPr>
      <w:r>
        <w:rPr>
          <w:rFonts w:ascii="STIX Two Math" w:hAnsi="STIX Two Math"/>
          <w:sz w:val="21"/>
        </w:rPr>
        <w:t>¬ (∀ x : ℕ, F₃(x) ↔ (F′₂(x) ∧ ¬A′₂(x))).</w:t>
      </w:r>
    </w:p>
    <w:p>
      <w:pPr/>
      <w:r>
        <w:t>All eight theorem declarations compile from a clean package under Lean 4.33.1. Their axiom reports list only propext and Quot.sound. This verifies the arithmetic consequence of the encoded definitions. Matching those definitions to the printed article was a separate manual check; the article itself was not formalized.</w:t>
      </w:r>
    </w:p>
    <w:p>
      <w:pPr/>
      <w:r>
        <w:t>The counterfamily invalidates the displayed equality and therefore that particular last step of the induction. It does not show that the Collatz conjecture is false, nor does it rule out another argument for the paper's recursive sufficiency claim. Related public audits discuss defects at nearby sieve levels [2, 3].</w:t>
      </w:r>
    </w:p>
    <w:p>
      <w:pPr>
        <w:pStyle w:val="Heading1"/>
      </w:pPr>
      <w:r>
        <w:t>References</w:t>
      </w:r>
    </w:p>
    <w:p>
      <w:pPr>
        <w:pStyle w:val="Reference"/>
      </w:pPr>
      <w:r>
        <w:t xml:space="preserve">[1] Mohammad Ansari, “Recursive sufficiency for the Collatz conjecture and computational verification,” Notes on Number Theory and Discrete Mathematics 31, no. 3 (2025): 471–480. DOI: 10.7546/nntdm.2025.31.3.471-480. </w:t>
      </w:r>
      <w:hyperlink r:id="rId9">
        <w:r>
          <w:rPr>
            <w:color w:val="000000"/>
          </w:rPr>
          <w:t>Link</w:t>
        </w:r>
      </w:hyperlink>
    </w:p>
    <w:p>
      <w:pPr>
        <w:pStyle w:val="Reference"/>
      </w:pPr>
      <w:r>
        <w:t xml:space="preserve">[2] jkolantree, “Collatz Recursive Sufficiency Audit,” §2, BSC repository, revision 2944e11ca39c39bf95533342c765379f6bb7da02. </w:t>
      </w:r>
      <w:hyperlink r:id="rId10">
        <w:r>
          <w:rPr>
            <w:color w:val="000000"/>
          </w:rPr>
          <w:t>Link</w:t>
        </w:r>
      </w:hyperlink>
    </w:p>
    <w:p>
      <w:pPr>
        <w:pStyle w:val="Reference"/>
      </w:pPr>
      <w:r>
        <w:t xml:space="preserve">[3] Sodelin, “Sufficiency Rank Audit,” §3, Collatz-Conjecture-Work repository, revision 33922a42e86646258d227d1e19c6cf7546a2f548. </w:t>
      </w:r>
      <w:hyperlink r:id="rId11">
        <w:r>
          <w:rPr>
            <w:color w:val="000000"/>
          </w:rPr>
          <w:t>Link</w:t>
        </w:r>
      </w:hyperlink>
    </w:p>
    <w:sectPr w:rsidR="00FC693F" w:rsidRPr="0006063C" w:rsidSect="00034616">
      <w:footerReference w:type="default" r:id="rId12"/>
      <w:pgSz w:w="12240" w:h="15840"/>
      <w:pgMar w:top="1195" w:right="1325" w:bottom="1123" w:left="1325" w:header="49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STIX Two Text" w:hAnsi="STIX Two Tex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TIX Two Text" w:hAnsi="STIX Two Text"/>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contextualSpacing/>
    </w:pPr>
    <w:rPr>
      <w:rFonts w:asciiTheme="majorHAnsi" w:eastAsiaTheme="majorEastAsia" w:hAnsiTheme="majorHAnsi" w:cstheme="majorBidi" w:ascii="STIX Two Text" w:hAnsi="STIX Two Text"/>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hDisplay">
    <w:name w:val="Math Display"/>
    <w:basedOn w:val="Normal"/>
    <w:pPr>
      <w:keepLines/>
      <w:spacing w:before="40" w:after="100"/>
      <w:ind w:left="331"/>
    </w:pPr>
    <w:rPr>
      <w:rFonts w:ascii="Cambria Math" w:hAnsi="Cambria Math"/>
      <w:sz w:val="21"/>
    </w:rPr>
  </w:style>
  <w:style w:type="paragraph" w:customStyle="1" w:styleId="Reference">
    <w:name w:val="Reference"/>
    <w:basedOn w:val="Normal"/>
    <w:pPr>
      <w:spacing w:after="120"/>
      <w:ind w:left="288" w:hanging="288"/>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7546/nntdm.2025.31.3.471-480" TargetMode="External"/><Relationship Id="rId10" Type="http://schemas.openxmlformats.org/officeDocument/2006/relationships/hyperlink" Target="https://github.com/jkolantree/BSC/blob/2944e11ca39c39bf95533342c765379f6bb7da02/applications/Collatz_Recursive_Sufficiency_Audit.md" TargetMode="External"/><Relationship Id="rId11" Type="http://schemas.openxmlformats.org/officeDocument/2006/relationships/hyperlink" Target="https://github.com/Sodelin/Collatz-Conjecture-Work/blob/33922a42e86646258d227d1e19c6cf7546a2f548/proof-search/sources/Sufficiency_Rank_Audit_2026-09-05.md"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