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49A36" w14:textId="77777777" w:rsidR="005D7B94" w:rsidRDefault="00537FF6" w:rsidP="00B04F4F">
      <w:pPr>
        <w:spacing w:line="480" w:lineRule="auto"/>
        <w:rPr>
          <w:sz w:val="23"/>
          <w:szCs w:val="23"/>
        </w:rPr>
      </w:pPr>
      <w:r>
        <w:rPr>
          <w:sz w:val="23"/>
          <w:szCs w:val="23"/>
        </w:rPr>
        <w:t>treatment completion was defined as completing the 12-week treatment phase without missing two or more consecutive weeks of treatment.</w:t>
      </w:r>
    </w:p>
    <w:p w14:paraId="454CFD28" w14:textId="77777777" w:rsidR="00537FF6" w:rsidRDefault="00537FF6" w:rsidP="00B04F4F">
      <w:pPr>
        <w:spacing w:line="480" w:lineRule="auto"/>
        <w:rPr>
          <w:sz w:val="23"/>
          <w:szCs w:val="23"/>
        </w:rPr>
      </w:pPr>
    </w:p>
    <w:p w14:paraId="3598C4D1" w14:textId="77777777" w:rsidR="00537FF6" w:rsidRDefault="00537FF6"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 xml:space="preserve">Gender studies of stimulant drug addiction make clear that prevalence of abuse is only one measure of gender differences, there are many factors that must be considered, from the first experience of cocaine and MA use to the transition to full addiction. These studies also demonstrate that females are more likely to start using stimulant drugs (cocaine, MA) at an earlier age than men, the rate of drug abuse escalates faster than for men, and women report higher cravings and upon entering treatment they have usually consumed greater quantities of these drugs than men (Becker, 2011; Greenfield et al., 2010; Taylor et al., 2013). </w:t>
      </w:r>
    </w:p>
    <w:p w14:paraId="4934AB58" w14:textId="049E1B04" w:rsidR="000B08C3" w:rsidRDefault="000B08C3"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Complicating the cocaine and MA</w:t>
      </w:r>
      <w:r w:rsidRPr="004C407F">
        <w:rPr>
          <w:rFonts w:ascii="Times New Roman" w:eastAsia="Calibri" w:hAnsi="Times New Roman" w:cs="Times New Roman"/>
        </w:rPr>
        <w:t xml:space="preserve"> problem</w:t>
      </w:r>
      <w:r>
        <w:rPr>
          <w:rFonts w:ascii="Times New Roman" w:eastAsia="Calibri" w:hAnsi="Times New Roman" w:cs="Times New Roman"/>
        </w:rPr>
        <w:t xml:space="preserve"> for female addicts</w:t>
      </w:r>
      <w:r w:rsidRPr="004C407F">
        <w:rPr>
          <w:rFonts w:ascii="Times New Roman" w:eastAsia="Calibri" w:hAnsi="Times New Roman" w:cs="Times New Roman"/>
        </w:rPr>
        <w:t xml:space="preserve"> is verification that as a </w:t>
      </w:r>
      <w:proofErr w:type="spellStart"/>
      <w:r w:rsidRPr="004C407F">
        <w:rPr>
          <w:rFonts w:ascii="Times New Roman" w:eastAsia="Calibri" w:hAnsi="Times New Roman" w:cs="Times New Roman"/>
        </w:rPr>
        <w:t>psych</w:t>
      </w:r>
      <w:r>
        <w:rPr>
          <w:rFonts w:ascii="Times New Roman" w:eastAsia="Calibri" w:hAnsi="Times New Roman" w:cs="Times New Roman"/>
        </w:rPr>
        <w:t>ostimulant</w:t>
      </w:r>
      <w:proofErr w:type="spellEnd"/>
      <w:r>
        <w:rPr>
          <w:rFonts w:ascii="Times New Roman" w:eastAsia="Calibri" w:hAnsi="Times New Roman" w:cs="Times New Roman"/>
        </w:rPr>
        <w:t xml:space="preserve"> drug, MA</w:t>
      </w:r>
      <w:r w:rsidRPr="004C407F">
        <w:rPr>
          <w:rFonts w:ascii="Times New Roman" w:eastAsia="Calibri" w:hAnsi="Times New Roman" w:cs="Times New Roman"/>
        </w:rPr>
        <w:t xml:space="preserve"> poses a neurotoxic effect to dopaminergic frontal areas of the brain and invokes neural deficits in mechanisms of cognition and selective attention (</w:t>
      </w:r>
      <w:proofErr w:type="spellStart"/>
      <w:r w:rsidRPr="004C407F">
        <w:rPr>
          <w:rFonts w:ascii="Times New Roman" w:eastAsia="Calibri" w:hAnsi="Times New Roman" w:cs="Times New Roman"/>
        </w:rPr>
        <w:t>Salo</w:t>
      </w:r>
      <w:proofErr w:type="spellEnd"/>
      <w:r w:rsidRPr="004C407F">
        <w:rPr>
          <w:rFonts w:ascii="Times New Roman" w:eastAsia="Calibri" w:hAnsi="Times New Roman" w:cs="Times New Roman"/>
        </w:rPr>
        <w:t xml:space="preserve"> et al.</w:t>
      </w:r>
      <w:r>
        <w:rPr>
          <w:rFonts w:ascii="Times New Roman" w:eastAsia="Calibri" w:hAnsi="Times New Roman" w:cs="Times New Roman"/>
        </w:rPr>
        <w:t>, 2010</w:t>
      </w:r>
      <w:r w:rsidRPr="004C407F">
        <w:rPr>
          <w:rFonts w:ascii="Times New Roman" w:eastAsia="Calibri" w:hAnsi="Times New Roman" w:cs="Times New Roman"/>
        </w:rPr>
        <w:t xml:space="preserve">).  </w:t>
      </w:r>
      <w:bookmarkStart w:id="0" w:name="_GoBack"/>
      <w:bookmarkEnd w:id="0"/>
    </w:p>
    <w:p w14:paraId="163C7B71" w14:textId="29585008" w:rsidR="00B04F4F" w:rsidRDefault="00B04F4F"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Statistics analysis</w:t>
      </w:r>
    </w:p>
    <w:p w14:paraId="68BA78FF" w14:textId="5F247F82"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there </w:t>
      </w:r>
      <w:proofErr w:type="gramStart"/>
      <w:r>
        <w:rPr>
          <w:rFonts w:ascii="Helvetica Neue" w:hAnsi="Helvetica Neue" w:cs="Helvetica Neue"/>
        </w:rPr>
        <w:t>we</w:t>
      </w:r>
      <w:r>
        <w:rPr>
          <w:rFonts w:ascii="Helvetica Neue" w:hAnsi="Helvetica Neue" w:cs="Helvetica Neue"/>
        </w:rPr>
        <w:t>r</w:t>
      </w:r>
      <w:r>
        <w:rPr>
          <w:rFonts w:ascii="Helvetica Neue" w:hAnsi="Helvetica Neue" w:cs="Helvetica Neue"/>
        </w:rPr>
        <w:t>e</w:t>
      </w:r>
      <w:proofErr w:type="gramEnd"/>
      <w:r>
        <w:rPr>
          <w:rFonts w:ascii="Helvetica Neue" w:hAnsi="Helvetica Neue" w:cs="Helvetica Neue"/>
        </w:rPr>
        <w:t xml:space="preserve"> gender effect in cognitive response, and treatment competition rate. I would prefer a chi-square test on the independency of gender:</w:t>
      </w:r>
    </w:p>
    <w:p w14:paraId="54C0C0D4"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01B257F7"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For each of the variables that we are interested in, </w:t>
      </w:r>
    </w:p>
    <w:p w14:paraId="31E55521"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45FFA7E2"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2x2 contingent table will be formed and “independency” was tested via right-tailed chi-square test</w:t>
      </w:r>
    </w:p>
    <w:p w14:paraId="7BD87239"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39A2EED7"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completion can be test via a regression model with gender, ethnicity, other covariate </w:t>
      </w:r>
    </w:p>
    <w:p w14:paraId="3AB18AF1"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test the model and ad hoc test</w:t>
      </w:r>
    </w:p>
    <w:p w14:paraId="482C1B6A"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40C3653C" w14:textId="77777777" w:rsidR="00537FF6" w:rsidRDefault="00537FF6" w:rsidP="00B04F4F">
      <w:pPr>
        <w:spacing w:line="480" w:lineRule="auto"/>
      </w:pPr>
    </w:p>
    <w:sectPr w:rsidR="00537FF6" w:rsidSect="0067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F6"/>
    <w:rsid w:val="000B08C3"/>
    <w:rsid w:val="00537FF6"/>
    <w:rsid w:val="005D7B94"/>
    <w:rsid w:val="00676A69"/>
    <w:rsid w:val="00B0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CD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00115">
      <w:bodyDiv w:val="1"/>
      <w:marLeft w:val="0"/>
      <w:marRight w:val="0"/>
      <w:marTop w:val="0"/>
      <w:marBottom w:val="0"/>
      <w:divBdr>
        <w:top w:val="none" w:sz="0" w:space="0" w:color="auto"/>
        <w:left w:val="none" w:sz="0" w:space="0" w:color="auto"/>
        <w:bottom w:val="none" w:sz="0" w:space="0" w:color="auto"/>
        <w:right w:val="none" w:sz="0" w:space="0" w:color="auto"/>
      </w:divBdr>
    </w:div>
    <w:div w:id="2047676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Macintosh Word</Application>
  <DocSecurity>0</DocSecurity>
  <Lines>10</Lines>
  <Paragraphs>2</Paragraphs>
  <ScaleCrop>false</ScaleCrop>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2017-01-07T21:38:00Z</dcterms:created>
  <dcterms:modified xsi:type="dcterms:W3CDTF">2017-01-07T21:45:00Z</dcterms:modified>
</cp:coreProperties>
</file>