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57" w:rsidRPr="00F947C1" w:rsidRDefault="00101CC8">
      <w:pPr>
        <w:rPr>
          <w:rFonts w:ascii="Times New Roman" w:hAnsi="Times New Roman" w:cs="Times New Roman"/>
          <w:sz w:val="24"/>
          <w:szCs w:val="24"/>
        </w:rPr>
      </w:pPr>
      <w:r w:rsidRPr="00F947C1">
        <w:rPr>
          <w:rFonts w:ascii="Times New Roman" w:hAnsi="Times New Roman" w:cs="Times New Roman"/>
          <w:sz w:val="24"/>
          <w:szCs w:val="24"/>
        </w:rPr>
        <w:t>Jianying Li joined CHGV as a bioinformatician at Center for Human Genome Variation.  He oversees a team of CHGV Bioinformaticians that focuses on new software development as well as development and maintenance of specific areas of the analysis pipeline; develop</w:t>
      </w:r>
      <w:r w:rsidR="009908C1">
        <w:rPr>
          <w:rFonts w:ascii="Times New Roman" w:hAnsi="Times New Roman" w:cs="Times New Roman"/>
          <w:sz w:val="24"/>
          <w:szCs w:val="24"/>
        </w:rPr>
        <w:t>s</w:t>
      </w:r>
      <w:r w:rsidRPr="00F947C1">
        <w:rPr>
          <w:rFonts w:ascii="Times New Roman" w:hAnsi="Times New Roman" w:cs="Times New Roman"/>
          <w:sz w:val="24"/>
          <w:szCs w:val="24"/>
        </w:rPr>
        <w:t xml:space="preserve"> and implement</w:t>
      </w:r>
      <w:r w:rsidR="009908C1">
        <w:rPr>
          <w:rFonts w:ascii="Times New Roman" w:hAnsi="Times New Roman" w:cs="Times New Roman"/>
          <w:sz w:val="24"/>
          <w:szCs w:val="24"/>
        </w:rPr>
        <w:t>s</w:t>
      </w:r>
      <w:r w:rsidRPr="00F947C1">
        <w:rPr>
          <w:rFonts w:ascii="Times New Roman" w:hAnsi="Times New Roman" w:cs="Times New Roman"/>
          <w:sz w:val="24"/>
          <w:szCs w:val="24"/>
        </w:rPr>
        <w:t xml:space="preserve"> innovative computational approaches for the analysis of large sequenced datasets from NGS technologies; collaborate</w:t>
      </w:r>
      <w:r w:rsidR="009908C1">
        <w:rPr>
          <w:rFonts w:ascii="Times New Roman" w:hAnsi="Times New Roman" w:cs="Times New Roman"/>
          <w:sz w:val="24"/>
          <w:szCs w:val="24"/>
        </w:rPr>
        <w:t>s</w:t>
      </w:r>
      <w:r w:rsidRPr="00F947C1">
        <w:rPr>
          <w:rFonts w:ascii="Times New Roman" w:hAnsi="Times New Roman" w:cs="Times New Roman"/>
          <w:sz w:val="24"/>
          <w:szCs w:val="24"/>
        </w:rPr>
        <w:t xml:space="preserve"> and consult</w:t>
      </w:r>
      <w:r w:rsidR="009908C1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F947C1">
        <w:rPr>
          <w:rFonts w:ascii="Times New Roman" w:hAnsi="Times New Roman" w:cs="Times New Roman"/>
          <w:sz w:val="24"/>
          <w:szCs w:val="24"/>
        </w:rPr>
        <w:t xml:space="preserve"> with CHGV researchers to analyze problems and recommend solutions to meet the computational needs for a wide range of biological research. </w:t>
      </w:r>
    </w:p>
    <w:p w:rsidR="00101CC8" w:rsidRPr="00F947C1" w:rsidRDefault="00101CC8">
      <w:pPr>
        <w:rPr>
          <w:rFonts w:ascii="Times New Roman" w:hAnsi="Times New Roman" w:cs="Times New Roman"/>
          <w:sz w:val="24"/>
          <w:szCs w:val="24"/>
        </w:rPr>
      </w:pPr>
      <w:r w:rsidRPr="00F947C1">
        <w:rPr>
          <w:rFonts w:ascii="Times New Roman" w:hAnsi="Times New Roman" w:cs="Times New Roman"/>
          <w:sz w:val="24"/>
          <w:szCs w:val="24"/>
        </w:rPr>
        <w:t>Selected recent publications:</w:t>
      </w:r>
    </w:p>
    <w:p w:rsidR="00101CC8" w:rsidRDefault="00101CC8" w:rsidP="00101CC8">
      <w:pPr>
        <w:pStyle w:val="resumesections"/>
      </w:pPr>
      <w:r w:rsidRPr="004B7216">
        <w:rPr>
          <w:b w:val="0"/>
        </w:rPr>
        <w:t>J Huang, W Shi, J Zhang, J W Chou, R S Paules, K Gerrish</w:t>
      </w:r>
      <w:r>
        <w:t xml:space="preserve">, J Li, </w:t>
      </w:r>
      <w:r w:rsidRPr="004B7216">
        <w:rPr>
          <w:b w:val="0"/>
        </w:rPr>
        <w:t>et al</w:t>
      </w:r>
      <w:r>
        <w:t xml:space="preserve"> </w:t>
      </w:r>
      <w:r w:rsidRPr="00081423">
        <w:rPr>
          <w:b w:val="0"/>
          <w:szCs w:val="24"/>
        </w:rPr>
        <w:t xml:space="preserve">on the MAQC consortium, </w:t>
      </w:r>
      <w:r w:rsidRPr="00081423">
        <w:rPr>
          <w:szCs w:val="24"/>
        </w:rPr>
        <w:t>(2010)</w:t>
      </w:r>
      <w:r w:rsidRPr="00081423">
        <w:rPr>
          <w:b w:val="0"/>
          <w:szCs w:val="24"/>
        </w:rPr>
        <w:t xml:space="preserve">  Genomic indicators in the blood predict a drug-induced liver injury response </w:t>
      </w:r>
      <w:r w:rsidRPr="004B7216">
        <w:rPr>
          <w:iCs/>
        </w:rPr>
        <w:t>The Pharmacogenomics Journal</w:t>
      </w:r>
      <w:r w:rsidRPr="004B7216">
        <w:t xml:space="preserve"> (2010) </w:t>
      </w:r>
      <w:r w:rsidRPr="004B7216">
        <w:rPr>
          <w:b w:val="0"/>
          <w:bCs/>
        </w:rPr>
        <w:t>10,</w:t>
      </w:r>
      <w:r w:rsidRPr="004B7216">
        <w:t xml:space="preserve"> 267–277</w:t>
      </w:r>
    </w:p>
    <w:p w:rsidR="00336146" w:rsidRPr="004B7216" w:rsidRDefault="00336146" w:rsidP="00101CC8">
      <w:pPr>
        <w:pStyle w:val="resumesections"/>
        <w:rPr>
          <w:b w:val="0"/>
          <w:szCs w:val="24"/>
        </w:rPr>
      </w:pPr>
    </w:p>
    <w:p w:rsidR="00101CC8" w:rsidRDefault="00101CC8" w:rsidP="00101CC8">
      <w:pPr>
        <w:pStyle w:val="resumesections"/>
        <w:rPr>
          <w:b w:val="0"/>
          <w:szCs w:val="24"/>
        </w:rPr>
      </w:pPr>
      <w:r w:rsidRPr="00081423">
        <w:rPr>
          <w:szCs w:val="24"/>
        </w:rPr>
        <w:t>Co-author</w:t>
      </w:r>
      <w:r w:rsidRPr="00081423">
        <w:rPr>
          <w:b w:val="0"/>
          <w:szCs w:val="24"/>
        </w:rPr>
        <w:t xml:space="preserve"> on the MAQC consortium, </w:t>
      </w:r>
      <w:r w:rsidRPr="00081423">
        <w:rPr>
          <w:szCs w:val="24"/>
        </w:rPr>
        <w:t>(2010)</w:t>
      </w:r>
      <w:r w:rsidRPr="00081423">
        <w:rPr>
          <w:b w:val="0"/>
          <w:szCs w:val="24"/>
        </w:rPr>
        <w:t xml:space="preserve"> “</w:t>
      </w:r>
      <w:r w:rsidRPr="00986751">
        <w:rPr>
          <w:b w:val="0"/>
          <w:szCs w:val="24"/>
        </w:rPr>
        <w:t>The MicroArray Quality Control (MAQC)-II study of common practices for the development and validation of microarray-based predictive models</w:t>
      </w:r>
      <w:r>
        <w:rPr>
          <w:b w:val="0"/>
          <w:szCs w:val="24"/>
        </w:rPr>
        <w:t xml:space="preserve">” </w:t>
      </w:r>
      <w:r w:rsidRPr="00DD1799">
        <w:rPr>
          <w:szCs w:val="24"/>
        </w:rPr>
        <w:t>Nature Biotechnology</w:t>
      </w:r>
      <w:r w:rsidRPr="00081423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(advance online access: </w:t>
      </w:r>
      <w:r w:rsidRPr="0077534D">
        <w:rPr>
          <w:b w:val="0"/>
          <w:szCs w:val="24"/>
        </w:rPr>
        <w:t>10.1038/nbt.1665</w:t>
      </w:r>
      <w:r>
        <w:rPr>
          <w:b w:val="0"/>
          <w:szCs w:val="24"/>
        </w:rPr>
        <w:t>)</w:t>
      </w:r>
    </w:p>
    <w:p w:rsidR="00336146" w:rsidRPr="00081423" w:rsidRDefault="00336146" w:rsidP="00101CC8">
      <w:pPr>
        <w:pStyle w:val="resumesections"/>
        <w:rPr>
          <w:szCs w:val="24"/>
        </w:rPr>
      </w:pPr>
    </w:p>
    <w:p w:rsidR="00101CC8" w:rsidRDefault="00101CC8" w:rsidP="00101CC8">
      <w:pPr>
        <w:pStyle w:val="HTMLPreformatted"/>
        <w:spacing w:after="120"/>
        <w:rPr>
          <w:rFonts w:ascii="Times New Roman" w:hAnsi="Times New Roman" w:cs="Times New Roman"/>
          <w:sz w:val="24"/>
          <w:szCs w:val="24"/>
        </w:rPr>
      </w:pPr>
      <w:r w:rsidRPr="00081423">
        <w:rPr>
          <w:rFonts w:ascii="Times New Roman" w:hAnsi="Times New Roman" w:cs="Times New Roman"/>
          <w:sz w:val="24"/>
          <w:szCs w:val="24"/>
        </w:rPr>
        <w:t xml:space="preserve">Cabanski CR, Qi Y, Yin X, Bair E, Hayward MC, </w:t>
      </w:r>
      <w:r w:rsidRPr="00081423">
        <w:rPr>
          <w:rFonts w:ascii="Times New Roman" w:hAnsi="Times New Roman" w:cs="Times New Roman"/>
          <w:b/>
          <w:sz w:val="24"/>
          <w:szCs w:val="24"/>
        </w:rPr>
        <w:t>Li J</w:t>
      </w:r>
      <w:r w:rsidRPr="00081423">
        <w:rPr>
          <w:rFonts w:ascii="Times New Roman" w:hAnsi="Times New Roman" w:cs="Times New Roman"/>
          <w:sz w:val="24"/>
          <w:szCs w:val="24"/>
        </w:rPr>
        <w:t xml:space="preserve">, et al. </w:t>
      </w:r>
      <w:r w:rsidRPr="00081423">
        <w:rPr>
          <w:rFonts w:ascii="Times New Roman" w:hAnsi="Times New Roman" w:cs="Times New Roman"/>
          <w:b/>
          <w:sz w:val="24"/>
          <w:szCs w:val="24"/>
        </w:rPr>
        <w:t>(2010)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423">
        <w:rPr>
          <w:rFonts w:ascii="Times New Roman" w:hAnsi="Times New Roman" w:cs="Times New Roman"/>
          <w:sz w:val="24"/>
          <w:szCs w:val="24"/>
        </w:rPr>
        <w:t xml:space="preserve">SWISS MADE: Standardized WithIn class Sum of Squares to evaluate Methodologies And Dataset Elements </w:t>
      </w:r>
      <w:r w:rsidRPr="00DD1799">
        <w:rPr>
          <w:rFonts w:ascii="Times New Roman" w:hAnsi="Times New Roman" w:cs="Times New Roman"/>
          <w:b/>
          <w:sz w:val="24"/>
          <w:szCs w:val="24"/>
        </w:rPr>
        <w:t>PloS ONE</w:t>
      </w:r>
      <w:r w:rsidRPr="00081423">
        <w:rPr>
          <w:rFonts w:ascii="Times New Roman" w:hAnsi="Times New Roman" w:cs="Times New Roman"/>
          <w:sz w:val="24"/>
          <w:szCs w:val="24"/>
        </w:rPr>
        <w:t xml:space="preserve"> 5(3): e9905</w:t>
      </w:r>
    </w:p>
    <w:p w:rsidR="00336146" w:rsidRPr="00081423" w:rsidRDefault="00336146" w:rsidP="00101CC8">
      <w:pPr>
        <w:pStyle w:val="HTMLPreformatted"/>
        <w:spacing w:after="120"/>
        <w:rPr>
          <w:rFonts w:ascii="Times New Roman" w:hAnsi="Times New Roman" w:cs="Times New Roman"/>
          <w:sz w:val="24"/>
          <w:szCs w:val="24"/>
        </w:rPr>
      </w:pPr>
    </w:p>
    <w:p w:rsidR="00101CC8" w:rsidRDefault="00101CC8" w:rsidP="00101CC8">
      <w:pPr>
        <w:pStyle w:val="resumesections"/>
        <w:rPr>
          <w:b w:val="0"/>
          <w:szCs w:val="24"/>
        </w:rPr>
      </w:pPr>
      <w:r w:rsidRPr="00081423">
        <w:rPr>
          <w:szCs w:val="24"/>
        </w:rPr>
        <w:t>Jianying Li</w:t>
      </w:r>
      <w:r w:rsidRPr="00081423">
        <w:rPr>
          <w:b w:val="0"/>
          <w:szCs w:val="24"/>
        </w:rPr>
        <w:t xml:space="preserve">, Chu-TZ, Wolfinger, R, Bushel, P.R. </w:t>
      </w:r>
      <w:r w:rsidRPr="00081423">
        <w:rPr>
          <w:szCs w:val="24"/>
        </w:rPr>
        <w:t>(2009</w:t>
      </w:r>
      <w:r>
        <w:rPr>
          <w:szCs w:val="24"/>
        </w:rPr>
        <w:t>)</w:t>
      </w:r>
      <w:r>
        <w:rPr>
          <w:b w:val="0"/>
          <w:szCs w:val="24"/>
        </w:rPr>
        <w:t xml:space="preserve"> </w:t>
      </w:r>
      <w:r w:rsidRPr="00081423">
        <w:rPr>
          <w:b w:val="0"/>
          <w:szCs w:val="24"/>
        </w:rPr>
        <w:t>Batch Effects and Noise in Microarray Experime</w:t>
      </w:r>
      <w:r>
        <w:rPr>
          <w:b w:val="0"/>
          <w:szCs w:val="24"/>
        </w:rPr>
        <w:t xml:space="preserve">nts: Sources and Solutions. </w:t>
      </w:r>
      <w:r w:rsidRPr="00081423">
        <w:rPr>
          <w:b w:val="0"/>
          <w:szCs w:val="24"/>
        </w:rPr>
        <w:t>John Wiley &amp; Sons, Ltd.</w:t>
      </w:r>
    </w:p>
    <w:p w:rsidR="00336146" w:rsidRPr="00081423" w:rsidRDefault="00336146" w:rsidP="00101CC8">
      <w:pPr>
        <w:pStyle w:val="resumesections"/>
        <w:rPr>
          <w:szCs w:val="24"/>
        </w:rPr>
      </w:pPr>
    </w:p>
    <w:p w:rsidR="00101CC8" w:rsidRPr="00081423" w:rsidRDefault="00101CC8" w:rsidP="00101CC8">
      <w:pPr>
        <w:jc w:val="both"/>
        <w:rPr>
          <w:rFonts w:ascii="Times New Roman" w:hAnsi="Times New Roman"/>
          <w:sz w:val="24"/>
          <w:szCs w:val="24"/>
        </w:rPr>
      </w:pPr>
      <w:r w:rsidRPr="00081423">
        <w:rPr>
          <w:rStyle w:val="Strong"/>
          <w:rFonts w:ascii="Times New Roman" w:hAnsi="Times New Roman"/>
          <w:b w:val="0"/>
          <w:sz w:val="24"/>
          <w:szCs w:val="24"/>
        </w:rPr>
        <w:t xml:space="preserve">Song, M.O., </w:t>
      </w:r>
      <w:r w:rsidRPr="00081423">
        <w:rPr>
          <w:rStyle w:val="Strong"/>
          <w:rFonts w:ascii="Times New Roman" w:hAnsi="Times New Roman"/>
          <w:sz w:val="24"/>
          <w:szCs w:val="24"/>
        </w:rPr>
        <w:t>J. Li</w:t>
      </w:r>
      <w:r w:rsidRPr="00081423">
        <w:rPr>
          <w:rStyle w:val="Strong"/>
          <w:rFonts w:ascii="Times New Roman" w:hAnsi="Times New Roman"/>
          <w:b w:val="0"/>
          <w:sz w:val="24"/>
          <w:szCs w:val="24"/>
        </w:rPr>
        <w:t>, and J.H. Freedman</w:t>
      </w:r>
      <w:r w:rsidRPr="00081423">
        <w:rPr>
          <w:rFonts w:ascii="Times New Roman" w:hAnsi="Times New Roman"/>
          <w:sz w:val="24"/>
          <w:szCs w:val="24"/>
        </w:rPr>
        <w:t xml:space="preserve"> </w:t>
      </w:r>
      <w:r w:rsidRPr="00081423">
        <w:rPr>
          <w:rFonts w:ascii="Times New Roman" w:hAnsi="Times New Roman"/>
          <w:b/>
          <w:sz w:val="24"/>
          <w:szCs w:val="24"/>
        </w:rPr>
        <w:t>(2009)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23">
        <w:rPr>
          <w:rFonts w:ascii="Times New Roman" w:hAnsi="Times New Roman"/>
          <w:sz w:val="24"/>
          <w:szCs w:val="24"/>
        </w:rPr>
        <w:t xml:space="preserve">Physiological and Toxicological Transcriptome Exposure Levels Changes in HepG2 Cells Exposed to Copper” </w:t>
      </w:r>
      <w:r w:rsidRPr="00DD1799">
        <w:rPr>
          <w:rFonts w:ascii="Times New Roman" w:hAnsi="Times New Roman"/>
          <w:b/>
          <w:sz w:val="24"/>
          <w:szCs w:val="24"/>
        </w:rPr>
        <w:t>Physiol. Genomics</w:t>
      </w:r>
      <w:r>
        <w:rPr>
          <w:rFonts w:ascii="Times New Roman" w:hAnsi="Times New Roman"/>
          <w:b/>
          <w:sz w:val="24"/>
          <w:szCs w:val="24"/>
        </w:rPr>
        <w:t>.</w:t>
      </w:r>
      <w:r w:rsidRPr="00081423">
        <w:rPr>
          <w:rFonts w:ascii="Times New Roman" w:hAnsi="Times New Roman"/>
          <w:sz w:val="24"/>
          <w:szCs w:val="24"/>
        </w:rPr>
        <w:t xml:space="preserve"> 38: 386-401.</w:t>
      </w:r>
    </w:p>
    <w:p w:rsidR="00101CC8" w:rsidRPr="00081423" w:rsidRDefault="00101CC8" w:rsidP="00101CC8">
      <w:pPr>
        <w:jc w:val="both"/>
        <w:rPr>
          <w:rFonts w:ascii="Times New Roman" w:hAnsi="Times New Roman"/>
          <w:sz w:val="24"/>
          <w:szCs w:val="24"/>
        </w:rPr>
      </w:pPr>
      <w:r w:rsidRPr="00081423">
        <w:rPr>
          <w:rFonts w:ascii="Times New Roman" w:hAnsi="Times New Roman"/>
          <w:sz w:val="24"/>
          <w:szCs w:val="24"/>
        </w:rPr>
        <w:t xml:space="preserve">P. R. Bushel, A. N. Heinloth, </w:t>
      </w:r>
      <w:r w:rsidRPr="00081423">
        <w:rPr>
          <w:rFonts w:ascii="Times New Roman" w:hAnsi="Times New Roman"/>
          <w:b/>
          <w:sz w:val="24"/>
          <w:szCs w:val="24"/>
        </w:rPr>
        <w:t>J. Li</w:t>
      </w:r>
      <w:r w:rsidRPr="00081423">
        <w:rPr>
          <w:rFonts w:ascii="Times New Roman" w:hAnsi="Times New Roman"/>
          <w:sz w:val="24"/>
          <w:szCs w:val="24"/>
        </w:rPr>
        <w:t xml:space="preserve">, et al </w:t>
      </w:r>
      <w:r w:rsidRPr="00DD1799">
        <w:rPr>
          <w:rFonts w:ascii="Times New Roman" w:hAnsi="Times New Roman"/>
          <w:b/>
          <w:sz w:val="24"/>
          <w:szCs w:val="24"/>
        </w:rPr>
        <w:t>(2007)</w:t>
      </w:r>
      <w:r w:rsidRPr="00081423">
        <w:rPr>
          <w:rFonts w:ascii="Times New Roman" w:hAnsi="Times New Roman"/>
          <w:sz w:val="24"/>
          <w:szCs w:val="24"/>
        </w:rPr>
        <w:t xml:space="preserve"> “Blood Gene Expression Signature</w:t>
      </w:r>
      <w:r>
        <w:rPr>
          <w:rFonts w:ascii="Times New Roman" w:hAnsi="Times New Roman"/>
          <w:sz w:val="24"/>
          <w:szCs w:val="24"/>
        </w:rPr>
        <w:t xml:space="preserve">s Predict Exposure Levels”  </w:t>
      </w:r>
      <w:r w:rsidRPr="00DD1799">
        <w:rPr>
          <w:rFonts w:ascii="Times New Roman" w:hAnsi="Times New Roman"/>
          <w:b/>
          <w:sz w:val="24"/>
          <w:szCs w:val="24"/>
        </w:rPr>
        <w:t>PNAS.</w:t>
      </w:r>
      <w:r w:rsidRPr="00081423">
        <w:rPr>
          <w:rFonts w:ascii="Times New Roman" w:hAnsi="Times New Roman"/>
          <w:sz w:val="24"/>
          <w:szCs w:val="24"/>
        </w:rPr>
        <w:t xml:space="preserve"> v.104, no. 46: 18211-18216</w:t>
      </w:r>
    </w:p>
    <w:p w:rsidR="00101CC8" w:rsidRDefault="00101CC8"/>
    <w:sectPr w:rsidR="0010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C8"/>
    <w:rsid w:val="00101CC8"/>
    <w:rsid w:val="00336146"/>
    <w:rsid w:val="009908C1"/>
    <w:rsid w:val="00AE5C57"/>
    <w:rsid w:val="00F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s">
    <w:name w:val="resume sections"/>
    <w:basedOn w:val="Normal"/>
    <w:rsid w:val="00101CC8"/>
    <w:pPr>
      <w:keepNext/>
      <w:spacing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C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C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s">
    <w:name w:val="resume sections"/>
    <w:basedOn w:val="Normal"/>
    <w:rsid w:val="00101CC8"/>
    <w:pPr>
      <w:keepNext/>
      <w:spacing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C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jl407</dc:creator>
  <cp:lastModifiedBy>jl407</cp:lastModifiedBy>
  <cp:revision>4</cp:revision>
  <dcterms:created xsi:type="dcterms:W3CDTF">2011-06-08T12:11:00Z</dcterms:created>
  <dcterms:modified xsi:type="dcterms:W3CDTF">2011-06-08T12:22:00Z</dcterms:modified>
</cp:coreProperties>
</file>