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bookmarkStart w:id="0" w:name="_GoBack"/>
      <w:bookmarkEnd w:id="0"/>
      <w:r>
        <w:t>EPIG-Seq: Extracting Pattern</w:t>
      </w:r>
      <w:r w:rsidR="00A05F0E">
        <w:t>s and Identifying Co-expressed G</w:t>
      </w:r>
      <w:r>
        <w:t>enes from RNA-Seq</w:t>
      </w:r>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3658A141" w:rsidR="00E42B7D" w:rsidRDefault="00340CCA" w:rsidP="00E42B7D">
      <w:pPr>
        <w:spacing w:line="360" w:lineRule="auto"/>
      </w:pPr>
      <w:r>
        <w:t>RNA-sequencing (RNA-s</w:t>
      </w:r>
      <w:r w:rsidR="00E42B7D">
        <w:t xml:space="preserve">eq) provides genome-wide representation of gene expression.  RNA-Seq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RNA-s</w:t>
      </w:r>
      <w:r w:rsidR="00E42B7D">
        <w:t xml:space="preserve">eq (EPIG-Seq).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r w:rsidR="006200EC">
        <w:t xml:space="preserve">quasipoisson </w:t>
      </w:r>
      <w:r w:rsidR="00E42B7D">
        <w:t>model estimate</w:t>
      </w:r>
      <w:r w:rsidR="00D55E87">
        <w:t>s</w:t>
      </w:r>
      <w:r w:rsidR="00464DFA">
        <w:t xml:space="preserve"> </w:t>
      </w:r>
      <w:r w:rsidR="00E42B7D">
        <w:t xml:space="preserve">dispersion and </w:t>
      </w:r>
      <w:r w:rsidR="006200EC">
        <w:t>a location parameter</w:t>
      </w:r>
      <w:r w:rsidR="00E42B7D">
        <w:t xml:space="preserve"> </w:t>
      </w:r>
      <w:r w:rsidR="005E1994">
        <w:t>indicates</w:t>
      </w:r>
      <w:r w:rsidR="00E42B7D">
        <w:t xml:space="preserve"> the magnitude of </w:t>
      </w:r>
      <w:r w:rsidR="002C6B86">
        <w:t>differential expression</w:t>
      </w:r>
      <w:r w:rsidR="00E42B7D">
        <w:t xml:space="preserve">.  </w:t>
      </w:r>
      <w:r w:rsidR="00E42B7D" w:rsidRPr="00695156">
        <w:t>EPIG</w:t>
      </w:r>
      <w:r w:rsidR="00E42B7D">
        <w:t>-Seq</w:t>
      </w:r>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 xml:space="preserve">Using simulated data, we show that EPIG-Seq is superior to EPIG when the data is transformed by popular RNA-Seq normalization methods and performs equally as well as other pattern analysis methods when count data is used.  </w:t>
      </w:r>
      <w:r w:rsidR="00D55E87">
        <w:t>W</w:t>
      </w:r>
      <w:r w:rsidR="00585858">
        <w:t>e applied</w:t>
      </w:r>
      <w:r w:rsidR="00E42B7D">
        <w:t xml:space="preserve"> EPIG-Seq to </w:t>
      </w:r>
      <w:r w:rsidR="00D55E87">
        <w:t xml:space="preserve">toxicogenomics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xml:space="preserve">.  EPIG-Seq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RNA-seq</w:t>
      </w:r>
      <w:r w:rsidR="00BB4C4B">
        <w:t>, clustering, pattern analysis, toxicogenomics,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 xml:space="preserve">The advantages of RNA-sequencing (RNA-Seq) over microarray to measure gene expression have been widely reported (refs).  Recently, methods have been developed to analyze RNA-Seq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RNA-Seq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overdisperion</w:t>
      </w:r>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r w:rsidR="00F53967">
        <w:t>Wicoxon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(3):523-38. doi: 10.1093/biostatistics/kxr031</w:t>
      </w:r>
      <w:r w:rsidR="00546063">
        <w:t xml:space="preserve">, </w:t>
      </w:r>
      <w:r w:rsidR="001C58B8">
        <w:t>SAM</w:t>
      </w:r>
      <w:r w:rsidR="006341C2">
        <w:t xml:space="preserve">Seq: </w:t>
      </w:r>
      <w:r w:rsidR="001C65C7" w:rsidRPr="001C65C7">
        <w:t>Stat Methods Med Res. 2013 Oct;22(5):519-36. doi: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RNA-Seq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RNA-Seq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3B072E24"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RNA-Seq data</w:t>
      </w:r>
      <w:r w:rsidR="00A84DA2">
        <w:t xml:space="preserve"> (EPIG-Seq).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r w:rsidR="006200EC" w:rsidRPr="00A84DA2">
        <w:t>quasi</w:t>
      </w:r>
      <w:r w:rsidR="006200EC">
        <w:t>poisson</w:t>
      </w:r>
      <w:r w:rsidR="006200EC" w:rsidRPr="00A84DA2">
        <w:t xml:space="preserve"> </w:t>
      </w:r>
      <w:r w:rsidR="00A84DA2" w:rsidRPr="00A84DA2">
        <w:t xml:space="preserve">model </w:t>
      </w:r>
      <w:r w:rsidR="007B7154">
        <w:t xml:space="preserve">(ref) </w:t>
      </w:r>
      <w:r w:rsidR="00A84DA2" w:rsidRPr="00A84DA2">
        <w:t>to estimate overdispersion</w:t>
      </w:r>
      <w:r w:rsidR="00B0116A">
        <w:t xml:space="preserve"> in the data</w:t>
      </w:r>
      <w:r w:rsidR="00A84DA2" w:rsidRPr="00A84DA2">
        <w:t xml:space="preserve"> and </w:t>
      </w:r>
      <w:r w:rsidR="006200EC">
        <w:t>a location parameter</w:t>
      </w:r>
      <w:r w:rsidR="007B7154">
        <w:t xml:space="preserve"> </w:t>
      </w:r>
      <w:r w:rsidR="00A84DA2" w:rsidRPr="00A84DA2">
        <w:t xml:space="preserve">as a measure of the magnitude of difference between </w:t>
      </w:r>
      <w:r w:rsidR="00B0116A">
        <w:t>test samples and control/baseline</w:t>
      </w:r>
      <w:r w:rsidR="00A84DA2" w:rsidRPr="00A84DA2">
        <w:t xml:space="preserve">.  EPIG-Seq then categorizes each gene </w:t>
      </w:r>
      <w:r w:rsidR="00B0116A">
        <w:t xml:space="preserve">expression profile </w:t>
      </w:r>
      <w:r w:rsidR="00A84DA2" w:rsidRPr="00A84DA2">
        <w:t>to the pattern for which it has the highest correlation.</w:t>
      </w:r>
      <w:r w:rsidR="002757A6">
        <w:t xml:space="preserve">  The EPIG-Seq approach is impervious to variations in read depths, inflated zeros, outliers in the data and overdispersion.  </w:t>
      </w:r>
      <w:r w:rsidR="002757A6" w:rsidRPr="002757A6">
        <w:t>Using simulated data, we show that EPIG-Seq is superior to EPIG when the data is transformed by popular RNA-Seq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EPIG-Seq to a publicly available toxicogenomics data set </w:t>
      </w:r>
      <w:r w:rsidR="00F11358">
        <w:t xml:space="preserve">and The Cancer Genome Atlas (TCGA) breast cancer RNA-seq data. We </w:t>
      </w:r>
      <w:r w:rsidR="002757A6" w:rsidRPr="002757A6">
        <w:t xml:space="preserve">identify several co-expressed genes related to modes of </w:t>
      </w:r>
      <w:r w:rsidR="00F11358">
        <w:t xml:space="preserve">action of the chemical agents in the toxicogenomics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RNA-Seq data</w:t>
      </w:r>
    </w:p>
    <w:p w14:paraId="1659523C" w14:textId="5F13DF1F" w:rsidR="00EC4DD0" w:rsidRDefault="00B354E7" w:rsidP="00EC4DD0">
      <w:pPr>
        <w:spacing w:line="360" w:lineRule="auto"/>
      </w:pPr>
      <w:r>
        <w:t>The count-level breast cancer RNA-Seq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05385D">
          <w:rPr>
            <w:noProof/>
          </w:rPr>
          <w:t>2012</w:t>
        </w:r>
      </w:hyperlink>
      <w:r w:rsidR="00EC4DD0">
        <w:rPr>
          <w:noProof/>
        </w:rPr>
        <w:t>)</w:t>
      </w:r>
      <w:r w:rsidR="00EC4DD0">
        <w:fldChar w:fldCharType="end"/>
      </w:r>
      <w:r w:rsidR="00EC4DD0">
        <w:t xml:space="preserve"> from The Cancer Genome Altas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mRNAseq data produced on Illumina GAII. Raw sequences were analyzed by the TCGA team with SeqWare </w:t>
      </w:r>
      <w:hyperlink r:id="rId10" w:history="1">
        <w:r w:rsidR="00EC4DD0" w:rsidRPr="0001311A">
          <w:rPr>
            <w:rStyle w:val="Hyperlink"/>
          </w:rPr>
          <w:t>https://seqware.github.io/</w:t>
        </w:r>
      </w:hyperlink>
      <w:r w:rsidR="00EC4DD0">
        <w:t xml:space="preserve"> (Version=0.7.0) using </w:t>
      </w:r>
      <w:r w:rsidR="00EC4DD0" w:rsidRPr="00470339">
        <w:t>RNASeqAlignmentBWAWorfklow</w:t>
      </w:r>
      <w:r w:rsidR="00EC4DD0">
        <w:t xml:space="preserve"> (</w:t>
      </w:r>
      <w:r w:rsidR="00EC4DD0" w:rsidRPr="00470339">
        <w:t>Version=0.7.10</w:t>
      </w:r>
      <w:r w:rsidR="00EC4DD0">
        <w:t xml:space="preserve">) and </w:t>
      </w:r>
      <w:r w:rsidR="00EC4DD0" w:rsidRPr="00470339">
        <w:t>RNASeqQuantificationWorfklow</w:t>
      </w:r>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05385D">
          <w:rPr>
            <w:noProof/>
          </w:rPr>
          <w:t>Perou, Sorlie et al. 2000</w:t>
        </w:r>
      </w:hyperlink>
      <w:proofErr w:type="gramStart"/>
      <w:r w:rsidR="000A7646">
        <w:rPr>
          <w:noProof/>
        </w:rPr>
        <w:t xml:space="preserve">; </w:t>
      </w:r>
      <w:hyperlink w:anchor="_ENREF_11" w:tooltip="Sorlie, 2001 #29" w:history="1">
        <w:r w:rsidR="0005385D">
          <w:rPr>
            <w:noProof/>
          </w:rPr>
          <w:t>Sorlie, Perou et al. 2001</w:t>
        </w:r>
      </w:hyperlink>
      <w:r w:rsidR="000A7646">
        <w:rPr>
          <w:noProof/>
        </w:rPr>
        <w:t>;</w:t>
      </w:r>
      <w:proofErr w:type="gramEnd"/>
      <w:r w:rsidR="000A7646">
        <w:rPr>
          <w:noProof/>
        </w:rPr>
        <w:t xml:space="preserve"> </w:t>
      </w:r>
      <w:hyperlink w:anchor="_ENREF_6" w:tooltip="Parker, 2009 #31" w:history="1">
        <w:r w:rsidR="0005385D">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 xml:space="preserve">RNA-Seq </w:t>
      </w:r>
      <w:r w:rsidRPr="004A3A60">
        <w:rPr>
          <w:b/>
        </w:rPr>
        <w:t>data</w:t>
      </w:r>
    </w:p>
    <w:p w14:paraId="566B5848" w14:textId="78300E1B" w:rsidR="00850544" w:rsidRDefault="00C248AB" w:rsidP="003B0750">
      <w:pPr>
        <w:spacing w:line="360" w:lineRule="auto"/>
      </w:pPr>
      <w:r>
        <w:t xml:space="preserve">To simulate RNA-Seq count data </w:t>
      </w:r>
      <w:r w:rsidR="00D52BC6">
        <w:t xml:space="preserve">for each </w:t>
      </w:r>
      <w:r w:rsidRPr="00C248AB">
        <w:rPr>
          <w:i/>
        </w:rPr>
        <w:t>k</w:t>
      </w:r>
      <w:r>
        <w:t xml:space="preserve">th </w:t>
      </w:r>
      <w:r w:rsidR="00D52BC6">
        <w:t>pattern</w:t>
      </w:r>
      <w:r>
        <w:t xml:space="preserve"> where k</w:t>
      </w:r>
      <w:r w:rsidR="00B42394">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10" w:tooltip="Soneson, 2013 #22" w:history="1">
        <w:r w:rsidR="0005385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B42394">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B42394">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B42394">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B42394">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B42394"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var=</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B42394">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B42394">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B42394">
        <w:rPr>
          <w:position w:val="-14"/>
        </w:rPr>
        <w:pict w14:anchorId="555F338B">
          <v:shape id="_x0000_i1037" type="#_x0000_t75" style="width:20.4pt;height:18.8pt">
            <v:imagedata r:id="rId16" o:title=""/>
          </v:shape>
        </w:pict>
      </w:r>
      <w:proofErr w:type="gramStart"/>
      <w:r w:rsidR="00745790">
        <w:t xml:space="preserve">= </w:t>
      </w:r>
      <w:proofErr w:type="gramEnd"/>
      <w:r w:rsidR="00B42394">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B42394" w:rsidP="003B0750">
      <w:pPr>
        <w:spacing w:line="360" w:lineRule="auto"/>
      </w:pPr>
      <w:r>
        <w:rPr>
          <w:position w:val="-62"/>
        </w:rPr>
        <w:lastRenderedPageBreak/>
        <w:pict w14:anchorId="57C025AD">
          <v:shape id="_x0000_i1039" type="#_x0000_t75" style="width:135.95pt;height:52.1pt">
            <v:imagedata r:id="rId18" o:title=""/>
          </v:shape>
        </w:pict>
      </w:r>
    </w:p>
    <w:p w14:paraId="3AD94F8B" w14:textId="7CFE0262" w:rsidR="00A75A21" w:rsidRDefault="008216FE" w:rsidP="003B0750">
      <w:pPr>
        <w:spacing w:line="360" w:lineRule="auto"/>
      </w:pPr>
      <w:proofErr w:type="gramStart"/>
      <w:r>
        <w:t>w</w:t>
      </w:r>
      <w:r w:rsidR="00A75A21">
        <w:t>here</w:t>
      </w:r>
      <w:proofErr w:type="gramEnd"/>
      <w:r>
        <w:t>,</w:t>
      </w:r>
      <w:r w:rsidR="00A75A21">
        <w:t xml:space="preserve"> </w:t>
      </w:r>
      <w:r w:rsidR="00B42394">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r w:rsidR="000E146E">
        <w:rPr>
          <w:i/>
        </w:rPr>
        <w:t>m</w:t>
      </w:r>
      <w:r w:rsidR="00454182">
        <w:t xml:space="preserve">th group in </w:t>
      </w:r>
      <w:r w:rsidR="00A75A21">
        <w:t xml:space="preserve">sample </w:t>
      </w:r>
      <w:r w:rsidR="00A75A21" w:rsidRPr="00C95A59">
        <w:rPr>
          <w:i/>
        </w:rPr>
        <w:t>s</w:t>
      </w:r>
      <w:r w:rsidR="00A75A21">
        <w:t xml:space="preserve">.  </w:t>
      </w:r>
      <w:r w:rsidR="00B42394">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B42394">
        <w:rPr>
          <w:position w:val="-14"/>
        </w:rPr>
        <w:pict w14:anchorId="1EA8408C">
          <v:shape id="_x0000_i1042" type="#_x0000_t75" style="width:19.9pt;height:18.8pt">
            <v:imagedata r:id="rId21" o:title=""/>
          </v:shape>
        </w:pict>
      </w:r>
      <w:r w:rsidR="00A75A21">
        <w:t xml:space="preserve">for </w:t>
      </w:r>
      <w:r w:rsidR="00B42394">
        <w:rPr>
          <w:position w:val="-14"/>
        </w:rPr>
        <w:pict w14:anchorId="37C1053A">
          <v:shape id="_x0000_i1043" type="#_x0000_t75" style="width:19.9pt;height:18.8pt">
            <v:imagedata r:id="rId22" o:title=""/>
          </v:shape>
        </w:pict>
      </w:r>
      <w:r w:rsidR="00A75A21">
        <w:t>~Unif[0.7</w:t>
      </w:r>
      <w:proofErr w:type="gramStart"/>
      <w:r w:rsidR="00A75A21">
        <w:t>,1.4</w:t>
      </w:r>
      <w:proofErr w:type="gramEnd"/>
      <w:r w:rsidR="00A75A21">
        <w:t xml:space="preserve">].  </w:t>
      </w:r>
      <w:r w:rsidR="001B266B">
        <w:t xml:space="preserve">The </w:t>
      </w:r>
      <w:r w:rsidR="002D1454">
        <w:t xml:space="preserve">estimation of the sample mean </w:t>
      </w:r>
      <w:r w:rsidR="00B42394">
        <w:rPr>
          <w:position w:val="-14"/>
        </w:rPr>
        <w:pict w14:anchorId="02F25369">
          <v:shape id="_x0000_i1044" type="#_x0000_t75" style="width:20.4pt;height:18.8pt">
            <v:imagedata r:id="rId23" o:title=""/>
          </v:shape>
        </w:pict>
      </w:r>
      <w:r w:rsidR="002D1454">
        <w:t xml:space="preserve">and </w:t>
      </w:r>
      <w:r w:rsidR="00B42394">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RNA-Seq raw count</w:t>
      </w:r>
      <w:r>
        <w:t xml:space="preserve"> </w:t>
      </w:r>
      <w:r w:rsidR="001B266B">
        <w:t xml:space="preserve">carried out </w:t>
      </w:r>
      <w:r>
        <w:t xml:space="preserve">with DEseq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05385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B42394">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B42394">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B42394"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B42394">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r w:rsidR="00E25087">
        <w:rPr>
          <w:i/>
        </w:rPr>
        <w:t>g</w:t>
      </w:r>
      <w:r w:rsidR="00DF0DE4">
        <w:t xml:space="preserve">th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B42394">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B42394">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r w:rsidRPr="00656392">
        <w:rPr>
          <w:b/>
        </w:rPr>
        <w:t xml:space="preserve">Toxicogenomics </w:t>
      </w:r>
      <w:r w:rsidR="009D3BED" w:rsidRPr="00656392">
        <w:rPr>
          <w:b/>
        </w:rPr>
        <w:t xml:space="preserve">RNA-Seq </w:t>
      </w:r>
      <w:r w:rsidRPr="00656392">
        <w:rPr>
          <w:b/>
        </w:rPr>
        <w:t>data</w:t>
      </w:r>
    </w:p>
    <w:p w14:paraId="4509DA64" w14:textId="77777777" w:rsidR="0013113C" w:rsidRDefault="00355501" w:rsidP="00093C99">
      <w:pPr>
        <w:spacing w:line="360" w:lineRule="auto"/>
      </w:pPr>
      <w:r>
        <w:t>RNA-Seq data from the MicroA</w:t>
      </w:r>
      <w:r w:rsidR="00184241">
        <w:t>rray Quality Control phase III (Sequence Quality Control (SEQC)) crowd source</w:t>
      </w:r>
      <w:r w:rsidR="00A86A32">
        <w:t xml:space="preserve"> </w:t>
      </w:r>
      <w:r w:rsidR="007D5487">
        <w:t xml:space="preserve">toxicogenomics </w:t>
      </w:r>
      <w:r w:rsidR="002D0C81">
        <w:t xml:space="preserve">(TGxSEQC)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 xml:space="preserve">We used the training set data containing RNA-seq data from the livers of male </w:t>
      </w:r>
      <w:r w:rsidR="00A86A32" w:rsidRPr="00184241">
        <w:t xml:space="preserve">Sprague-Dawley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(AhR). The other two are non-receptor-mediated—DNA damage (DNA_Damage)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paired-end 100 bp reads</w:t>
      </w:r>
      <w:r w:rsidR="00F1078B">
        <w:t xml:space="preserve"> from </w:t>
      </w:r>
      <w:r w:rsidR="00F1078B" w:rsidRPr="00F1078B">
        <w:t>Illumina HiScanSQ or HiSeq2000 systems</w:t>
      </w:r>
      <w:r w:rsidR="00F1078B">
        <w:t xml:space="preserve"> with depths between 23 – 25 million reads.</w:t>
      </w:r>
      <w:r w:rsidR="00AA25B6">
        <w:t xml:space="preserve">  Specific details of the </w:t>
      </w:r>
      <w:r w:rsidR="002D0C81">
        <w:t>study design and sample collection are available in the TGxSEQC publication (ref).</w:t>
      </w:r>
      <w:r w:rsidR="000B5E82">
        <w:t xml:space="preserve">  </w:t>
      </w:r>
      <w:r w:rsidR="00CE1161" w:rsidRPr="00CE1161">
        <w:t xml:space="preserve">For each sample, </w:t>
      </w:r>
      <w:r w:rsidR="00163415" w:rsidRPr="00163415">
        <w:t xml:space="preserve">a two-step alignment </w:t>
      </w:r>
      <w:r w:rsidR="00163415">
        <w:t>was performed using the fastq files</w:t>
      </w:r>
      <w:r w:rsidR="00163415" w:rsidRPr="00163415">
        <w:t xml:space="preserve">. In the first step, raw reads </w:t>
      </w:r>
      <w:r w:rsidR="00163415">
        <w:t>were</w:t>
      </w:r>
      <w:r w:rsidR="00163415" w:rsidRPr="00163415">
        <w:t xml:space="preserve"> aligned with Novoalign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Novoalign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Novoalign again and </w:t>
      </w:r>
      <w:r w:rsidR="00163415">
        <w:t>were</w:t>
      </w:r>
      <w:r w:rsidR="00163415" w:rsidRPr="00163415">
        <w:t xml:space="preserve"> mapped to </w:t>
      </w:r>
      <w:r w:rsidR="00163415">
        <w:t xml:space="preserve">the </w:t>
      </w:r>
      <w:r w:rsidR="00163415" w:rsidRPr="00163415">
        <w:t xml:space="preserve">rat RefSeq </w:t>
      </w:r>
      <w:r w:rsidR="00163415">
        <w:t>transcriptome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EPIG-Seq</w:t>
      </w:r>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AE89913" w:rsidR="002F13B6" w:rsidRDefault="009E7B72" w:rsidP="00066658">
      <w:pPr>
        <w:spacing w:line="360" w:lineRule="auto"/>
        <w:rPr>
          <w:lang w:val="en-GB"/>
        </w:rPr>
      </w:pPr>
      <w:r w:rsidRPr="009E7B72">
        <w:rPr>
          <w:lang w:val="en-GB"/>
        </w:rPr>
        <w:t xml:space="preserve">A compiled </w:t>
      </w:r>
      <w:r>
        <w:rPr>
          <w:lang w:val="en-GB"/>
        </w:rPr>
        <w:t>RNA-seq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r w:rsidR="00083D60">
        <w:rPr>
          <w:lang w:val="en-GB"/>
        </w:rPr>
        <w:t>x</w:t>
      </w:r>
      <w:r w:rsidRPr="009E7B72">
        <w:rPr>
          <w:i/>
          <w:vertAlign w:val="subscript"/>
          <w:lang w:val="en-GB"/>
        </w:rPr>
        <w:t>ij</w:t>
      </w:r>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r w:rsidR="002F13B6" w:rsidRPr="00E33D0C">
        <w:rPr>
          <w:i/>
          <w:lang w:val="en-GB"/>
        </w:rPr>
        <w:t>i</w:t>
      </w:r>
      <w:r w:rsidR="002F13B6">
        <w:rPr>
          <w:lang w:val="en-GB"/>
        </w:rPr>
        <w:t xml:space="preserve"> and </w:t>
      </w:r>
      <w:r w:rsidR="002F13B6" w:rsidRPr="00E33D0C">
        <w:rPr>
          <w:i/>
          <w:lang w:val="en-GB"/>
        </w:rPr>
        <w:t>x</w:t>
      </w:r>
      <w:r w:rsidR="002F13B6">
        <w:rPr>
          <w:i/>
          <w:vertAlign w:val="subscript"/>
          <w:lang w:val="en-GB"/>
        </w:rPr>
        <w:t>kj</w:t>
      </w:r>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05385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B42394"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B42394"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r w:rsidR="00042D59" w:rsidRPr="0005362E">
        <w:rPr>
          <w:i/>
          <w:lang w:val="en-GB"/>
        </w:rPr>
        <w:t>CY</w:t>
      </w:r>
      <w:r w:rsidR="00042D59" w:rsidRPr="0005362E">
        <w:rPr>
          <w:i/>
          <w:vertAlign w:val="subscript"/>
          <w:lang w:val="en-GB"/>
        </w:rPr>
        <w:t>d</w:t>
      </w:r>
      <w:r w:rsidR="00042D59">
        <w:rPr>
          <w:lang w:val="en-GB"/>
        </w:rPr>
        <w:t xml:space="preserve"> is maximized by </w:t>
      </w:r>
      <w:r w:rsidR="0005362E">
        <w:rPr>
          <w:lang w:val="en-GB"/>
        </w:rPr>
        <w:t xml:space="preserve">assigning </w:t>
      </w:r>
      <w:r w:rsidR="0005362E" w:rsidRPr="0005362E">
        <w:rPr>
          <w:i/>
          <w:lang w:val="en-GB"/>
        </w:rPr>
        <w:t>x</w:t>
      </w:r>
      <w:r w:rsidR="0005362E" w:rsidRPr="0005362E">
        <w:rPr>
          <w:i/>
          <w:vertAlign w:val="subscript"/>
          <w:lang w:val="en-GB"/>
        </w:rPr>
        <w:t>ij</w:t>
      </w:r>
      <w:r w:rsidR="0005362E">
        <w:rPr>
          <w:lang w:val="en-GB"/>
        </w:rPr>
        <w:t xml:space="preserve"> = 1 and </w:t>
      </w:r>
      <w:r w:rsidR="0005362E" w:rsidRPr="0005362E">
        <w:rPr>
          <w:i/>
          <w:lang w:val="en-GB"/>
        </w:rPr>
        <w:t>x</w:t>
      </w:r>
      <w:r w:rsidR="0005362E" w:rsidRPr="0005362E">
        <w:rPr>
          <w:i/>
          <w:vertAlign w:val="subscript"/>
          <w:lang w:val="en-GB"/>
        </w:rPr>
        <w:t>kj</w:t>
      </w:r>
      <w:r w:rsidR="0005362E">
        <w:rPr>
          <w:lang w:val="en-GB"/>
        </w:rPr>
        <w:t xml:space="preserve"> = </w:t>
      </w:r>
      <w:r w:rsidR="0005362E" w:rsidRPr="0005362E">
        <w:rPr>
          <w:i/>
          <w:lang w:val="en-GB"/>
        </w:rPr>
        <w:t>D</w:t>
      </w:r>
      <w:r w:rsidR="0005362E" w:rsidRPr="0005362E">
        <w:rPr>
          <w:i/>
          <w:vertAlign w:val="subscript"/>
          <w:lang w:val="en-GB"/>
        </w:rPr>
        <w:t>k</w:t>
      </w:r>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r w:rsidR="0005362E" w:rsidRPr="0005362E">
        <w:rPr>
          <w:i/>
          <w:lang w:val="en-GB"/>
        </w:rPr>
        <w:t>x</w:t>
      </w:r>
      <w:r w:rsidR="0005362E" w:rsidRPr="0005362E">
        <w:rPr>
          <w:i/>
          <w:vertAlign w:val="subscript"/>
          <w:lang w:val="en-GB"/>
        </w:rPr>
        <w:t>kj</w:t>
      </w:r>
      <w:r w:rsidR="0005362E">
        <w:rPr>
          <w:lang w:val="en-GB"/>
        </w:rPr>
        <w:t xml:space="preserve"> = 1 and </w:t>
      </w:r>
      <w:r w:rsidR="0005362E" w:rsidRPr="00A2796A">
        <w:rPr>
          <w:i/>
          <w:lang w:val="en-GB"/>
        </w:rPr>
        <w:t>x</w:t>
      </w:r>
      <w:r w:rsidR="0005362E" w:rsidRPr="00A2796A">
        <w:rPr>
          <w:i/>
          <w:vertAlign w:val="subscript"/>
          <w:lang w:val="en-GB"/>
        </w:rPr>
        <w:t>ij</w:t>
      </w:r>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B42394"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r w:rsidR="0049530B" w:rsidRPr="0005362E">
        <w:rPr>
          <w:i/>
          <w:lang w:val="en-GB"/>
        </w:rPr>
        <w:t>x</w:t>
      </w:r>
      <w:r w:rsidR="0049530B" w:rsidRPr="0005362E">
        <w:rPr>
          <w:i/>
          <w:vertAlign w:val="subscript"/>
          <w:lang w:val="en-GB"/>
        </w:rPr>
        <w:t>ij</w:t>
      </w:r>
      <w:r w:rsidR="0049530B">
        <w:rPr>
          <w:lang w:val="en-GB"/>
        </w:rPr>
        <w:t xml:space="preserve"> ≥ 1 and </w:t>
      </w:r>
      <w:proofErr w:type="gramStart"/>
      <w:r w:rsidR="0049530B" w:rsidRPr="0005362E">
        <w:rPr>
          <w:i/>
          <w:lang w:val="en-GB"/>
        </w:rPr>
        <w:t>x</w:t>
      </w:r>
      <w:r w:rsidR="0049530B" w:rsidRPr="0005362E">
        <w:rPr>
          <w:i/>
          <w:vertAlign w:val="subscript"/>
          <w:lang w:val="en-GB"/>
        </w:rPr>
        <w:t>kj</w:t>
      </w:r>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r w:rsidR="006E6AA4" w:rsidRPr="006E6AA4">
        <w:rPr>
          <w:i/>
          <w:lang w:val="en-GB"/>
        </w:rPr>
        <w:t>CY</w:t>
      </w:r>
      <w:r w:rsidR="006E6AA4" w:rsidRPr="006E6AA4">
        <w:rPr>
          <w:i/>
          <w:vertAlign w:val="subscript"/>
          <w:lang w:val="en-GB"/>
        </w:rPr>
        <w:t>d</w:t>
      </w:r>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B42394"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B42394"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B42394"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r w:rsidR="00A70D9E" w:rsidRPr="00A70D9E">
        <w:rPr>
          <w:i/>
          <w:lang w:val="en-GB"/>
        </w:rPr>
        <w:t>i</w:t>
      </w:r>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B42394">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B42394">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29783B5F"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w:t>
      </w:r>
      <w:r w:rsidR="00590D3E">
        <w:rPr>
          <w:lang w:val="en-GB"/>
        </w:rPr>
        <w:t xml:space="preserve">location parameter </w:t>
      </w:r>
      <w:r>
        <w:rPr>
          <w:lang w:val="en-GB"/>
        </w:rPr>
        <w:t xml:space="preserve">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05385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r w:rsidR="00530201">
        <w:rPr>
          <w:i/>
        </w:rPr>
        <w:t>g</w:t>
      </w:r>
      <w:r w:rsidR="00716225">
        <w:t xml:space="preserve">th </w:t>
      </w:r>
      <w:r w:rsidR="0004338C">
        <w:t xml:space="preserve">gene expression </w:t>
      </w:r>
      <w:r w:rsidR="00F24DE7">
        <w:t>profile’s signal is therefore:</w:t>
      </w:r>
    </w:p>
    <w:p w14:paraId="2FC5D0D6" w14:textId="77777777" w:rsidR="001C27E3" w:rsidRDefault="00B42394" w:rsidP="00093C99">
      <w:pPr>
        <w:spacing w:line="360" w:lineRule="auto"/>
      </w:pPr>
      <w:r>
        <w:rPr>
          <w:position w:val="-52"/>
        </w:rPr>
        <w:pict w14:anchorId="7B8F40D8">
          <v:shape id="_x0000_i1061" type="#_x0000_t75" style="width:226.2pt;height:58.55pt">
            <v:imagedata r:id="rId40" o:title=""/>
          </v:shape>
        </w:pict>
      </w:r>
    </w:p>
    <w:p w14:paraId="52E96148" w14:textId="1F35600D"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r w:rsidR="007F7D77">
        <w:rPr>
          <w:i/>
          <w:lang w:val="en-GB"/>
        </w:rPr>
        <w:t>g</w:t>
      </w:r>
      <w:r w:rsidR="004A33A5">
        <w:rPr>
          <w:lang w:val="en-GB"/>
        </w:rPr>
        <w:t>th gene</w:t>
      </w:r>
      <w:r w:rsidR="00220397">
        <w:rPr>
          <w:lang w:val="en-GB"/>
        </w:rPr>
        <w:t>’s</w:t>
      </w:r>
      <w:r w:rsidR="004A33A5">
        <w:rPr>
          <w:lang w:val="en-GB"/>
        </w:rPr>
        <w:t xml:space="preserve"> differential expression according to the value of the </w:t>
      </w:r>
      <w:r w:rsidR="004A33A5" w:rsidRPr="004A33A5">
        <w:rPr>
          <w:lang w:val="en-GB"/>
        </w:rPr>
        <w:t xml:space="preserve">Hodges-Lehmann </w:t>
      </w:r>
      <w:r w:rsidR="00614420">
        <w:rPr>
          <w:lang w:val="en-GB"/>
        </w:rPr>
        <w:t xml:space="preserve">location parameter </w:t>
      </w:r>
      <w:r w:rsidR="004A33A5" w:rsidRPr="004A33A5">
        <w:rPr>
          <w:lang w:val="en-GB"/>
        </w:rPr>
        <w:lastRenderedPageBreak/>
        <w:t>estimator</w:t>
      </w:r>
      <w:r w:rsidR="004A33A5">
        <w:rPr>
          <w:lang w:val="en-GB"/>
        </w:rPr>
        <w:t xml:space="preserve"> </w:t>
      </w:r>
      <w:r w:rsidR="00B42394">
        <w:rPr>
          <w:position w:val="-14"/>
        </w:rPr>
        <w:pict w14:anchorId="41B79CCC">
          <v:shape id="_x0000_i1062" type="#_x0000_t75" style="width:16.65pt;height:20.4pt">
            <v:imagedata r:id="rId41" o:title=""/>
          </v:shape>
        </w:pict>
      </w:r>
      <w:r w:rsidR="004A33A5">
        <w:rPr>
          <w:lang w:val="en-GB"/>
        </w:rPr>
        <w:t xml:space="preserve"> for the 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05385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B42394">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r w:rsidR="007F7D77">
        <w:rPr>
          <w:i/>
        </w:rPr>
        <w:t>g</w:t>
      </w:r>
      <w:r w:rsidR="00220397">
        <w:t>th gene RNA-Seq counts in sample X vs the ranks of</w:t>
      </w:r>
      <w:r w:rsidR="001D10CD">
        <w:t xml:space="preserve"> the RNA-Seq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B42394">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B42394"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B42394">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B42394">
        <w:rPr>
          <w:position w:val="-10"/>
        </w:rPr>
        <w:pict w14:anchorId="0D103044">
          <v:shape id="_x0000_i1067" type="#_x0000_t75" style="width:10.2pt;height:16.65pt">
            <v:imagedata r:id="rId45" o:title=""/>
          </v:shape>
        </w:pict>
      </w:r>
      <w:r w:rsidR="0019524D" w:rsidRPr="0019524D">
        <w:t xml:space="preserve">is larger than </w:t>
      </w:r>
      <w:r w:rsidR="00AE5B60">
        <w:t>1, a dataset is said to be over</w:t>
      </w:r>
      <w:r w:rsidR="0019524D" w:rsidRPr="0019524D">
        <w:t>dispersed</w:t>
      </w:r>
      <w:r w:rsidR="0019524D">
        <w:t xml:space="preserve">.  </w:t>
      </w:r>
      <w:r w:rsidR="00364DE5">
        <w:t xml:space="preserve">For each </w:t>
      </w:r>
      <w:r w:rsidR="00150500">
        <w:rPr>
          <w:i/>
        </w:rPr>
        <w:t>g</w:t>
      </w:r>
      <w:r w:rsidR="009733F2">
        <w:t xml:space="preserve">th </w:t>
      </w:r>
      <w:r w:rsidR="00364DE5">
        <w:t>gene</w:t>
      </w:r>
      <w:r w:rsidR="00716225">
        <w:t xml:space="preserve"> expression profile</w:t>
      </w:r>
      <w:r w:rsidR="00364DE5">
        <w:t>, w</w:t>
      </w:r>
      <w:r w:rsidR="0019524D">
        <w:t xml:space="preserve">e estimate </w:t>
      </w:r>
      <w:r w:rsidR="00B42394">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gramEnd"/>
      <w:r w:rsidR="00002B2D">
        <w:t>Y</w:t>
      </w:r>
      <w:r w:rsidR="00150500">
        <w:rPr>
          <w:vertAlign w:val="subscript"/>
        </w:rPr>
        <w:t>g</w:t>
      </w:r>
      <w:r w:rsidR="00002B2D">
        <w:t>) = E(Y</w:t>
      </w:r>
      <w:r w:rsidR="00150500">
        <w:rPr>
          <w:vertAlign w:val="subscript"/>
        </w:rPr>
        <w:t>g</w:t>
      </w:r>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overdispersed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B42394">
        <w:rPr>
          <w:position w:val="-10"/>
        </w:rPr>
        <w:pict w14:anchorId="5D2B9CD7">
          <v:shape id="_x0000_i1069" type="#_x0000_t75" style="width:10.2pt;height:16.65pt">
            <v:imagedata r:id="rId46" o:title=""/>
          </v:shape>
        </w:pict>
      </w:r>
      <w:r w:rsidR="001C27E3">
        <w:t xml:space="preserve"> into the Poisson model</w:t>
      </w:r>
      <w:r w:rsidR="000740C5">
        <w:t xml:space="preserve"> (McCullagh and N</w:t>
      </w:r>
      <w:r w:rsidR="000740C5" w:rsidRPr="000740C5">
        <w:t>elder 1989 generalized linear models</w:t>
      </w:r>
      <w:r w:rsidR="000740C5">
        <w:t>)</w:t>
      </w:r>
      <w:r w:rsidR="001C27E3">
        <w:t xml:space="preserve">.  In doing so, </w:t>
      </w:r>
      <w:r w:rsidR="003822F2" w:rsidRPr="003822F2">
        <w:t xml:space="preserve">the variance of the response </w:t>
      </w:r>
      <w:r w:rsidR="001C27E3">
        <w:t>(Y</w:t>
      </w:r>
      <w:r w:rsidR="00150500">
        <w:rPr>
          <w:vertAlign w:val="subscript"/>
        </w:rPr>
        <w:t>g</w:t>
      </w:r>
      <w:r w:rsidR="001C27E3">
        <w:t xml:space="preserve">) </w:t>
      </w:r>
      <w:r w:rsidR="003822F2" w:rsidRPr="003822F2">
        <w:t>is a linear function of the mean</w:t>
      </w:r>
      <w:r w:rsidR="003822F2">
        <w:t xml:space="preserve">, </w:t>
      </w:r>
      <w:proofErr w:type="gramStart"/>
      <w:r w:rsidR="003822F2">
        <w:t>V(</w:t>
      </w:r>
      <w:proofErr w:type="gramEnd"/>
      <w:r w:rsidR="003822F2">
        <w:t>Y</w:t>
      </w:r>
      <w:r w:rsidR="00150500">
        <w:rPr>
          <w:vertAlign w:val="subscript"/>
        </w:rPr>
        <w:t>g</w:t>
      </w:r>
      <w:r w:rsidR="003822F2">
        <w:t xml:space="preserve">) = </w:t>
      </w:r>
      <w:r w:rsidR="00B42394">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B42394"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B42394">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B42394"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r w:rsidR="00534E23">
        <w:rPr>
          <w:i/>
        </w:rPr>
        <w:t>g</w:t>
      </w:r>
      <w:r w:rsidR="00A7062C">
        <w:t xml:space="preserve">th gene expression profile in the </w:t>
      </w:r>
      <w:r w:rsidR="00A7062C" w:rsidRPr="00A7062C">
        <w:rPr>
          <w:i/>
        </w:rPr>
        <w:t>j</w:t>
      </w:r>
      <w:r w:rsidR="00A7062C">
        <w:t>th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1D81FD16"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B42394">
        <w:rPr>
          <w:position w:val="-14"/>
        </w:rPr>
        <w:pict w14:anchorId="7B3AC7B1">
          <v:shape id="_x0000_i1074" type="#_x0000_t75" style="width:25.8pt;height:18.8pt">
            <v:imagedata r:id="rId51" o:title=""/>
          </v:shape>
        </w:pict>
      </w:r>
      <w:r>
        <w:rPr>
          <w:lang w:val="en-GB"/>
        </w:rPr>
        <w:t xml:space="preserve">measure is used to correlate the </w:t>
      </w:r>
      <w:r w:rsidRPr="00D03ADB">
        <w:rPr>
          <w:i/>
          <w:lang w:val="en-GB"/>
        </w:rPr>
        <w:t>i</w:t>
      </w:r>
      <w:r>
        <w:rPr>
          <w:lang w:val="en-GB"/>
        </w:rPr>
        <w:t xml:space="preserve">th profile to the </w:t>
      </w:r>
      <w:r w:rsidRPr="00D03ADB">
        <w:rPr>
          <w:i/>
          <w:lang w:val="en-GB"/>
        </w:rPr>
        <w:t>k</w:t>
      </w:r>
      <w:r>
        <w:rPr>
          <w:lang w:val="en-GB"/>
        </w:rPr>
        <w:t>th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w:t>
      </w:r>
      <w:r w:rsidR="006200EC">
        <w:rPr>
          <w:lang w:val="en-GB"/>
        </w:rPr>
        <w:t xml:space="preserve">median </w:t>
      </w:r>
      <w:r w:rsidR="00FD7E49">
        <w:rPr>
          <w:lang w:val="en-GB"/>
        </w:rPr>
        <w:t xml:space="preserve">correlation to the other profiles in the pattern.  </w:t>
      </w:r>
      <w:r w:rsidR="00FD7E49">
        <w:t xml:space="preserve">Briefly, </w:t>
      </w:r>
      <w:r w:rsidR="000F7972">
        <w:t xml:space="preserve">for the </w:t>
      </w:r>
      <w:r w:rsidR="000F7972" w:rsidRPr="00D03ADB">
        <w:rPr>
          <w:i/>
        </w:rPr>
        <w:t>i</w:t>
      </w:r>
      <w:r w:rsidR="000F7972">
        <w:t xml:space="preserve">th gene expression profile and </w:t>
      </w:r>
      <w:r w:rsidR="00FD7E49">
        <w:t xml:space="preserve">for the </w:t>
      </w:r>
      <w:r w:rsidR="00FD7E49" w:rsidRPr="00D03ADB">
        <w:rPr>
          <w:i/>
        </w:rPr>
        <w:t>k</w:t>
      </w:r>
      <w:r w:rsidR="00FD7E49">
        <w:t>th pattern</w:t>
      </w:r>
      <w:r w:rsidR="00D03ADB">
        <w:t xml:space="preserve"> it is assigned to</w:t>
      </w:r>
      <w:r w:rsidR="00FD7E49">
        <w:t>,</w:t>
      </w:r>
      <w:r w:rsidRPr="003A58EE">
        <w:t xml:space="preserve"> a </w:t>
      </w:r>
      <w:r w:rsidR="00FD7E49">
        <w:t>Pattern</w:t>
      </w:r>
      <w:r w:rsidRPr="003A58EE">
        <w:t xml:space="preserve"> Correlation Score</w:t>
      </w:r>
    </w:p>
    <w:p w14:paraId="2F7C3087" w14:textId="00B7CE14" w:rsidR="00FF566F" w:rsidRDefault="008D0123" w:rsidP="00B42394">
      <w:pPr>
        <w:spacing w:line="360" w:lineRule="auto"/>
        <w:jc w:val="center"/>
      </w:pPr>
      <w:r w:rsidRPr="008D0123">
        <w:rPr>
          <w:position w:val="-22"/>
        </w:rPr>
        <w:object w:dxaOrig="3040" w:dyaOrig="460" w14:anchorId="077E5F71">
          <v:shape id="_x0000_i1075" type="#_x0000_t75" style="width:250.95pt;height:38.15pt" o:ole="">
            <v:imagedata r:id="rId52" o:title=""/>
          </v:shape>
          <o:OLEObject Type="Embed" ProgID="Equation.3" ShapeID="_x0000_i1075" DrawAspect="Content" ObjectID="_1486386851" r:id="rId53"/>
        </w:object>
      </w:r>
    </w:p>
    <w:p w14:paraId="684F7E60" w14:textId="0C2A810B" w:rsidR="00FB4896" w:rsidRDefault="00FD7E49" w:rsidP="003A58EE">
      <w:pPr>
        <w:spacing w:line="360" w:lineRule="auto"/>
        <w:rPr>
          <w:lang w:val="en-GB"/>
        </w:rPr>
      </w:pPr>
      <w:proofErr w:type="gramStart"/>
      <w:r>
        <w:t>is</w:t>
      </w:r>
      <w:proofErr w:type="gramEnd"/>
      <w:r>
        <w:t xml:space="preserve"> computed</w:t>
      </w:r>
      <w:r w:rsidR="003A58EE" w:rsidRPr="003A58EE">
        <w:t xml:space="preserve"> as the </w:t>
      </w:r>
      <w:r w:rsidR="00EE5DED">
        <w:t>median</w:t>
      </w:r>
      <w:r w:rsidR="00EE5DED" w:rsidRPr="003A58EE">
        <w:t xml:space="preserve"> </w:t>
      </w:r>
      <w:r w:rsidR="003A58EE" w:rsidRPr="003A58EE">
        <w:t>of the correlations</w:t>
      </w:r>
      <w:r w:rsidR="00091737">
        <w:t xml:space="preserve"> </w:t>
      </w:r>
      <w:r w:rsidR="003A58EE" w:rsidRPr="003A58EE">
        <w:t xml:space="preserve">among </w:t>
      </w:r>
      <w:r w:rsidR="000D001C">
        <w:t xml:space="preserve">the </w:t>
      </w:r>
      <w:r w:rsidR="000D001C" w:rsidRPr="00D03ADB">
        <w:rPr>
          <w:i/>
        </w:rPr>
        <w:t>i</w:t>
      </w:r>
      <w:r w:rsidR="000D001C">
        <w:t xml:space="preserve">th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r w:rsidR="00F155F8" w:rsidRPr="00F155F8">
        <w:rPr>
          <w:i/>
        </w:rPr>
        <w:t>x</w:t>
      </w:r>
      <w:r w:rsidR="00535D89">
        <w:rPr>
          <w:i/>
          <w:vertAlign w:val="subscript"/>
        </w:rPr>
        <w:t>j</w:t>
      </w:r>
      <w:r w:rsidR="00F155F8">
        <w:t xml:space="preserve">) </w:t>
      </w:r>
      <w:r>
        <w:t xml:space="preserve">assigned to pattern </w:t>
      </w:r>
      <w:r w:rsidRPr="00D03ADB">
        <w:rPr>
          <w:i/>
        </w:rPr>
        <w:t>k</w:t>
      </w:r>
      <w:r>
        <w:t xml:space="preserve"> </w:t>
      </w:r>
      <w:r w:rsidR="00FF566F">
        <w:t>(</w:t>
      </w:r>
      <w:r w:rsidR="00FF566F" w:rsidRPr="00F155F8">
        <w:rPr>
          <w:i/>
        </w:rPr>
        <w:t>P</w:t>
      </w:r>
      <w:r w:rsidR="00FF566F" w:rsidRPr="00F155F8">
        <w:rPr>
          <w:i/>
          <w:vertAlign w:val="subscript"/>
        </w:rPr>
        <w:t>k</w:t>
      </w:r>
      <w:r w:rsidR="00FF566F">
        <w:t>)</w:t>
      </w:r>
      <w:r>
        <w:t>.</w:t>
      </w:r>
      <w:r w:rsidR="00D34EC7">
        <w:t xml:space="preserve">  Until no more profiles are reassigned, </w:t>
      </w:r>
      <w:r w:rsidR="00D34EC7">
        <w:rPr>
          <w:lang w:val="en-GB"/>
        </w:rPr>
        <w:t xml:space="preserve">the </w:t>
      </w:r>
      <w:r w:rsidR="00B42394">
        <w:rPr>
          <w:position w:val="-14"/>
        </w:rPr>
        <w:pict w14:anchorId="73184EB6">
          <v:shape id="_x0000_i1076" type="#_x0000_t75" style="width:25.8pt;height:18.8pt">
            <v:imagedata r:id="rId54" o:title=""/>
          </v:shape>
        </w:pict>
      </w:r>
      <w:r w:rsidR="00D34EC7">
        <w:rPr>
          <w:lang w:val="en-GB"/>
        </w:rPr>
        <w:t xml:space="preserve"> measure is used to correlate the </w:t>
      </w:r>
      <w:r w:rsidR="00D34EC7" w:rsidRPr="00D03ADB">
        <w:rPr>
          <w:i/>
          <w:lang w:val="en-GB"/>
        </w:rPr>
        <w:t>i</w:t>
      </w:r>
      <w:r w:rsidR="00D34EC7">
        <w:rPr>
          <w:lang w:val="en-GB"/>
        </w:rPr>
        <w:t xml:space="preserve">th profile to the </w:t>
      </w:r>
      <w:r w:rsidR="00D34EC7" w:rsidRPr="00D03ADB">
        <w:rPr>
          <w:i/>
          <w:lang w:val="en-GB"/>
        </w:rPr>
        <w:t>k</w:t>
      </w:r>
      <w:r w:rsidR="00D34EC7">
        <w:rPr>
          <w:lang w:val="en-GB"/>
        </w:rPr>
        <w:t xml:space="preserve">th pattern </w:t>
      </w:r>
      <w:r w:rsidR="00D03ADB">
        <w:rPr>
          <w:lang w:val="en-GB"/>
        </w:rPr>
        <w:t>and assign it to the pattern with which it has the highest correlation</w:t>
      </w:r>
      <w:r w:rsidR="00D34EC7">
        <w:rPr>
          <w:lang w:val="en-GB"/>
        </w:rPr>
        <w:t>.</w:t>
      </w:r>
      <w:r w:rsidR="00FB4896">
        <w:rPr>
          <w:lang w:val="en-GB"/>
        </w:rPr>
        <w:t xml:space="preserve">  </w:t>
      </w:r>
    </w:p>
    <w:p w14:paraId="4A5E6A48" w14:textId="3E36AD2F" w:rsidR="0012250A" w:rsidRDefault="00FB4896" w:rsidP="003A58EE">
      <w:pPr>
        <w:spacing w:line="360" w:lineRule="auto"/>
        <w:rPr>
          <w:lang w:val="en-GB"/>
        </w:rPr>
      </w:pPr>
      <w:r>
        <w:rPr>
          <w:lang w:val="en-GB"/>
        </w:rPr>
        <w:t>Since the CY</w:t>
      </w:r>
      <w:r w:rsidRPr="00B42394">
        <w:rPr>
          <w:vertAlign w:val="subscript"/>
          <w:lang w:val="en-GB"/>
        </w:rPr>
        <w:t>s</w:t>
      </w:r>
      <w:r>
        <w:rPr>
          <w:lang w:val="en-GB"/>
        </w:rPr>
        <w:t xml:space="preserve"> does not denote the directionality of the correlation, we restrict the assignment of a profile if and only if</w:t>
      </w:r>
      <w:r w:rsidR="00AB55D0">
        <w:rPr>
          <w:lang w:val="en-GB"/>
        </w:rPr>
        <w:t>,</w:t>
      </w:r>
      <w:r>
        <w:rPr>
          <w:lang w:val="en-GB"/>
        </w:rPr>
        <w:t xml:space="preserve"> </w:t>
      </w:r>
      <w:proofErr w:type="gramStart"/>
      <w:r>
        <w:rPr>
          <w:lang w:val="en-GB"/>
        </w:rPr>
        <w:t>corr(</w:t>
      </w:r>
      <w:proofErr w:type="gramEnd"/>
      <w:r>
        <w:rPr>
          <w:lang w:val="en-GB"/>
        </w:rPr>
        <w:t>ind(Z</w:t>
      </w:r>
      <w:r w:rsidRPr="00B42394">
        <w:rPr>
          <w:vertAlign w:val="subscript"/>
          <w:lang w:val="en-GB"/>
        </w:rPr>
        <w:t>i</w:t>
      </w:r>
      <w:r>
        <w:rPr>
          <w:lang w:val="en-GB"/>
        </w:rPr>
        <w:t>),ind(Z</w:t>
      </w:r>
      <w:r w:rsidRPr="00B42394">
        <w:rPr>
          <w:vertAlign w:val="subscript"/>
          <w:lang w:val="en-GB"/>
        </w:rPr>
        <w:t>j</w:t>
      </w:r>
      <w:r>
        <w:rPr>
          <w:lang w:val="en-GB"/>
        </w:rPr>
        <w:t xml:space="preserve">)) </w:t>
      </w:r>
      <w:r w:rsidR="00AB55D0">
        <w:rPr>
          <w:lang w:val="en-GB"/>
        </w:rPr>
        <w:t>for</w:t>
      </w:r>
      <w:r>
        <w:rPr>
          <w:lang w:val="en-GB"/>
        </w:rPr>
        <w:t xml:space="preserve"> all groups  = 1. Here </w:t>
      </w:r>
      <w:proofErr w:type="gramStart"/>
      <w:r>
        <w:rPr>
          <w:lang w:val="en-GB"/>
        </w:rPr>
        <w:t>corr(</w:t>
      </w:r>
      <w:proofErr w:type="gramEnd"/>
      <w:r>
        <w:rPr>
          <w:lang w:val="en-GB"/>
        </w:rPr>
        <w:t>) is the Pearson correlation and ind() is the indication of + or – of the location parameter Z.</w:t>
      </w:r>
    </w:p>
    <w:p w14:paraId="46819E5A" w14:textId="4AD5CF23" w:rsidR="00B0636F" w:rsidRPr="00E46486" w:rsidRDefault="00B0636F" w:rsidP="00B0636F">
      <w:pPr>
        <w:spacing w:line="360" w:lineRule="auto"/>
        <w:rPr>
          <w:u w:val="single"/>
          <w:lang w:val="en-GB"/>
        </w:rPr>
      </w:pPr>
      <w:r>
        <w:rPr>
          <w:u w:val="single"/>
          <w:lang w:val="en-GB"/>
        </w:rPr>
        <w:t>Search</w:t>
      </w:r>
      <w:r w:rsidRPr="00E46486">
        <w:rPr>
          <w:u w:val="single"/>
          <w:lang w:val="en-GB"/>
        </w:rPr>
        <w:t xml:space="preserve">ing the </w:t>
      </w:r>
      <w:r>
        <w:rPr>
          <w:u w:val="single"/>
          <w:lang w:val="en-GB"/>
        </w:rPr>
        <w:t>parameter space</w:t>
      </w:r>
    </w:p>
    <w:p w14:paraId="7100CB3C" w14:textId="1D350257" w:rsidR="00B0636F" w:rsidRDefault="00B0636F" w:rsidP="009504E9">
      <w:pPr>
        <w:spacing w:line="360" w:lineRule="auto"/>
        <w:rPr>
          <w:u w:val="single"/>
          <w:lang w:val="en-GB"/>
        </w:rPr>
      </w:pPr>
      <w:r>
        <w:t xml:space="preserve">To </w:t>
      </w:r>
      <w:r w:rsidR="00EE5DED">
        <w:t>extract</w:t>
      </w:r>
      <w:r>
        <w:t xml:space="preserve"> patterns </w:t>
      </w:r>
      <w:r w:rsidR="00AB55D0">
        <w:t>(</w:t>
      </w:r>
      <w:r w:rsidR="00EE5DED">
        <w:t>step 1</w:t>
      </w:r>
      <w:r w:rsidR="00AB55D0">
        <w:t>)</w:t>
      </w:r>
      <w:r w:rsidR="00EE5DED">
        <w:t xml:space="preserve"> </w:t>
      </w:r>
      <w:r>
        <w:t xml:space="preserve">and </w:t>
      </w:r>
      <w:r w:rsidR="00EE5DED">
        <w:t xml:space="preserve">categorize </w:t>
      </w:r>
      <w:r>
        <w:t>gene profiles to the candidate patterns</w:t>
      </w:r>
      <w:r w:rsidR="00EE5DED">
        <w:t xml:space="preserve"> </w:t>
      </w:r>
      <w:r w:rsidR="00AB55D0">
        <w:t>(</w:t>
      </w:r>
      <w:r w:rsidR="00EE5DED">
        <w:t>step 2</w:t>
      </w:r>
      <w:r w:rsidR="00AB55D0">
        <w:t>)</w:t>
      </w:r>
      <w:r>
        <w:t xml:space="preserve">, </w:t>
      </w:r>
      <w:r w:rsidR="00EE5DED">
        <w:t xml:space="preserve">user-defined </w:t>
      </w:r>
      <w:r w:rsidR="00546B39">
        <w:t xml:space="preserve">parameters </w:t>
      </w:r>
      <w:r w:rsidR="00EE5DED">
        <w:t>are set</w:t>
      </w:r>
      <w:r w:rsidR="00546B39">
        <w:t xml:space="preserve">. </w:t>
      </w:r>
      <w:r w:rsidR="00EE5DED">
        <w:t>To search for optimal parameter settings,</w:t>
      </w:r>
      <w:r w:rsidR="00546B39">
        <w:t xml:space="preserve"> </w:t>
      </w:r>
      <w:r w:rsidR="00EE5DED">
        <w:t xml:space="preserve">in </w:t>
      </w:r>
      <w:r w:rsidR="00546B39">
        <w:t xml:space="preserve">the first </w:t>
      </w:r>
      <w:r w:rsidR="00EE5DED">
        <w:t>step</w:t>
      </w:r>
      <w:r w:rsidR="00546B39">
        <w:t>, we fixed the parameter</w:t>
      </w:r>
      <w:r w:rsidR="00EE5DED">
        <w:t>s</w:t>
      </w:r>
      <w:r w:rsidR="00546B39">
        <w:t xml:space="preserve"> for profile </w:t>
      </w:r>
      <w:r w:rsidR="00EE5DED">
        <w:t xml:space="preserve">categorization in </w:t>
      </w:r>
      <w:r w:rsidR="00546B39">
        <w:t>step</w:t>
      </w:r>
      <w:r w:rsidR="00EE5DED">
        <w:t xml:space="preserve"> 2</w:t>
      </w:r>
      <w:r w:rsidR="00546B39">
        <w:t xml:space="preserve"> with the CY</w:t>
      </w:r>
      <w:r w:rsidR="00546B39" w:rsidRPr="00B42394">
        <w:rPr>
          <w:vertAlign w:val="subscript"/>
        </w:rPr>
        <w:t>s</w:t>
      </w:r>
      <w:r w:rsidR="00546B39">
        <w:t xml:space="preserve"> similarity at 0.8 and </w:t>
      </w:r>
      <w:r w:rsidR="00AB55D0">
        <w:t>location parameter St2</w:t>
      </w:r>
      <w:r w:rsidR="00EE5DED">
        <w:t xml:space="preserve"> </w:t>
      </w:r>
      <w:r w:rsidR="00546B39">
        <w:t>at 2. Then, we searched the parameter space for step 1. These included:  (1) CY</w:t>
      </w:r>
      <w:r w:rsidR="00546B39" w:rsidRPr="00B42394">
        <w:rPr>
          <w:vertAlign w:val="subscript"/>
        </w:rPr>
        <w:t>s</w:t>
      </w:r>
      <w:r w:rsidR="00546B39">
        <w:t xml:space="preserve"> similarity [0.5 – 0.9]</w:t>
      </w:r>
      <w:r w:rsidR="00B856ED">
        <w:t xml:space="preserve"> at interval 0.1</w:t>
      </w:r>
      <w:r w:rsidR="00546B39">
        <w:t xml:space="preserve">, (2) </w:t>
      </w:r>
      <w:r w:rsidR="00AB55D0">
        <w:t>location parameter St1</w:t>
      </w:r>
      <w:r w:rsidR="00546B39">
        <w:t xml:space="preserve"> at</w:t>
      </w:r>
      <w:r w:rsidR="00B856ED">
        <w:t xml:space="preserve"> [1 – 5] at interval 0.5, and dispersion tail (on both side) [1 – 5%] at interval 1%. With the parameter set for step 1</w:t>
      </w:r>
      <w:r w:rsidR="00546B39">
        <w:t xml:space="preserve"> </w:t>
      </w:r>
      <w:r w:rsidR="00B856ED">
        <w:t>fixed, we searched the parameter space for step 2. These included:  (1) CY</w:t>
      </w:r>
      <w:r w:rsidR="00B856ED" w:rsidRPr="00B42394">
        <w:rPr>
          <w:vertAlign w:val="subscript"/>
        </w:rPr>
        <w:t>s</w:t>
      </w:r>
      <w:r w:rsidR="00B856ED">
        <w:t xml:space="preserve"> similarity [0.7 – 0.9] at interval 0.1 and (2) </w:t>
      </w:r>
      <w:r w:rsidR="00AB55D0">
        <w:t>St2</w:t>
      </w:r>
      <w:r w:rsidR="00B856ED">
        <w:t xml:space="preserve"> at [1 – 5] at interval 0.5. To evaluated the impact of the parameters on the EPIG-seq performance, we </w:t>
      </w:r>
      <w:r w:rsidR="00EE5DED">
        <w:t>used the</w:t>
      </w:r>
      <w:r w:rsidR="00B856ED">
        <w:t xml:space="preserve"> Adjusted Rand Index </w:t>
      </w:r>
      <w:r w:rsidR="00B856ED">
        <w:fldChar w:fldCharType="begin"/>
      </w:r>
      <w:r w:rsidR="00B856ED">
        <w:instrText xml:space="preserve"> ADDIN EN.CITE &lt;EndNote&gt;&lt;Cite&gt;&lt;Author&gt;Rand&lt;/Author&gt;&lt;Year&gt;1971&lt;/Year&gt;&lt;RecNum&gt;38&lt;/RecNum&gt;&lt;DisplayText&gt;(Rand 1971)&lt;/DisplayText&gt;&lt;record&gt;&lt;rec-number&gt;38&lt;/rec-number&gt;&lt;foreign-keys&gt;&lt;key app="EN" db-id="2azd52svrf2fw4er09ppwxweaswrfew2s55t"&gt;38&lt;/key&gt;&lt;/foreign-keys&gt;&lt;ref-type name="Journal Article"&gt;17&lt;/ref-type&gt;&lt;contributors&gt;&lt;authors&gt;&lt;author&gt;Rand, W.M.&lt;/author&gt;&lt;/authors&gt;&lt;/contributors&gt;&lt;titles&gt;&lt;title&gt;Objective criteria for the evaluation of clustering methods&lt;/title&gt;&lt;secondary-title&gt;Journal of the American Statistical Association&lt;/secondary-title&gt;&lt;/titles&gt;&lt;periodical&gt;&lt;full-title&gt;Journal of the American Statistical Association&lt;/full-title&gt;&lt;/periodical&gt;&lt;pages&gt;846-850&lt;/pages&gt;&lt;volume&gt;66&lt;/volume&gt;&lt;number&gt;336&lt;/number&gt;&lt;dates&gt;&lt;year&gt;1971&lt;/year&gt;&lt;/dates&gt;&lt;urls&gt;&lt;/urls&gt;&lt;/record&gt;&lt;/Cite&gt;&lt;/EndNote&gt;</w:instrText>
      </w:r>
      <w:r w:rsidR="00B856ED">
        <w:fldChar w:fldCharType="separate"/>
      </w:r>
      <w:r w:rsidR="00B856ED">
        <w:rPr>
          <w:noProof/>
        </w:rPr>
        <w:t>(</w:t>
      </w:r>
      <w:hyperlink w:anchor="_ENREF_8" w:tooltip="Rand, 1971 #38" w:history="1">
        <w:r w:rsidR="0005385D">
          <w:rPr>
            <w:noProof/>
          </w:rPr>
          <w:t>Rand 1971</w:t>
        </w:r>
      </w:hyperlink>
      <w:r w:rsidR="00B856ED">
        <w:rPr>
          <w:noProof/>
        </w:rPr>
        <w:t>)</w:t>
      </w:r>
      <w:r w:rsidR="00B856ED">
        <w:fldChar w:fldCharType="end"/>
      </w:r>
      <w:r w:rsidR="00157EB6">
        <w:t xml:space="preserve"> together with </w:t>
      </w:r>
      <w:r w:rsidR="00EE5DED">
        <w:t xml:space="preserve">true </w:t>
      </w:r>
      <w:r w:rsidR="00157EB6">
        <w:t xml:space="preserve">number of </w:t>
      </w:r>
      <w:r w:rsidR="00EE5DED">
        <w:t xml:space="preserve">real </w:t>
      </w:r>
      <w:r w:rsidR="00157EB6">
        <w:t xml:space="preserve">patterns from the simulated data. </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600061AE" w:rsidR="009504E9" w:rsidRDefault="004E1404" w:rsidP="003A58EE">
      <w:pPr>
        <w:spacing w:line="360" w:lineRule="auto"/>
      </w:pPr>
      <w:r>
        <w:t xml:space="preserve">To assess the significance </w:t>
      </w:r>
      <w:r w:rsidR="00995BAA">
        <w:t>of the</w:t>
      </w:r>
      <w:r>
        <w:t xml:space="preserve"> </w:t>
      </w:r>
      <w:r w:rsidR="00995BAA">
        <w:t xml:space="preserve">extracted </w:t>
      </w:r>
      <w:r>
        <w:t>pattern</w:t>
      </w:r>
      <w:r w:rsidR="00A55DB9">
        <w:t>s</w:t>
      </w:r>
      <w:r>
        <w:t xml:space="preserve">, we </w:t>
      </w:r>
      <w:r w:rsidR="00F732A7">
        <w:t xml:space="preserve">performed </w:t>
      </w:r>
      <w:r w:rsidR="00F732A7" w:rsidRPr="00B42394">
        <w:rPr>
          <w:i/>
        </w:rPr>
        <w:t>B</w:t>
      </w:r>
      <w:r w:rsidR="00F732A7">
        <w:t xml:space="preserve"> number of </w:t>
      </w:r>
      <w:r w:rsidR="00995BAA">
        <w:t>bootstrapped assignment</w:t>
      </w:r>
      <w:r w:rsidR="00F732A7">
        <w:t>s</w:t>
      </w:r>
      <w:r w:rsidR="00995BAA">
        <w:t xml:space="preserve"> of </w:t>
      </w:r>
      <w:r w:rsidR="00951BC6">
        <w:rPr>
          <w:i/>
        </w:rPr>
        <w:t>P</w:t>
      </w:r>
      <w:r w:rsidR="00F732A7">
        <w:t xml:space="preserve"> random </w:t>
      </w:r>
      <w:r w:rsidR="00995BAA">
        <w:t xml:space="preserve">gene profiles </w:t>
      </w:r>
      <w:r w:rsidR="00F732A7">
        <w:t xml:space="preserve">to </w:t>
      </w:r>
      <w:r w:rsidR="00995BAA">
        <w:t>a pattern</w:t>
      </w:r>
      <w:r w:rsidR="00F732A7">
        <w:t xml:space="preserve"> and compute the PCS each time to compare to the observed PCS for that pattern</w:t>
      </w:r>
      <w:r>
        <w:t xml:space="preserve">. </w:t>
      </w:r>
      <w:r w:rsidR="00995BAA">
        <w:t>Briefly</w:t>
      </w:r>
      <w:r>
        <w:t xml:space="preserve">, </w:t>
      </w:r>
      <w:r w:rsidR="00F732A7">
        <w:t xml:space="preserve">for </w:t>
      </w:r>
      <w:r w:rsidR="00F732A7" w:rsidRPr="00B42394">
        <w:rPr>
          <w:i/>
        </w:rPr>
        <w:t>B</w:t>
      </w:r>
      <w:r w:rsidR="00F732A7">
        <w:t xml:space="preserve"> times and </w:t>
      </w:r>
      <w:r>
        <w:t xml:space="preserve">for a given pattern </w:t>
      </w:r>
      <w:r w:rsidR="00F732A7">
        <w:t xml:space="preserve">containing </w:t>
      </w:r>
      <w:r w:rsidR="00951BC6">
        <w:rPr>
          <w:i/>
        </w:rPr>
        <w:t>P</w:t>
      </w:r>
      <w:r w:rsidR="00951BC6">
        <w:t xml:space="preserve"> </w:t>
      </w:r>
      <w:r>
        <w:t xml:space="preserve">gene profiles, we </w:t>
      </w:r>
      <w:r>
        <w:lastRenderedPageBreak/>
        <w:t xml:space="preserve">randomly select </w:t>
      </w:r>
      <w:r w:rsidR="00951BC6">
        <w:rPr>
          <w:i/>
        </w:rPr>
        <w:t>P</w:t>
      </w:r>
      <w:r w:rsidR="00951BC6">
        <w:t xml:space="preserve"> </w:t>
      </w:r>
      <w:r>
        <w:t>number of gene profiles from the dataset. Then</w:t>
      </w:r>
      <w:r w:rsidR="00F732A7">
        <w:t>,</w:t>
      </w:r>
      <w:r>
        <w:t xml:space="preserve"> for the selected </w:t>
      </w:r>
      <w:r w:rsidR="00951BC6">
        <w:rPr>
          <w:i/>
        </w:rPr>
        <w:t>P</w:t>
      </w:r>
      <w:r w:rsidR="00951BC6">
        <w:t xml:space="preserve"> </w:t>
      </w:r>
      <w:r w:rsidR="00F732A7">
        <w:t xml:space="preserve">random </w:t>
      </w:r>
      <w:r>
        <w:t>profiles, we compute</w:t>
      </w:r>
      <w:r w:rsidR="00F732A7">
        <w:t xml:space="preserve"> the</w:t>
      </w:r>
      <w:r>
        <w:t xml:space="preserve"> </w:t>
      </w:r>
      <w:r w:rsidR="00A55DB9">
        <w:t xml:space="preserve">bootstrapped </w:t>
      </w:r>
      <w:r>
        <w:t xml:space="preserve">PCS. </w:t>
      </w:r>
      <w:r w:rsidR="00A55DB9">
        <w:t xml:space="preserve">The </w:t>
      </w:r>
      <w:r w:rsidR="00A55DB9" w:rsidRPr="00B42394">
        <w:rPr>
          <w:i/>
        </w:rPr>
        <w:t>p</w:t>
      </w:r>
      <w:r w:rsidR="00A55DB9">
        <w:t xml:space="preserve">-value for a pattern is computed as </w:t>
      </w:r>
      <w:r w:rsidR="00A55DB9" w:rsidRPr="00A55DB9">
        <w:t>the number (</w:t>
      </w:r>
      <w:r w:rsidR="00A55DB9" w:rsidRPr="00B42394">
        <w:rPr>
          <w:i/>
        </w:rPr>
        <w:t>n</w:t>
      </w:r>
      <w:r w:rsidR="00A55DB9" w:rsidRPr="00A55DB9">
        <w:t xml:space="preserve">) of times one of these </w:t>
      </w:r>
      <w:r w:rsidR="00A55DB9">
        <w:t>bootstrapped</w:t>
      </w:r>
      <w:r w:rsidR="00A55DB9" w:rsidRPr="00A55DB9">
        <w:t xml:space="preserve"> scores is greater than the observed score</w:t>
      </w:r>
      <w:r w:rsidR="00A55DB9">
        <w:t xml:space="preserve">.  Thus, p-value = </w:t>
      </w:r>
      <w:r w:rsidR="00A55DB9" w:rsidRPr="00B42394">
        <w:rPr>
          <w:i/>
        </w:rPr>
        <w:t>n</w:t>
      </w:r>
      <w:r w:rsidR="00A55DB9">
        <w:t>/</w:t>
      </w:r>
      <w:r w:rsidR="00A55DB9" w:rsidRPr="00B42394">
        <w:rPr>
          <w:i/>
        </w:rPr>
        <w:t>B</w:t>
      </w:r>
      <w:r w:rsidR="00A55DB9">
        <w:t xml:space="preserve">.  </w:t>
      </w:r>
    </w:p>
    <w:p w14:paraId="0FBE36DC" w14:textId="77777777" w:rsidR="0005385D" w:rsidRPr="004E1404" w:rsidRDefault="0005385D" w:rsidP="003A58EE">
      <w:pPr>
        <w:spacing w:line="360" w:lineRule="auto"/>
      </w:pPr>
    </w:p>
    <w:p w14:paraId="06483A3C" w14:textId="05ED6DE1" w:rsidR="0005385D" w:rsidRDefault="00C33E8F" w:rsidP="0005385D">
      <w:pPr>
        <w:spacing w:line="360" w:lineRule="auto"/>
        <w:rPr>
          <w:lang w:val="en-GB"/>
        </w:rPr>
      </w:pPr>
      <w:r w:rsidRPr="00C33E8F">
        <w:rPr>
          <w:u w:val="single"/>
          <w:lang w:val="en-GB"/>
        </w:rPr>
        <w:t>Comparing two clustering outcomes</w:t>
      </w:r>
      <w:r w:rsidR="002735C2">
        <w:rPr>
          <w:lang w:val="en-GB"/>
        </w:rPr>
        <w:t xml:space="preserve">To assess the reproducibility of pattern extraction </w:t>
      </w:r>
      <w:r w:rsidR="00951BC6">
        <w:rPr>
          <w:lang w:val="en-GB"/>
        </w:rPr>
        <w:t>and subsequent categorization of genes</w:t>
      </w:r>
      <w:r w:rsidR="002735C2">
        <w:rPr>
          <w:lang w:val="en-GB"/>
        </w:rPr>
        <w:t xml:space="preserve">, </w:t>
      </w:r>
      <w:r w:rsidR="0005385D">
        <w:rPr>
          <w:lang w:val="en-GB"/>
        </w:rPr>
        <w:t xml:space="preserve">we adopted a method for accessing the clustering reproducibility </w:t>
      </w:r>
      <w:r w:rsidR="0005385D">
        <w:rPr>
          <w:lang w:val="en-GB"/>
        </w:rPr>
        <w:fldChar w:fldCharType="begin"/>
      </w:r>
      <w:r w:rsidR="0005385D">
        <w:rPr>
          <w:lang w:val="en-GB"/>
        </w:rPr>
        <w:instrText xml:space="preserve"> ADDIN EN.CITE &lt;EndNote&gt;&lt;Cite&gt;&lt;Author&gt;Romano&lt;/Author&gt;&lt;Year&gt;2014&lt;/Year&gt;&lt;RecNum&gt;13&lt;/RecNum&gt;&lt;DisplayText&gt;(Romano 2014)&lt;/DisplayText&gt;&lt;record&gt;&lt;rec-number&gt;13&lt;/rec-number&gt;&lt;foreign-keys&gt;&lt;key app="EN" db-id="2azd52svrf2fw4er09ppwxweaswrfew2s55t"&gt;13&lt;/key&gt;&lt;/foreign-keys&gt;&lt;ref-type name="Journal Article"&gt;17&lt;/ref-type&gt;&lt;contributors&gt;&lt;authors&gt;&lt;author&gt;Romano,Simone;Bailey, James; Vinh, Nguyen xuan; Verspoorr, Karin&lt;/author&gt;&lt;/authors&gt;&lt;/contributors&gt;&lt;titles&gt;&lt;title&gt;Standardized Mutual Information for Clustering Comparisons: One Step Further in Adjustment for Chance&lt;/title&gt;&lt;secondary-title&gt;Proceedings of the 31st International Conference on Machine Learning, Beijing, China. JMLR: W&amp;amp;CP&lt;/secondary-title&gt;&lt;/titles&gt;&lt;periodical&gt;&lt;full-title&gt;Proceedings of the 31st International Conference on Machine Learning, Beijing, China. JMLR: W&amp;amp;CP&lt;/full-title&gt;&lt;/periodical&gt;&lt;volume&gt;32&lt;/volume&gt;&lt;dates&gt;&lt;year&gt;2014&lt;/year&gt;&lt;/dates&gt;&lt;urls&gt;&lt;/urls&gt;&lt;/record&gt;&lt;/Cite&gt;&lt;/EndNote&gt;</w:instrText>
      </w:r>
      <w:r w:rsidR="0005385D">
        <w:rPr>
          <w:lang w:val="en-GB"/>
        </w:rPr>
        <w:fldChar w:fldCharType="separate"/>
      </w:r>
      <w:r w:rsidR="0005385D">
        <w:rPr>
          <w:noProof/>
          <w:lang w:val="en-GB"/>
        </w:rPr>
        <w:t>(</w:t>
      </w:r>
      <w:hyperlink w:anchor="_ENREF_9" w:tooltip="Romano, 2014 #13" w:history="1">
        <w:r w:rsidR="0005385D">
          <w:rPr>
            <w:noProof/>
            <w:lang w:val="en-GB"/>
          </w:rPr>
          <w:t>Romano 2014</w:t>
        </w:r>
      </w:hyperlink>
      <w:r w:rsidR="0005385D">
        <w:rPr>
          <w:noProof/>
          <w:lang w:val="en-GB"/>
        </w:rPr>
        <w:t>)</w:t>
      </w:r>
      <w:r w:rsidR="0005385D">
        <w:rPr>
          <w:lang w:val="en-GB"/>
        </w:rPr>
        <w:fldChar w:fldCharType="end"/>
      </w:r>
      <w:r w:rsidR="0005385D">
        <w:rPr>
          <w:lang w:val="en-GB"/>
        </w:rPr>
        <w:t>. To compare two clustering results during the recursion and reallocation portion of the gene categorization to patterns part of EPIG-Seq</w:t>
      </w:r>
      <w:r w:rsidR="00951BC6">
        <w:rPr>
          <w:lang w:val="en-GB"/>
        </w:rPr>
        <w:t xml:space="preserve"> (step 2)</w:t>
      </w:r>
      <w:r w:rsidR="0005385D">
        <w:rPr>
          <w:lang w:val="en-GB"/>
        </w:rPr>
        <w:t xml:space="preserve">, the Mutual Information (MI) between the two clustering results was used.  MI, when log base 2 is used, is interpreted in units of bits and is the reduction in uncertainty about the samples groupings in one clustering outcome given the other clustering outcome (i.e., clustering </w:t>
      </w:r>
      <w:proofErr w:type="gramStart"/>
      <w:r w:rsidR="0005385D">
        <w:rPr>
          <w:lang w:val="en-GB"/>
        </w:rPr>
        <w:t>A</w:t>
      </w:r>
      <w:proofErr w:type="gramEnd"/>
      <w:r w:rsidR="0005385D">
        <w:rPr>
          <w:lang w:val="en-GB"/>
        </w:rPr>
        <w:t xml:space="preserve"> vs clustering B).  </w:t>
      </w:r>
    </w:p>
    <w:p w14:paraId="2BA4D9AD" w14:textId="3BA444BC" w:rsidR="0005385D" w:rsidRDefault="00A00169" w:rsidP="003A58EE">
      <w:pPr>
        <w:spacing w:line="360" w:lineRule="auto"/>
        <w:rPr>
          <w:lang w:val="en-GB"/>
        </w:rPr>
      </w:pPr>
      <w:r>
        <w:rPr>
          <w:lang w:val="en-GB"/>
        </w:rPr>
        <w:t xml:space="preserve">Let: </w:t>
      </w:r>
      <w:r>
        <w:rPr>
          <w:noProof/>
          <w:position w:val="-30"/>
        </w:rPr>
        <w:drawing>
          <wp:inline distT="0" distB="0" distL="0" distR="0" wp14:anchorId="5637706A" wp14:editId="7FDFB1FD">
            <wp:extent cx="2702560" cy="45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02560" cy="457200"/>
                    </a:xfrm>
                    <a:prstGeom prst="rect">
                      <a:avLst/>
                    </a:prstGeom>
                    <a:noFill/>
                    <a:ln>
                      <a:noFill/>
                    </a:ln>
                  </pic:spPr>
                </pic:pic>
              </a:graphicData>
            </a:graphic>
          </wp:inline>
        </w:drawing>
      </w:r>
    </w:p>
    <w:p w14:paraId="1E870F65" w14:textId="0466401F"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lang w:val="en-GB"/>
        </w:rPr>
        <w:t>(</w:t>
      </w:r>
      <w:r>
        <w:rPr>
          <w:i/>
          <w:iCs/>
          <w:lang w:val="en-GB"/>
        </w:rPr>
        <w:t>a,b</w:t>
      </w:r>
      <w:r>
        <w:rPr>
          <w:lang w:val="en-GB"/>
        </w:rPr>
        <w:t xml:space="preserve">) is the joint probability distribution of </w:t>
      </w:r>
      <w:r>
        <w:rPr>
          <w:i/>
          <w:iCs/>
          <w:lang w:val="en-GB"/>
        </w:rPr>
        <w:t>A</w:t>
      </w:r>
      <w:r>
        <w:rPr>
          <w:lang w:val="en-GB"/>
        </w:rPr>
        <w:t xml:space="preserve"> and </w:t>
      </w:r>
      <w:r>
        <w:rPr>
          <w:i/>
          <w:iCs/>
          <w:lang w:val="en-GB"/>
        </w:rPr>
        <w:t>B</w:t>
      </w:r>
      <w:r>
        <w:rPr>
          <w:lang w:val="en-GB"/>
        </w:rPr>
        <w:t>, and Ent(</w:t>
      </w:r>
      <w:r>
        <w:rPr>
          <w:i/>
          <w:iCs/>
          <w:lang w:val="en-GB"/>
        </w:rPr>
        <w:t>X</w:t>
      </w:r>
      <w:r>
        <w:rPr>
          <w:lang w:val="en-GB"/>
        </w:rPr>
        <w:t xml:space="preserve">) is the entropy of clustering outcome X. Given </w:t>
      </w:r>
      <w:r>
        <w:rPr>
          <w:i/>
          <w:iCs/>
          <w:lang w:val="en-GB"/>
        </w:rPr>
        <w:t>k</w:t>
      </w:r>
      <w:r>
        <w:rPr>
          <w:lang w:val="en-GB"/>
        </w:rPr>
        <w:t xml:space="preserve"> clusters,</w:t>
      </w:r>
    </w:p>
    <w:p w14:paraId="0F66D60D" w14:textId="77777777" w:rsidR="00A00169" w:rsidRDefault="00A00169" w:rsidP="00A00169">
      <w:pPr>
        <w:spacing w:line="360" w:lineRule="auto"/>
        <w:rPr>
          <w:lang w:val="en-GB"/>
        </w:rPr>
      </w:pPr>
      <w:r>
        <w:rPr>
          <w:noProof/>
          <w:position w:val="-28"/>
        </w:rPr>
        <w:drawing>
          <wp:inline distT="0" distB="0" distL="0" distR="0" wp14:anchorId="54D088A7" wp14:editId="1111499B">
            <wp:extent cx="1603375" cy="429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03375" cy="429895"/>
                    </a:xfrm>
                    <a:prstGeom prst="rect">
                      <a:avLst/>
                    </a:prstGeom>
                    <a:noFill/>
                    <a:ln>
                      <a:noFill/>
                    </a:ln>
                  </pic:spPr>
                </pic:pic>
              </a:graphicData>
            </a:graphic>
          </wp:inline>
        </w:drawing>
      </w:r>
    </w:p>
    <w:p w14:paraId="7097AFC1" w14:textId="772E6A0A"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i/>
          <w:iCs/>
          <w:vertAlign w:val="subscript"/>
          <w:lang w:val="en-GB"/>
        </w:rPr>
        <w:t>i</w:t>
      </w:r>
      <w:r>
        <w:rPr>
          <w:lang w:val="en-GB"/>
        </w:rPr>
        <w:t xml:space="preserve"> is the probability of the </w:t>
      </w:r>
      <w:r>
        <w:rPr>
          <w:i/>
          <w:iCs/>
          <w:lang w:val="en-GB"/>
        </w:rPr>
        <w:t>i</w:t>
      </w:r>
      <w:r>
        <w:rPr>
          <w:lang w:val="en-GB"/>
        </w:rPr>
        <w:t>th cluster membership in clustering X.  To adjust the MI for chance occurrence,</w:t>
      </w:r>
    </w:p>
    <w:p w14:paraId="61B68EEC" w14:textId="170DC54A" w:rsidR="00A00169" w:rsidRDefault="00A00169" w:rsidP="00A00169">
      <w:pPr>
        <w:spacing w:line="360" w:lineRule="auto"/>
        <w:rPr>
          <w:lang w:val="en-GB"/>
        </w:rPr>
      </w:pPr>
      <w:r>
        <w:rPr>
          <w:rFonts w:ascii="Courier New" w:hAnsi="Courier New" w:cs="Courier New"/>
          <w:noProof/>
          <w:position w:val="-22"/>
        </w:rPr>
        <w:drawing>
          <wp:inline distT="0" distB="0" distL="0" distR="0" wp14:anchorId="32906738" wp14:editId="19596F41">
            <wp:extent cx="2907030" cy="33464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07030" cy="334645"/>
                    </a:xfrm>
                    <a:prstGeom prst="rect">
                      <a:avLst/>
                    </a:prstGeom>
                    <a:noFill/>
                    <a:ln>
                      <a:noFill/>
                    </a:ln>
                  </pic:spPr>
                </pic:pic>
              </a:graphicData>
            </a:graphic>
          </wp:inline>
        </w:drawing>
      </w:r>
    </w:p>
    <w:p w14:paraId="30C58E41" w14:textId="47E53EAA" w:rsidR="005D1CE3" w:rsidRDefault="005D1CE3" w:rsidP="005D1CE3">
      <w:pPr>
        <w:spacing w:line="360" w:lineRule="auto"/>
      </w:pPr>
      <w:r>
        <w:rPr>
          <w:lang w:val="en-GB"/>
        </w:rPr>
        <w:t>Where, EMI is the expectation of the mutual information.  AMI ranges between 0 and 1.</w:t>
      </w:r>
      <w:r>
        <w:t xml:space="preserve">  </w:t>
      </w:r>
      <w:r>
        <w:rPr>
          <w:lang w:val="en-GB"/>
        </w:rPr>
        <w:t xml:space="preserve">An AMI value of zero means that the two clustering outcomes are independent whereas an AMI of 1 indicates that the two </w:t>
      </w:r>
      <w:r w:rsidR="00897298">
        <w:rPr>
          <w:lang w:val="en-GB"/>
        </w:rPr>
        <w:t>clustering</w:t>
      </w:r>
      <w:r>
        <w:rPr>
          <w:lang w:val="en-GB"/>
        </w:rPr>
        <w:t xml:space="preserve"> are </w:t>
      </w:r>
      <w:r w:rsidR="003F701B">
        <w:rPr>
          <w:lang w:val="en-GB"/>
        </w:rPr>
        <w:t>highly associated</w:t>
      </w:r>
      <w:r>
        <w:rPr>
          <w:lang w:val="en-GB"/>
        </w:rPr>
        <w:t xml:space="preserve">. </w:t>
      </w:r>
    </w:p>
    <w:p w14:paraId="2D492C09" w14:textId="77777777" w:rsidR="00211547" w:rsidRDefault="0057497C" w:rsidP="00211547">
      <w:pPr>
        <w:spacing w:line="240" w:lineRule="auto"/>
        <w:rPr>
          <w:b/>
        </w:rPr>
      </w:pPr>
      <w:r w:rsidRPr="00C92B8D">
        <w:rPr>
          <w:u w:val="single"/>
        </w:rPr>
        <w:t xml:space="preserve">The </w:t>
      </w:r>
      <w:r w:rsidR="00C92B8D">
        <w:rPr>
          <w:u w:val="single"/>
        </w:rPr>
        <w:t xml:space="preserve">EPIG-Seq </w:t>
      </w:r>
      <w:r w:rsidRPr="00C92B8D">
        <w:rPr>
          <w:u w:val="single"/>
        </w:rPr>
        <w:t>algorithm pseudo code</w:t>
      </w:r>
      <w:r w:rsidR="00211547" w:rsidRPr="00211547">
        <w:rPr>
          <w:b/>
        </w:rPr>
        <w:t xml:space="preserve"> </w:t>
      </w:r>
    </w:p>
    <w:p w14:paraId="6B2B1136" w14:textId="0C8C3DF0" w:rsidR="00211547" w:rsidRPr="00C92B8D" w:rsidRDefault="000F7B60" w:rsidP="00211547">
      <w:pPr>
        <w:spacing w:line="240" w:lineRule="auto"/>
        <w:rPr>
          <w:b/>
        </w:rPr>
      </w:pPr>
      <w:r>
        <w:rPr>
          <w:b/>
        </w:rPr>
        <w:t xml:space="preserve">Step 1: </w:t>
      </w:r>
      <w:r w:rsidR="00211547" w:rsidRPr="00C92B8D">
        <w:rPr>
          <w:b/>
        </w:rPr>
        <w:t xml:space="preserve">Extract </w:t>
      </w:r>
      <w:r>
        <w:rPr>
          <w:b/>
        </w:rPr>
        <w:t xml:space="preserve">candidate profiles as seeds to </w:t>
      </w:r>
      <w:r w:rsidR="00211547" w:rsidRPr="00C92B8D">
        <w:rPr>
          <w:b/>
        </w:rPr>
        <w:t>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lastRenderedPageBreak/>
        <w:t>for</w:t>
      </w:r>
      <w:r>
        <w:t xml:space="preserve"> i = 1..n  </w:t>
      </w:r>
      <w:r w:rsidR="00713517" w:rsidRPr="00713517">
        <w:rPr>
          <w:b/>
        </w:rPr>
        <w:t>do</w:t>
      </w:r>
    </w:p>
    <w:p w14:paraId="2AF8E631" w14:textId="613111B4"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37730BED" w14:textId="1D84BFFB" w:rsidR="00713517" w:rsidRDefault="00713517" w:rsidP="00713517">
      <w:pPr>
        <w:pStyle w:val="ListParagraph"/>
        <w:spacing w:line="240" w:lineRule="auto"/>
        <w:ind w:firstLine="720"/>
      </w:pPr>
    </w:p>
    <w:p w14:paraId="535FDEC3" w14:textId="6D159BDF" w:rsidR="00147F52" w:rsidRPr="00713517" w:rsidRDefault="00713517" w:rsidP="00713517">
      <w:pPr>
        <w:spacing w:after="0" w:line="240" w:lineRule="auto"/>
        <w:rPr>
          <w:b/>
        </w:rPr>
      </w:pPr>
      <w:r>
        <w:t xml:space="preserve">                    </w:t>
      </w:r>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7C9BC511" w14:textId="6BE86171" w:rsidR="00662AC3" w:rsidRDefault="00662AC3" w:rsidP="00662AC3">
      <w:pPr>
        <w:pStyle w:val="ListParagraph"/>
        <w:numPr>
          <w:ilvl w:val="0"/>
          <w:numId w:val="1"/>
        </w:numPr>
        <w:spacing w:line="240" w:lineRule="auto"/>
      </w:pPr>
      <w:r w:rsidRPr="00662AC3">
        <w:t xml:space="preserve">Delete the </w:t>
      </w:r>
      <w:r w:rsidRPr="00B42394">
        <w:rPr>
          <w:i/>
        </w:rPr>
        <w:t>i</w:t>
      </w:r>
      <w:r w:rsidRPr="00662AC3">
        <w:t xml:space="preserve">th profile if </w:t>
      </w:r>
      <w:r w:rsidR="000866FD">
        <w:t xml:space="preserve">the </w:t>
      </w:r>
      <w:r w:rsidR="004A4926">
        <w:t>number</w:t>
      </w:r>
      <w:r w:rsidR="000866FD">
        <w:t xml:space="preserve"> of profiles with CYs &gt;= Rt1</w:t>
      </w:r>
      <w:r w:rsidRPr="00662AC3">
        <w:t xml:space="preserve"> </w:t>
      </w:r>
      <w:r w:rsidR="000866FD">
        <w:t xml:space="preserve">is </w:t>
      </w:r>
      <w:r>
        <w:t xml:space="preserve">&lt; </w:t>
      </w:r>
      <w:r w:rsidR="000866FD">
        <w:t>Mt</w:t>
      </w:r>
      <w:r>
        <w:t xml:space="preserve"> </w:t>
      </w:r>
    </w:p>
    <w:p w14:paraId="7828978C" w14:textId="1D98FBE1" w:rsidR="00D16818" w:rsidRDefault="00820C2D" w:rsidP="00D16818">
      <w:pPr>
        <w:pStyle w:val="ListParagraph"/>
        <w:numPr>
          <w:ilvl w:val="0"/>
          <w:numId w:val="1"/>
        </w:numPr>
        <w:spacing w:line="240" w:lineRule="auto"/>
      </w:pPr>
      <w:r>
        <w:t xml:space="preserve">For remaining profiles, estimate </w:t>
      </w:r>
    </w:p>
    <w:p w14:paraId="6AFDFF7D" w14:textId="5770CDEE" w:rsidR="00D16818" w:rsidRDefault="00820C2D" w:rsidP="00B42394">
      <w:pPr>
        <w:pStyle w:val="ListParagraph"/>
        <w:numPr>
          <w:ilvl w:val="1"/>
          <w:numId w:val="1"/>
        </w:numPr>
        <w:spacing w:line="240" w:lineRule="auto"/>
      </w:pPr>
      <w:r>
        <w:t>t</w:t>
      </w:r>
      <w:r w:rsidR="00D16818">
        <w:t>he location parameter</w:t>
      </w:r>
    </w:p>
    <w:p w14:paraId="54B42F3A" w14:textId="13DB6241" w:rsidR="00D16818" w:rsidRDefault="00820C2D" w:rsidP="00B42394">
      <w:pPr>
        <w:pStyle w:val="ListParagraph"/>
        <w:numPr>
          <w:ilvl w:val="1"/>
          <w:numId w:val="1"/>
        </w:numPr>
        <w:spacing w:line="240" w:lineRule="auto"/>
      </w:pPr>
      <w:r>
        <w:t>the</w:t>
      </w:r>
      <w:r w:rsidR="00D16818">
        <w:t xml:space="preserve"> dispersion</w:t>
      </w:r>
    </w:p>
    <w:p w14:paraId="7065DE13" w14:textId="293B6FFB" w:rsidR="00D16818" w:rsidRDefault="000866FD" w:rsidP="00211547">
      <w:pPr>
        <w:pStyle w:val="ListParagraph"/>
        <w:numPr>
          <w:ilvl w:val="0"/>
          <w:numId w:val="1"/>
        </w:numPr>
        <w:spacing w:line="240" w:lineRule="auto"/>
      </w:pPr>
      <w:r>
        <w:t xml:space="preserve">Delete profile if </w:t>
      </w:r>
      <w:r w:rsidR="00B36FA6">
        <w:t xml:space="preserve">location parameter &lt; </w:t>
      </w:r>
      <w:r>
        <w:t xml:space="preserve">St1 </w:t>
      </w:r>
      <w:r w:rsidR="00B36FA6">
        <w:t xml:space="preserve">or </w:t>
      </w:r>
      <w:r w:rsidR="003B5B7B">
        <w:t>[</w:t>
      </w:r>
      <w:r w:rsidR="00B36FA6">
        <w:t>dispersion</w:t>
      </w:r>
      <w:r w:rsidR="003B5B7B">
        <w:t xml:space="preserve"> &lt; 95</w:t>
      </w:r>
      <w:r w:rsidR="003B5B7B" w:rsidRPr="00B42394">
        <w:rPr>
          <w:vertAlign w:val="superscript"/>
        </w:rPr>
        <w:t>th</w:t>
      </w:r>
      <w:r w:rsidR="003B5B7B">
        <w:t xml:space="preserve"> percentile or &gt; 5</w:t>
      </w:r>
      <w:r w:rsidR="003B5B7B" w:rsidRPr="00B42394">
        <w:rPr>
          <w:vertAlign w:val="superscript"/>
        </w:rPr>
        <w:t>th</w:t>
      </w:r>
      <w:r w:rsidR="003B5B7B">
        <w:t xml:space="preserve"> percentile] </w:t>
      </w:r>
      <w:r w:rsidR="00B36FA6">
        <w:t xml:space="preserve"> </w:t>
      </w:r>
      <w:r>
        <w:t xml:space="preserve">  </w:t>
      </w:r>
    </w:p>
    <w:p w14:paraId="714B4AE4" w14:textId="303AE88D" w:rsidR="0066190D" w:rsidRDefault="0066190D" w:rsidP="0066190D">
      <w:pPr>
        <w:pStyle w:val="ListParagraph"/>
        <w:numPr>
          <w:ilvl w:val="0"/>
          <w:numId w:val="1"/>
        </w:numPr>
        <w:spacing w:line="240" w:lineRule="auto"/>
      </w:pPr>
      <w:r>
        <w:t xml:space="preserve">Remove profile with max(dispersion)  if the top 5 correlated profiles overlap with another profile </w:t>
      </w:r>
    </w:p>
    <w:p w14:paraId="49F2298B" w14:textId="2AAC4B2A" w:rsidR="0066190D" w:rsidRDefault="0066190D" w:rsidP="0066190D">
      <w:pPr>
        <w:pStyle w:val="ListParagraph"/>
        <w:numPr>
          <w:ilvl w:val="0"/>
          <w:numId w:val="1"/>
        </w:numPr>
        <w:spacing w:line="240" w:lineRule="auto"/>
      </w:pPr>
      <w:r w:rsidRPr="0066190D">
        <w:t xml:space="preserve">Remove </w:t>
      </w:r>
      <w:r>
        <w:t>profile</w:t>
      </w:r>
      <w:r w:rsidR="002E045D">
        <w:t xml:space="preserve"> with </w:t>
      </w:r>
      <w:r>
        <w:t xml:space="preserve">correlation &gt;=0.9 to another profile </w:t>
      </w:r>
    </w:p>
    <w:p w14:paraId="2DB00202" w14:textId="691E775B" w:rsidR="005757EC" w:rsidRPr="00C92B8D" w:rsidRDefault="009C3512" w:rsidP="00F2603D">
      <w:pPr>
        <w:spacing w:line="240" w:lineRule="auto"/>
        <w:rPr>
          <w:b/>
        </w:rPr>
      </w:pPr>
      <w:r>
        <w:t xml:space="preserve">Remaining profiles </w:t>
      </w:r>
      <w:r w:rsidR="004A4926">
        <w:t xml:space="preserve">are </w:t>
      </w:r>
      <w:r>
        <w:t>defined as candidate seeds for patterns</w:t>
      </w:r>
      <w:r w:rsidR="004A4926">
        <w:t xml:space="preserve"> </w:t>
      </w:r>
      <w:r w:rsidR="000F7B60">
        <w:rPr>
          <w:b/>
        </w:rPr>
        <w:t xml:space="preserve">Step 2: </w:t>
      </w:r>
      <w:r w:rsidR="005757EC" w:rsidRPr="00C92B8D">
        <w:rPr>
          <w:b/>
        </w:rPr>
        <w:t xml:space="preserve">Categorize </w:t>
      </w:r>
      <w:r w:rsidR="00C92B8D">
        <w:rPr>
          <w:b/>
        </w:rPr>
        <w:t>profiles</w:t>
      </w:r>
      <w:r w:rsidR="005757EC"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56279F3A" w14:textId="6E9F60A2" w:rsidR="008C5EDA" w:rsidRDefault="008C5EDA" w:rsidP="00B42394">
      <w:pPr>
        <w:pStyle w:val="ListParagraph"/>
        <w:numPr>
          <w:ilvl w:val="0"/>
          <w:numId w:val="3"/>
        </w:numPr>
        <w:spacing w:line="240" w:lineRule="auto"/>
      </w:pPr>
      <w:r>
        <w:t xml:space="preserve"> </w:t>
      </w:r>
      <w:r w:rsidRPr="00147F52">
        <w:rPr>
          <w:b/>
        </w:rPr>
        <w:t>for</w:t>
      </w:r>
      <w:r>
        <w:t xml:space="preserve"> i = 1..n  </w:t>
      </w:r>
      <w:r w:rsidRPr="00713517">
        <w:rPr>
          <w:b/>
        </w:rPr>
        <w:t>do</w:t>
      </w:r>
      <w:r>
        <w:rPr>
          <w:noProof/>
        </w:rPr>
        <mc:AlternateContent>
          <mc:Choice Requires="wps">
            <w:drawing>
              <wp:anchor distT="0" distB="0" distL="114300" distR="114300" simplePos="0" relativeHeight="251673600" behindDoc="0" locked="0" layoutInCell="1" allowOverlap="1" wp14:anchorId="1643F26C" wp14:editId="47B7C870">
                <wp:simplePos x="0" y="0"/>
                <wp:positionH relativeFrom="column">
                  <wp:posOffset>504967</wp:posOffset>
                </wp:positionH>
                <wp:positionV relativeFrom="paragraph">
                  <wp:posOffset>9468</wp:posOffset>
                </wp:positionV>
                <wp:extent cx="0" cy="696036"/>
                <wp:effectExtent l="0" t="0" r="19050" b="27940"/>
                <wp:wrapNone/>
                <wp:docPr id="11" name="Straight Connector 11"/>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" strokecolor="black [3040]"/>
            </w:pict>
          </mc:Fallback>
        </mc:AlternateContent>
      </w:r>
    </w:p>
    <w:p w14:paraId="49146284" w14:textId="00374940" w:rsidR="008C5EDA" w:rsidRDefault="008C5EDA" w:rsidP="008C5EDA">
      <w:pPr>
        <w:pStyle w:val="ListParagraph"/>
        <w:spacing w:line="240" w:lineRule="auto"/>
      </w:pPr>
      <w:r>
        <w:t xml:space="preserve">      </w:t>
      </w:r>
      <w:r w:rsidR="00FA0F42">
        <w:t>Initially a</w:t>
      </w:r>
      <w:r>
        <w:t>ssign the ith profile to the kth pattern if CYs &gt;</w:t>
      </w:r>
      <w:r w:rsidR="00025592">
        <w:t>=</w:t>
      </w:r>
      <w:r>
        <w:t xml:space="preserve"> Rt2</w:t>
      </w:r>
      <w:r w:rsidR="00025592">
        <w:t xml:space="preserve"> and location parameter &gt; St2</w:t>
      </w:r>
    </w:p>
    <w:p w14:paraId="368B3A2F" w14:textId="77777777" w:rsidR="008C5EDA" w:rsidRPr="00832590" w:rsidRDefault="008C5EDA" w:rsidP="008C5EDA">
      <w:pPr>
        <w:pStyle w:val="ListParagraph"/>
        <w:spacing w:line="360" w:lineRule="auto"/>
        <w:rPr>
          <w:b/>
        </w:rPr>
      </w:pPr>
      <w:proofErr w:type="gramStart"/>
      <w:r w:rsidRPr="00153A4A">
        <w:rPr>
          <w:b/>
        </w:rPr>
        <w:t>end</w:t>
      </w:r>
      <w:proofErr w:type="gramEnd"/>
    </w:p>
    <w:p w14:paraId="178371EA" w14:textId="28B5D887" w:rsidR="008C5EDA" w:rsidRDefault="008C5EDA" w:rsidP="00672C0C">
      <w:pPr>
        <w:pStyle w:val="ListParagraph"/>
        <w:numPr>
          <w:ilvl w:val="0"/>
          <w:numId w:val="3"/>
        </w:numPr>
        <w:spacing w:line="360" w:lineRule="auto"/>
      </w:pPr>
    </w:p>
    <w:p w14:paraId="4E5BF40C" w14:textId="376645E4" w:rsidR="005B00B2" w:rsidRDefault="005B00B2" w:rsidP="00672C0C">
      <w:pPr>
        <w:pStyle w:val="ListParagraph"/>
        <w:numPr>
          <w:ilvl w:val="0"/>
          <w:numId w:val="3"/>
        </w:numPr>
        <w:spacing w:line="240" w:lineRule="auto"/>
      </w:pPr>
      <w:r>
        <w:t>Until no more moves (</w:t>
      </w:r>
      <w:r w:rsidR="003D27D2">
        <w:t>when</w:t>
      </w:r>
      <w:r>
        <w:t xml:space="preserve"> 1-AMI &lt; 0.0</w:t>
      </w:r>
      <w:r w:rsidR="003D27D2">
        <w:t>0</w:t>
      </w:r>
      <w:r>
        <w:t>01)</w:t>
      </w:r>
    </w:p>
    <w:p w14:paraId="31446BD5" w14:textId="724684D3" w:rsidR="00672C0C" w:rsidRDefault="005B00B2" w:rsidP="00B42394">
      <w:pPr>
        <w:spacing w:line="240" w:lineRule="auto"/>
      </w:pPr>
      <w:r>
        <w:rPr>
          <w:b/>
        </w:rPr>
        <w:t xml:space="preserve">                   </w:t>
      </w:r>
      <w:proofErr w:type="gramStart"/>
      <w:r w:rsidR="00672C0C" w:rsidRPr="005B00B2">
        <w:rPr>
          <w:b/>
        </w:rPr>
        <w:t>for</w:t>
      </w:r>
      <w:proofErr w:type="gramEnd"/>
      <w:r w:rsidR="00672C0C">
        <w:t xml:space="preserve"> i = 1..</w:t>
      </w:r>
      <w:r>
        <w:t xml:space="preserve">m  </w:t>
      </w:r>
      <w:r w:rsidR="00672C0C" w:rsidRPr="005B00B2">
        <w:rPr>
          <w:b/>
        </w:rPr>
        <w:t>do</w:t>
      </w:r>
    </w:p>
    <w:p w14:paraId="62EDA002" w14:textId="5B2215EA" w:rsidR="005B00B2"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5B00B2">
        <w:t xml:space="preserve">     </w:t>
      </w:r>
      <w:r w:rsidR="005B00B2">
        <w:tab/>
      </w:r>
      <w:r w:rsidR="005B00B2">
        <w:t xml:space="preserve">Update patterns with profiles with the highest </w:t>
      </w:r>
      <w:r w:rsidR="005B00B2">
        <w:t xml:space="preserve">median PCS </w:t>
      </w:r>
    </w:p>
    <w:p w14:paraId="23C4273F" w14:textId="05B274AD" w:rsidR="00153A4A" w:rsidRDefault="00153A4A" w:rsidP="00153A4A">
      <w:pPr>
        <w:pStyle w:val="ListParagraph"/>
        <w:spacing w:line="240" w:lineRule="auto"/>
      </w:pPr>
      <w:r>
        <w:t xml:space="preserve">      </w:t>
      </w:r>
      <w:r w:rsidR="005B00B2">
        <w:t xml:space="preserve">     </w:t>
      </w:r>
      <w:r w:rsidR="005B00B2">
        <w:tab/>
        <w:t>Assign the ith</w:t>
      </w:r>
      <w:r w:rsidR="005B00B2" w:rsidRPr="00153A4A">
        <w:t xml:space="preserve"> </w:t>
      </w:r>
      <w:r w:rsidRPr="00153A4A">
        <w:t xml:space="preserve">profile to </w:t>
      </w:r>
      <w:r w:rsidR="005B00B2">
        <w:t xml:space="preserve">the kth </w:t>
      </w:r>
      <w:r w:rsidRPr="00153A4A">
        <w:t>pattern</w:t>
      </w:r>
      <w:r w:rsidR="005B00B2">
        <w:t xml:space="preserve"> if </w:t>
      </w:r>
      <w:r w:rsidRPr="00153A4A">
        <w:t xml:space="preserve">CYs </w:t>
      </w:r>
      <w:r w:rsidR="005B00B2">
        <w:t>&gt;= Rt2</w:t>
      </w:r>
    </w:p>
    <w:p w14:paraId="3722598E" w14:textId="16627B54" w:rsidR="00153A4A" w:rsidRDefault="00153A4A" w:rsidP="00153A4A">
      <w:pPr>
        <w:pStyle w:val="ListParagraph"/>
        <w:spacing w:line="240" w:lineRule="auto"/>
      </w:pPr>
      <w:r>
        <w:t xml:space="preserve">      </w:t>
      </w:r>
      <w:r w:rsidR="005B00B2">
        <w:t xml:space="preserve">     </w:t>
      </w:r>
    </w:p>
    <w:p w14:paraId="3BD262DF" w14:textId="6A600835" w:rsidR="00670867" w:rsidRPr="00670867" w:rsidRDefault="00670867" w:rsidP="00153A4A">
      <w:pPr>
        <w:pStyle w:val="ListParagraph"/>
        <w:spacing w:line="240" w:lineRule="auto"/>
        <w:rPr>
          <w:b/>
        </w:rPr>
      </w:pPr>
      <w:r>
        <w:t xml:space="preserve">      </w:t>
      </w:r>
    </w:p>
    <w:p w14:paraId="1127C707" w14:textId="42AD6B47" w:rsidR="00832590" w:rsidRPr="00832590" w:rsidRDefault="005B00B2" w:rsidP="00832590">
      <w:pPr>
        <w:pStyle w:val="ListParagraph"/>
        <w:spacing w:line="360" w:lineRule="auto"/>
        <w:rPr>
          <w:b/>
        </w:rPr>
      </w:pPr>
      <w:r>
        <w:rPr>
          <w:b/>
        </w:rPr>
        <w:t xml:space="preserve">     </w:t>
      </w:r>
      <w:proofErr w:type="gramStart"/>
      <w:r w:rsidR="00153A4A" w:rsidRPr="00153A4A">
        <w:rPr>
          <w:b/>
        </w:rPr>
        <w:t>end</w:t>
      </w:r>
      <w:proofErr w:type="gramEnd"/>
    </w:p>
    <w:p w14:paraId="3E0B0BFE" w14:textId="0127B964" w:rsidR="00672C0C" w:rsidRDefault="00670867" w:rsidP="00832590">
      <w:pPr>
        <w:pStyle w:val="ListParagraph"/>
        <w:numPr>
          <w:ilvl w:val="0"/>
          <w:numId w:val="3"/>
        </w:numPr>
        <w:spacing w:line="360" w:lineRule="auto"/>
      </w:pPr>
      <w:r>
        <w:t xml:space="preserve">Report </w:t>
      </w:r>
      <w:r w:rsidR="00DF2A8E">
        <w:t>final assignment of profiles to patterns</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1867FE9E" w:rsidR="006F4FD1" w:rsidRDefault="005B07FC" w:rsidP="00B45EC3">
      <w:pPr>
        <w:spacing w:line="360" w:lineRule="auto"/>
        <w:rPr>
          <w:b/>
        </w:rPr>
      </w:pPr>
      <w:r>
        <w:t>As shown in table 1</w:t>
      </w:r>
      <w:r w:rsidR="006D4C57">
        <w:t xml:space="preserve">, </w:t>
      </w:r>
      <w:r w:rsidR="00A47881">
        <w:t>EPIG-Seq is laid out side by side with three other</w:t>
      </w:r>
      <w:r w:rsidR="00310C9A">
        <w:t xml:space="preserve"> methods</w:t>
      </w:r>
      <w:r w:rsidR="00A47881">
        <w:t>. O</w:t>
      </w:r>
      <w:r w:rsidR="006D4C57">
        <w:t xml:space="preserve">ur newly proposed EPIG-Seq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 </w:instrText>
      </w:r>
      <w:r w:rsidR="0005385D">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EN.CITE.DATA </w:instrText>
      </w:r>
      <w:r w:rsidR="0005385D">
        <w:fldChar w:fldCharType="end"/>
      </w:r>
      <w:r w:rsidR="00E05DBB">
        <w:fldChar w:fldCharType="separate"/>
      </w:r>
      <w:r w:rsidR="00E05DBB">
        <w:rPr>
          <w:noProof/>
        </w:rPr>
        <w:t>(</w:t>
      </w:r>
      <w:hyperlink w:anchor="_ENREF_4" w:tooltip="Chou, 2007 #12" w:history="1">
        <w:r w:rsidR="0005385D">
          <w:rPr>
            <w:noProof/>
          </w:rPr>
          <w:t>Chou, Zhou et al. 2007</w:t>
        </w:r>
      </w:hyperlink>
      <w:r w:rsidR="00E05DBB">
        <w:rPr>
          <w:noProof/>
        </w:rPr>
        <w:t>)</w:t>
      </w:r>
      <w:r w:rsidR="00E05DBB">
        <w:fldChar w:fldCharType="end"/>
      </w:r>
      <w:r w:rsidR="00E05DBB">
        <w:t xml:space="preserve">, it modeled the data, which was logarithm transformed continuous type, assuming Gaussian distribution. It measured the relationship between gene profiles, a gene profile with an extracted </w:t>
      </w:r>
      <w:r w:rsidR="00E05DBB">
        <w:lastRenderedPageBreak/>
        <w:t xml:space="preserve">pattern, and between patterns using the Pearson’s correlation. It automatically extended the Gaussian’s assumption and focused on two major metrics, using the variance as the measurement of the spreading and using the LogRatio between conditions as the expression magnitude difference. Similar to t-test, EPIG used SignalToNoise ratio as its primary hypothesis testing procedure. </w:t>
      </w:r>
      <w:r w:rsidR="00C7162B">
        <w:t xml:space="preserve">The end deliverable result was the co-expression patterns with statistical significance. EPIG-Seq, on the other hand, approaches the NGS data and serves the RNA-Seq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with a QuasiPoisson distribution following GLM to estimate the dispersion from the data; lastly EPIG-Seq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EPIG-Seq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DESeq primarily serves two-group comparison where SAMseq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EPIG-Seq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RNA-seq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lastRenderedPageBreak/>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Matlab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EPIG-seq method is to extend the existing EPIG to handle the RNA-Seq data when the count level measurement is used and common normalization procedure is hard to be justified. In the EPIG-Seq,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 xml:space="preserve">ssessing the robustness of the EPIG-seq method </w:t>
      </w:r>
      <w:r>
        <w:rPr>
          <w:b/>
        </w:rPr>
        <w:t>with simulated RNA-Seq data</w:t>
      </w:r>
    </w:p>
    <w:p w14:paraId="70BD95F0" w14:textId="42D3B488" w:rsidR="00D121FD" w:rsidRDefault="008D6994" w:rsidP="00176989">
      <w:pPr>
        <w:spacing w:line="360" w:lineRule="auto"/>
      </w:pPr>
      <w:r>
        <w:t>To illustrate the robustness of the EPIG-seq method, we simulated RNA-seq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RNA-seq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r w:rsidR="00176989" w:rsidRPr="006E4D3B">
        <w:rPr>
          <w:i/>
        </w:rPr>
        <w:t>k</w:t>
      </w:r>
      <w:r w:rsidR="00176989">
        <w:t>th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EPIG-seq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w:t>
      </w:r>
      <w:r w:rsidR="00D121FD">
        <w:lastRenderedPageBreak/>
        <w:t xml:space="preserve">patterns from the background noise. </w:t>
      </w:r>
      <w:r w:rsidR="007A6D62">
        <w:t>At the same time</w:t>
      </w:r>
      <w:r w:rsidR="00D121FD">
        <w:t xml:space="preserve">, it should not extract the last pattern based on the pre-defined parameter thresholds. </w:t>
      </w:r>
    </w:p>
    <w:p w14:paraId="2874875D" w14:textId="5A0B4662" w:rsidR="00A60D62" w:rsidRDefault="006422A6" w:rsidP="00176989">
      <w:pPr>
        <w:spacing w:line="360" w:lineRule="auto"/>
      </w:pPr>
      <w:r>
        <w:t>As seen in figure xxx, t</w:t>
      </w:r>
      <w:r w:rsidR="00383AFC">
        <w:t>hrough the EPIG-seq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w:t>
      </w:r>
      <w:r w:rsidR="009B1807">
        <w:t xml:space="preserve">(labeled as “Baseline”) </w:t>
      </w:r>
      <w:r w:rsidR="00E8183F">
        <w:t xml:space="preserve">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 xml:space="preserve">tificially introduced noises </w:t>
      </w:r>
      <w:r w:rsidR="00B12FAF">
        <w:t>n</w:t>
      </w:r>
      <w:r w:rsidR="00E8183F">
        <w:t>or the dispersion in data</w:t>
      </w:r>
      <w:r w:rsidR="00A60D62">
        <w:t xml:space="preserve"> </w:t>
      </w:r>
      <w:r w:rsidR="00730564">
        <w:t>prevent</w:t>
      </w:r>
      <w:r w:rsidR="00E8183F">
        <w:t>ed</w:t>
      </w:r>
      <w:r w:rsidR="00A60D62">
        <w:t xml:space="preserve"> the EPIG-Seq </w:t>
      </w:r>
      <w:r w:rsidR="00730564">
        <w:t>from</w:t>
      </w:r>
      <w:r w:rsidR="00A60D62">
        <w:t xml:space="preserve"> recover</w:t>
      </w:r>
      <w:r w:rsidR="00730564">
        <w:t>ing</w:t>
      </w:r>
      <w:r w:rsidR="00A60D62">
        <w:t xml:space="preserve"> all the simulated patterns with pvalue </w:t>
      </w:r>
      <w:r w:rsidR="00B12FAF">
        <w:t>&lt; 0.06. As show in table 3, pattern 1 contained 316 gene profiles; pattern 2 had 189 gene profiles; pattern 3 had 129 gene profiles; pattern 4 had 207 gene profiles and pattern 5 had 130 gene profiles. Not only all five simulated true patterns were successfully extracted by EPIG-Seq, each pattern contained majority of the gene profiles simulated with the average sensitivity across all five pattern as 68% and specificity as 93%.</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1CEA4E4" w:rsidR="000016D8" w:rsidRPr="00891509" w:rsidRDefault="000016D8" w:rsidP="000016D8">
      <w:pPr>
        <w:spacing w:line="360" w:lineRule="auto"/>
        <w:rPr>
          <w:b/>
        </w:rPr>
      </w:pPr>
      <w:r w:rsidRPr="00891509">
        <w:rPr>
          <w:b/>
        </w:rPr>
        <w:t>Comparin</w:t>
      </w:r>
      <w:r w:rsidR="00EE5A1D">
        <w:rPr>
          <w:b/>
        </w:rPr>
        <w:t>g against available methods</w:t>
      </w:r>
      <w:r w:rsidR="00AB3B77">
        <w:rPr>
          <w:b/>
        </w:rPr>
        <w:t xml:space="preserve"> EPIG and</w:t>
      </w:r>
      <w:r w:rsidRPr="00891509">
        <w:rPr>
          <w:b/>
        </w:rPr>
        <w:t xml:space="preserve"> </w:t>
      </w:r>
      <w:r w:rsidR="00EE5A1D">
        <w:rPr>
          <w:b/>
        </w:rPr>
        <w:t>ORIGEN</w:t>
      </w:r>
    </w:p>
    <w:p w14:paraId="32A2698C" w14:textId="69762289" w:rsidR="00891509" w:rsidRDefault="00F42FE8" w:rsidP="00F42FE8">
      <w:pPr>
        <w:spacing w:line="360" w:lineRule="auto"/>
      </w:pPr>
      <w:r>
        <w:lastRenderedPageBreak/>
        <w:t xml:space="preserve">To show the validity of the newly proposed EPIG-Seq method, we compared two highly regarded count level RNA-Seq analysis method: </w:t>
      </w:r>
      <w:r w:rsidR="00891509">
        <w:t>DEseq</w:t>
      </w:r>
      <w:r>
        <w:t xml:space="preserve"> and SAMseq;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DEseq comparison, we followed author’s suggestion (ref) using “pooled” method to estimate the dispersion while using the locfit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DEseq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r>
        <w:t>SAMs</w:t>
      </w:r>
      <w:r w:rsidR="00891509">
        <w:t xml:space="preserve">eq </w:t>
      </w:r>
      <w:r w:rsidR="00864523">
        <w:t xml:space="preserve">(ref) is anther efficient non-parametric testing methods extended from its </w:t>
      </w:r>
      <w:r w:rsidR="00864523" w:rsidRPr="00864523">
        <w:t xml:space="preserve">predecessor </w:t>
      </w:r>
      <w:r w:rsidR="00864523">
        <w:t xml:space="preserve">SAM (ref) to directly apply to count level RNA-seq data. </w:t>
      </w:r>
      <w:r>
        <w:t xml:space="preserve">We compared the analysis with SAMseq using the mutli-class comparison with default </w:t>
      </w:r>
      <w:r w:rsidR="00F43C15">
        <w:t xml:space="preserve">parameter setting at FDR = 0.20. As expected, SAMseq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SAMseq reported 1035 DEGs (data now shown), and it again included all those 1000 simulated genes that made up the first five informative patterns. When we re-visited the method comparison metrics (table xx), SAMseq used similar approaches in its main statistical assumption, except the CYs as the correlation measurement in. It </w:t>
      </w:r>
      <w:r w:rsidR="00BF09D1">
        <w:t>also is also proved very efficient on our simulated RNA-seq data.</w:t>
      </w:r>
      <w:r w:rsidR="00EE5A1D">
        <w:t xml:space="preserve"> </w:t>
      </w:r>
    </w:p>
    <w:p w14:paraId="796976EC" w14:textId="46D975F5" w:rsidR="00891509" w:rsidRPr="00622187" w:rsidRDefault="00EE5A1D" w:rsidP="002B574B">
      <w:pPr>
        <w:spacing w:line="360" w:lineRule="auto"/>
      </w:pPr>
      <w:r>
        <w:lastRenderedPageBreak/>
        <w:t xml:space="preserve">EPIG performed reasonably well </w:t>
      </w:r>
      <w:r w:rsidR="00F32B2C">
        <w:t xml:space="preserve">on the simulated data </w:t>
      </w:r>
      <w:r w:rsidR="0090194A">
        <w:t xml:space="preserve">(figure xx) </w:t>
      </w:r>
      <w:r>
        <w:t>with RPM normali</w:t>
      </w:r>
      <w:r w:rsidR="00F32B2C">
        <w:t>zation</w:t>
      </w:r>
      <w:r>
        <w:t xml:space="preserve">. It was able to </w:t>
      </w:r>
      <w:proofErr w:type="gramStart"/>
      <w:r>
        <w:t>recovered</w:t>
      </w:r>
      <w:proofErr w:type="gramEnd"/>
      <w:r>
        <w:t xml:space="preserve">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21C9D21A" w:rsidR="007C5376" w:rsidRPr="001305FC" w:rsidRDefault="007C5376" w:rsidP="007C5376">
      <w:pPr>
        <w:spacing w:line="360" w:lineRule="auto"/>
        <w:rPr>
          <w:b/>
        </w:rPr>
      </w:pPr>
      <w:r w:rsidRPr="001305FC">
        <w:rPr>
          <w:b/>
        </w:rPr>
        <w:t>EPIG-Seq on TCGA breast cancer study</w:t>
      </w:r>
      <w:r>
        <w:rPr>
          <w:b/>
        </w:rPr>
        <w:t xml:space="preserve"> (need </w:t>
      </w:r>
      <w:r w:rsidR="00BA3230">
        <w:rPr>
          <w:b/>
        </w:rPr>
        <w:t xml:space="preserve">to confirm </w:t>
      </w:r>
      <w:r>
        <w:rPr>
          <w:b/>
        </w:rPr>
        <w:t xml:space="preserve">the results from the </w:t>
      </w:r>
      <w:r w:rsidR="00BA3230">
        <w:rPr>
          <w:b/>
        </w:rPr>
        <w:t>new</w:t>
      </w:r>
      <w:r>
        <w:rPr>
          <w:b/>
        </w:rPr>
        <w:t xml:space="preserve"> runs)</w:t>
      </w:r>
    </w:p>
    <w:p w14:paraId="57742D1E" w14:textId="3123A58C" w:rsidR="007C5376" w:rsidRDefault="00BA3230" w:rsidP="00016887">
      <w:pPr>
        <w:spacing w:line="360" w:lineRule="auto"/>
      </w:pPr>
      <w:r>
        <w:t xml:space="preserve">In this study, we applied the EPIG-Seq algorithm onto TCGA breast cancer RNA-seq data. As explained in the method, we randomly selected 10 lanes for each “subtype” </w: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 </w:instrTex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EN.CITE.DATA </w:instrText>
      </w:r>
      <w:r>
        <w:fldChar w:fldCharType="end"/>
      </w:r>
      <w:r>
        <w:fldChar w:fldCharType="separate"/>
      </w:r>
      <w:r>
        <w:rPr>
          <w:noProof/>
        </w:rPr>
        <w:t>(</w:t>
      </w:r>
      <w:hyperlink w:anchor="_ENREF_7" w:tooltip="Perou, 2000 #24" w:history="1">
        <w:r w:rsidR="0005385D">
          <w:rPr>
            <w:noProof/>
          </w:rPr>
          <w:t>Perou, Sorlie et al. 2000</w:t>
        </w:r>
      </w:hyperlink>
      <w:r>
        <w:rPr>
          <w:noProof/>
        </w:rPr>
        <w:t>)</w:t>
      </w:r>
      <w:r>
        <w:fldChar w:fldCharType="end"/>
      </w:r>
      <w:r>
        <w:t xml:space="preserve"> and made balanced data of four clinical classified subtypes plus control.  Our EPIG-seq worked well on the real data and extracted patterns containing representing gene profiles (see supplemental</w:t>
      </w:r>
      <w:r w:rsidR="00565965">
        <w:t xml:space="preserve"> figure xxx</w:t>
      </w:r>
      <w:r>
        <w:t xml:space="preserve">). </w:t>
      </w:r>
      <w:r w:rsidR="00004D44">
        <w:t>Since</w:t>
      </w:r>
      <w:r>
        <w:t xml:space="preserve"> </w:t>
      </w:r>
      <w:r w:rsidR="00004D44">
        <w:t>the</w:t>
      </w:r>
      <w:r>
        <w:t xml:space="preserve"> datasets were randomly selected from </w:t>
      </w:r>
      <w:r w:rsidR="00004D44">
        <w:t>the pool, there were known and unknown factors that could introduce noises into the results. We adopted AMI to assess the similarity between the cluster</w:t>
      </w:r>
      <w:r w:rsidR="00565965">
        <w:t>ing</w:t>
      </w:r>
      <w:r w:rsidR="00004D44">
        <w:t xml:space="preserve"> results, a.k.a. EPIG-Seq results obtained from each dataset.</w:t>
      </w:r>
      <w:r w:rsidR="00565965">
        <w:t xml:space="preserve"> From the clustering comparison (table 4), fairly low pair-wide AMI were observed, though comparisons between dataset1 and dataset3, between dataset2 and dataset3 scored 0.464 and 0.461 respectively. </w:t>
      </w:r>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pPr>
      <w:r>
        <w:t xml:space="preserve">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EPIG-Seq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0B6F3F53" w14:textId="45DD1D1B" w:rsidR="00ED7753" w:rsidRPr="00ED7753" w:rsidRDefault="00ED7753" w:rsidP="00DC4540">
      <w:pPr>
        <w:spacing w:line="360" w:lineRule="auto"/>
        <w:rPr>
          <w:b/>
        </w:rPr>
      </w:pPr>
      <w:r w:rsidRPr="00ED7753">
        <w:rPr>
          <w:b/>
        </w:rPr>
        <w:t>Briefly mention the comparison to SAMseq and DEseq</w:t>
      </w:r>
    </w:p>
    <w:p w14:paraId="0923DD08" w14:textId="77777777" w:rsidR="00ED7753" w:rsidRDefault="00ED7753" w:rsidP="00ED7753">
      <w:pPr>
        <w:spacing w:line="360" w:lineRule="auto"/>
      </w:pPr>
      <w:r>
        <w:t xml:space="preserve">To show the validity of the newly proposed EPIG-Seq method, we compared two highly regarded count level RNA-Seq analysis method: DEseq and SAMseq; we also compared the analysis with the EPIG on the </w:t>
      </w:r>
      <w:r>
        <w:lastRenderedPageBreak/>
        <w:t>RPM normalized data and ORIGEN on the squared rooted count data. To better address the advantages and disadvantages, all the comparison was performed on the aforementioned simulated dataset with known expected expression values. In the DEseq comparison, we followed author’s suggestion (ref) using “pooled” method to estimate the dispersion while using the locfit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DEseq performed reasonably well in term of recovering the known DEGs, obviously, the co-expressed genes that primarily make the pattern 3 &amp; 4 were easily missed with the pair-wise comparisons.</w:t>
      </w:r>
    </w:p>
    <w:p w14:paraId="3FE33B85" w14:textId="77777777" w:rsidR="00ED7753" w:rsidRDefault="00ED7753" w:rsidP="00ED7753">
      <w:pPr>
        <w:spacing w:line="360" w:lineRule="auto"/>
      </w:pPr>
      <w:r>
        <w:t xml:space="preserve">SAMseq (ref) is anther efficient non-parametric testing methods extended from its </w:t>
      </w:r>
      <w:r w:rsidRPr="00864523">
        <w:t xml:space="preserve">predecessor </w:t>
      </w:r>
      <w:r>
        <w:t xml:space="preserve">SAM (ref) to directly apply to count level RNA-seq data. We compared the analysis with SAMseq using the mutli-class comparison with default parameter setting at FDR = 0.20. As expected, SAMseq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SAMseq reported 1035 DEGs (data now shown), and it again included all those 1000 simulated genes that made up the first five informative patterns. When we re-visited the method comparison metrics (table xx), SAMseq used similar approaches in its main statistical assumption, except the CYs as the correlation measurement in. It also is also proved very efficient on our simulated RNA-seq data.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lastRenderedPageBreak/>
        <w:t>We thank the MicroArray Quality Control</w:t>
      </w:r>
      <w:r w:rsidR="00B276BE">
        <w:t xml:space="preserve"> phase </w:t>
      </w:r>
      <w:r>
        <w:t xml:space="preserve">III (MAQC-III) Sequence Quality Control (SEQC) toxicogenomics working group members (TGxSEQC) Weida Tong, Charles Wang, Joshua Xu, Binsheng Gong and Zhenqiang Su for contributing the RNA-Seq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4E3FDF16" w14:textId="77777777" w:rsidR="0005385D" w:rsidRPr="0005385D" w:rsidRDefault="00AE2D88" w:rsidP="0005385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05385D" w:rsidRPr="0005385D">
        <w:rPr>
          <w:rFonts w:ascii="Calibri" w:hAnsi="Calibri"/>
          <w:noProof/>
        </w:rPr>
        <w:t xml:space="preserve">(2012). "Comprehensive molecular portraits of human breast tumours." </w:t>
      </w:r>
      <w:r w:rsidR="0005385D" w:rsidRPr="0005385D">
        <w:rPr>
          <w:rFonts w:ascii="Calibri" w:hAnsi="Calibri"/>
          <w:noProof/>
          <w:u w:val="single"/>
        </w:rPr>
        <w:t>Nature</w:t>
      </w:r>
      <w:r w:rsidR="0005385D" w:rsidRPr="0005385D">
        <w:rPr>
          <w:rFonts w:ascii="Calibri" w:hAnsi="Calibri"/>
          <w:noProof/>
        </w:rPr>
        <w:t xml:space="preserve"> </w:t>
      </w:r>
      <w:r w:rsidR="0005385D" w:rsidRPr="0005385D">
        <w:rPr>
          <w:rFonts w:ascii="Calibri" w:hAnsi="Calibri"/>
          <w:b/>
          <w:noProof/>
        </w:rPr>
        <w:t>490</w:t>
      </w:r>
      <w:r w:rsidR="0005385D" w:rsidRPr="0005385D">
        <w:rPr>
          <w:rFonts w:ascii="Calibri" w:hAnsi="Calibri"/>
          <w:noProof/>
        </w:rPr>
        <w:t>(7418): 61-70.</w:t>
      </w:r>
      <w:bookmarkEnd w:id="1"/>
    </w:p>
    <w:p w14:paraId="4EDE1EB7" w14:textId="77777777" w:rsidR="0005385D" w:rsidRPr="0005385D" w:rsidRDefault="0005385D" w:rsidP="0005385D">
      <w:pPr>
        <w:spacing w:after="0" w:line="240" w:lineRule="auto"/>
        <w:ind w:left="720" w:hanging="720"/>
        <w:jc w:val="center"/>
        <w:rPr>
          <w:rFonts w:ascii="Calibri" w:hAnsi="Calibri"/>
          <w:noProof/>
        </w:rPr>
      </w:pPr>
      <w:bookmarkStart w:id="2" w:name="_ENREF_2"/>
      <w:r w:rsidRPr="0005385D">
        <w:rPr>
          <w:rFonts w:ascii="Calibri" w:hAnsi="Calibri"/>
          <w:noProof/>
        </w:rPr>
        <w:t xml:space="preserve">Anders, S. and W. Huber (2010). "Differential expression analysis for sequence count data." </w:t>
      </w:r>
      <w:r w:rsidRPr="0005385D">
        <w:rPr>
          <w:rFonts w:ascii="Calibri" w:hAnsi="Calibri"/>
          <w:noProof/>
          <w:u w:val="single"/>
        </w:rPr>
        <w:t>Genome biology</w:t>
      </w:r>
      <w:r w:rsidRPr="0005385D">
        <w:rPr>
          <w:rFonts w:ascii="Calibri" w:hAnsi="Calibri"/>
          <w:noProof/>
        </w:rPr>
        <w:t xml:space="preserve"> </w:t>
      </w:r>
      <w:r w:rsidRPr="0005385D">
        <w:rPr>
          <w:rFonts w:ascii="Calibri" w:hAnsi="Calibri"/>
          <w:b/>
          <w:noProof/>
        </w:rPr>
        <w:t>11</w:t>
      </w:r>
      <w:r w:rsidRPr="0005385D">
        <w:rPr>
          <w:rFonts w:ascii="Calibri" w:hAnsi="Calibri"/>
          <w:noProof/>
        </w:rPr>
        <w:t>(10): R106.</w:t>
      </w:r>
      <w:bookmarkEnd w:id="2"/>
    </w:p>
    <w:p w14:paraId="048A90AD" w14:textId="77777777" w:rsidR="0005385D" w:rsidRPr="0005385D" w:rsidRDefault="0005385D" w:rsidP="0005385D">
      <w:pPr>
        <w:spacing w:after="0" w:line="240" w:lineRule="auto"/>
        <w:ind w:left="720" w:hanging="720"/>
        <w:jc w:val="center"/>
        <w:rPr>
          <w:rFonts w:ascii="Calibri" w:hAnsi="Calibri"/>
          <w:noProof/>
        </w:rPr>
      </w:pPr>
      <w:bookmarkStart w:id="3" w:name="_ENREF_3"/>
      <w:r w:rsidRPr="0005385D">
        <w:rPr>
          <w:rFonts w:ascii="Calibri" w:hAnsi="Calibri"/>
          <w:noProof/>
        </w:rPr>
        <w:t xml:space="preserve">Cao, Y., W. P. Williams, et al. (1997). "Similarity Measure Bias in River Benthic Aufwuchs Community Analysis." </w:t>
      </w:r>
      <w:r w:rsidRPr="0005385D">
        <w:rPr>
          <w:rFonts w:ascii="Calibri" w:hAnsi="Calibri"/>
          <w:noProof/>
          <w:u w:val="single"/>
        </w:rPr>
        <w:t>Water Environment Research</w:t>
      </w:r>
      <w:r w:rsidRPr="0005385D">
        <w:rPr>
          <w:rFonts w:ascii="Calibri" w:hAnsi="Calibri"/>
          <w:noProof/>
        </w:rPr>
        <w:t xml:space="preserve"> </w:t>
      </w:r>
      <w:r w:rsidRPr="0005385D">
        <w:rPr>
          <w:rFonts w:ascii="Calibri" w:hAnsi="Calibri"/>
          <w:b/>
          <w:noProof/>
        </w:rPr>
        <w:t>69</w:t>
      </w:r>
      <w:r w:rsidRPr="0005385D">
        <w:rPr>
          <w:rFonts w:ascii="Calibri" w:hAnsi="Calibri"/>
          <w:noProof/>
        </w:rPr>
        <w:t>(1): 95-106.</w:t>
      </w:r>
      <w:bookmarkEnd w:id="3"/>
    </w:p>
    <w:p w14:paraId="14C35B1D" w14:textId="77777777" w:rsidR="0005385D" w:rsidRPr="0005385D" w:rsidRDefault="0005385D" w:rsidP="0005385D">
      <w:pPr>
        <w:spacing w:after="0" w:line="240" w:lineRule="auto"/>
        <w:ind w:left="720" w:hanging="720"/>
        <w:jc w:val="center"/>
        <w:rPr>
          <w:rFonts w:ascii="Calibri" w:hAnsi="Calibri"/>
          <w:noProof/>
        </w:rPr>
      </w:pPr>
      <w:bookmarkStart w:id="4" w:name="_ENREF_4"/>
      <w:r w:rsidRPr="0005385D">
        <w:rPr>
          <w:rFonts w:ascii="Calibri" w:hAnsi="Calibri"/>
          <w:noProof/>
        </w:rPr>
        <w:t xml:space="preserve">Chou, J. W., T. Zhou, et al. (2007). "Extracting gene expression patterns and identifying co-expressed genes from microarray data reveals biologically responsive processes."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8</w:t>
      </w:r>
      <w:r w:rsidRPr="0005385D">
        <w:rPr>
          <w:rFonts w:ascii="Calibri" w:hAnsi="Calibri"/>
          <w:noProof/>
        </w:rPr>
        <w:t>: 427.</w:t>
      </w:r>
      <w:bookmarkEnd w:id="4"/>
    </w:p>
    <w:p w14:paraId="664FF6FA" w14:textId="77777777" w:rsidR="0005385D" w:rsidRPr="0005385D" w:rsidRDefault="0005385D" w:rsidP="0005385D">
      <w:pPr>
        <w:spacing w:after="0" w:line="240" w:lineRule="auto"/>
        <w:ind w:left="720" w:hanging="720"/>
        <w:jc w:val="center"/>
        <w:rPr>
          <w:rFonts w:ascii="Calibri" w:hAnsi="Calibri"/>
          <w:noProof/>
        </w:rPr>
      </w:pPr>
      <w:bookmarkStart w:id="5" w:name="_ENREF_5"/>
      <w:r w:rsidRPr="0005385D">
        <w:rPr>
          <w:rFonts w:ascii="Calibri" w:hAnsi="Calibri"/>
          <w:noProof/>
        </w:rPr>
        <w:t xml:space="preserve">Hollander, M. W., Douglas A. ;Chicken, Eric (2013). </w:t>
      </w:r>
      <w:r w:rsidRPr="0005385D">
        <w:rPr>
          <w:rFonts w:ascii="Calibri" w:hAnsi="Calibri"/>
          <w:noProof/>
          <w:u w:val="single"/>
        </w:rPr>
        <w:t>Nonparametric Statistical Methods</w:t>
      </w:r>
      <w:r w:rsidRPr="0005385D">
        <w:rPr>
          <w:rFonts w:ascii="Calibri" w:hAnsi="Calibri"/>
          <w:noProof/>
        </w:rPr>
        <w:t>, John Wiley &amp; Sons.</w:t>
      </w:r>
      <w:bookmarkEnd w:id="5"/>
    </w:p>
    <w:p w14:paraId="534876DA" w14:textId="77777777" w:rsidR="0005385D" w:rsidRPr="0005385D" w:rsidRDefault="0005385D" w:rsidP="0005385D">
      <w:pPr>
        <w:spacing w:after="0" w:line="240" w:lineRule="auto"/>
        <w:ind w:left="720" w:hanging="720"/>
        <w:jc w:val="center"/>
        <w:rPr>
          <w:rFonts w:ascii="Calibri" w:hAnsi="Calibri"/>
          <w:noProof/>
        </w:rPr>
      </w:pPr>
      <w:bookmarkStart w:id="6" w:name="_ENREF_6"/>
      <w:r w:rsidRPr="0005385D">
        <w:rPr>
          <w:rFonts w:ascii="Calibri" w:hAnsi="Calibri"/>
          <w:noProof/>
        </w:rPr>
        <w:t xml:space="preserve">Parker, J. S., M. Mullins, et al. (2009). "Supervised risk predictor of breast cancer based on intrinsic subtypes." </w:t>
      </w:r>
      <w:r w:rsidRPr="0005385D">
        <w:rPr>
          <w:rFonts w:ascii="Calibri" w:hAnsi="Calibri"/>
          <w:noProof/>
          <w:u w:val="single"/>
        </w:rPr>
        <w:t>Journal of clinical oncology : official journal of the American Society of Clinical Oncology</w:t>
      </w:r>
      <w:r w:rsidRPr="0005385D">
        <w:rPr>
          <w:rFonts w:ascii="Calibri" w:hAnsi="Calibri"/>
          <w:noProof/>
        </w:rPr>
        <w:t xml:space="preserve"> </w:t>
      </w:r>
      <w:r w:rsidRPr="0005385D">
        <w:rPr>
          <w:rFonts w:ascii="Calibri" w:hAnsi="Calibri"/>
          <w:b/>
          <w:noProof/>
        </w:rPr>
        <w:t>27</w:t>
      </w:r>
      <w:r w:rsidRPr="0005385D">
        <w:rPr>
          <w:rFonts w:ascii="Calibri" w:hAnsi="Calibri"/>
          <w:noProof/>
        </w:rPr>
        <w:t>(8): 1160-1167.</w:t>
      </w:r>
      <w:bookmarkEnd w:id="6"/>
    </w:p>
    <w:p w14:paraId="2AF32F73" w14:textId="77777777" w:rsidR="0005385D" w:rsidRPr="0005385D" w:rsidRDefault="0005385D" w:rsidP="0005385D">
      <w:pPr>
        <w:spacing w:after="0" w:line="240" w:lineRule="auto"/>
        <w:ind w:left="720" w:hanging="720"/>
        <w:jc w:val="center"/>
        <w:rPr>
          <w:rFonts w:ascii="Calibri" w:hAnsi="Calibri"/>
          <w:noProof/>
        </w:rPr>
      </w:pPr>
      <w:bookmarkStart w:id="7" w:name="_ENREF_7"/>
      <w:r w:rsidRPr="0005385D">
        <w:rPr>
          <w:rFonts w:ascii="Calibri" w:hAnsi="Calibri"/>
          <w:noProof/>
        </w:rPr>
        <w:t xml:space="preserve">Perou, C. M., T. Sorlie, et al. (2000). "Molecular portraits of human breast tumours." </w:t>
      </w:r>
      <w:r w:rsidRPr="0005385D">
        <w:rPr>
          <w:rFonts w:ascii="Calibri" w:hAnsi="Calibri"/>
          <w:noProof/>
          <w:u w:val="single"/>
        </w:rPr>
        <w:t>Nature</w:t>
      </w:r>
      <w:r w:rsidRPr="0005385D">
        <w:rPr>
          <w:rFonts w:ascii="Calibri" w:hAnsi="Calibri"/>
          <w:noProof/>
        </w:rPr>
        <w:t xml:space="preserve"> </w:t>
      </w:r>
      <w:r w:rsidRPr="0005385D">
        <w:rPr>
          <w:rFonts w:ascii="Calibri" w:hAnsi="Calibri"/>
          <w:b/>
          <w:noProof/>
        </w:rPr>
        <w:t>406</w:t>
      </w:r>
      <w:r w:rsidRPr="0005385D">
        <w:rPr>
          <w:rFonts w:ascii="Calibri" w:hAnsi="Calibri"/>
          <w:noProof/>
        </w:rPr>
        <w:t>(6797): 747-752.</w:t>
      </w:r>
      <w:bookmarkEnd w:id="7"/>
    </w:p>
    <w:p w14:paraId="573A15D0" w14:textId="77777777" w:rsidR="0005385D" w:rsidRPr="0005385D" w:rsidRDefault="0005385D" w:rsidP="0005385D">
      <w:pPr>
        <w:spacing w:after="0" w:line="240" w:lineRule="auto"/>
        <w:ind w:left="720" w:hanging="720"/>
        <w:jc w:val="center"/>
        <w:rPr>
          <w:rFonts w:ascii="Calibri" w:hAnsi="Calibri"/>
          <w:noProof/>
        </w:rPr>
      </w:pPr>
      <w:bookmarkStart w:id="8" w:name="_ENREF_8"/>
      <w:r w:rsidRPr="0005385D">
        <w:rPr>
          <w:rFonts w:ascii="Calibri" w:hAnsi="Calibri"/>
          <w:noProof/>
        </w:rPr>
        <w:t xml:space="preserve">Rand, W. M. (1971). "Objective criteria for the evaluation of clustering methods." </w:t>
      </w:r>
      <w:r w:rsidRPr="0005385D">
        <w:rPr>
          <w:rFonts w:ascii="Calibri" w:hAnsi="Calibri"/>
          <w:noProof/>
          <w:u w:val="single"/>
        </w:rPr>
        <w:t>Journal of the American Statistical Association</w:t>
      </w:r>
      <w:r w:rsidRPr="0005385D">
        <w:rPr>
          <w:rFonts w:ascii="Calibri" w:hAnsi="Calibri"/>
          <w:noProof/>
        </w:rPr>
        <w:t xml:space="preserve"> </w:t>
      </w:r>
      <w:r w:rsidRPr="0005385D">
        <w:rPr>
          <w:rFonts w:ascii="Calibri" w:hAnsi="Calibri"/>
          <w:b/>
          <w:noProof/>
        </w:rPr>
        <w:t>66</w:t>
      </w:r>
      <w:r w:rsidRPr="0005385D">
        <w:rPr>
          <w:rFonts w:ascii="Calibri" w:hAnsi="Calibri"/>
          <w:noProof/>
        </w:rPr>
        <w:t>(336): 846-850.</w:t>
      </w:r>
      <w:bookmarkEnd w:id="8"/>
    </w:p>
    <w:p w14:paraId="0E1DAC27" w14:textId="77777777" w:rsidR="0005385D" w:rsidRPr="0005385D" w:rsidRDefault="0005385D" w:rsidP="0005385D">
      <w:pPr>
        <w:spacing w:after="0" w:line="240" w:lineRule="auto"/>
        <w:ind w:left="720" w:hanging="720"/>
        <w:jc w:val="center"/>
        <w:rPr>
          <w:rFonts w:ascii="Calibri" w:hAnsi="Calibri"/>
          <w:noProof/>
        </w:rPr>
      </w:pPr>
      <w:bookmarkStart w:id="9" w:name="_ENREF_9"/>
      <w:r w:rsidRPr="0005385D">
        <w:rPr>
          <w:rFonts w:ascii="Calibri" w:hAnsi="Calibri"/>
          <w:noProof/>
        </w:rPr>
        <w:t xml:space="preserve">Romano, S. B., James; Vinh, Nguyen xuan; Verspoorr, Karin (2014). "Standardized Mutual Information for Clustering Comparisons: One Step Further in Adjustment for Chance." </w:t>
      </w:r>
      <w:r w:rsidRPr="0005385D">
        <w:rPr>
          <w:rFonts w:ascii="Calibri" w:hAnsi="Calibri"/>
          <w:noProof/>
          <w:u w:val="single"/>
        </w:rPr>
        <w:t>Proceedings of the 31st International Conference on Machine Learning, Beijing, China. JMLR: W&amp;CP</w:t>
      </w:r>
      <w:r w:rsidRPr="0005385D">
        <w:rPr>
          <w:rFonts w:ascii="Calibri" w:hAnsi="Calibri"/>
          <w:noProof/>
        </w:rPr>
        <w:t xml:space="preserve"> </w:t>
      </w:r>
      <w:r w:rsidRPr="0005385D">
        <w:rPr>
          <w:rFonts w:ascii="Calibri" w:hAnsi="Calibri"/>
          <w:b/>
          <w:noProof/>
        </w:rPr>
        <w:t>32</w:t>
      </w:r>
      <w:r w:rsidRPr="0005385D">
        <w:rPr>
          <w:rFonts w:ascii="Calibri" w:hAnsi="Calibri"/>
          <w:noProof/>
        </w:rPr>
        <w:t>.</w:t>
      </w:r>
      <w:bookmarkEnd w:id="9"/>
    </w:p>
    <w:p w14:paraId="78782C67" w14:textId="77777777" w:rsidR="0005385D" w:rsidRPr="0005385D" w:rsidRDefault="0005385D" w:rsidP="0005385D">
      <w:pPr>
        <w:spacing w:after="0" w:line="240" w:lineRule="auto"/>
        <w:ind w:left="720" w:hanging="720"/>
        <w:jc w:val="center"/>
        <w:rPr>
          <w:rFonts w:ascii="Calibri" w:hAnsi="Calibri"/>
          <w:noProof/>
        </w:rPr>
      </w:pPr>
      <w:bookmarkStart w:id="10" w:name="_ENREF_10"/>
      <w:r w:rsidRPr="0005385D">
        <w:rPr>
          <w:rFonts w:ascii="Calibri" w:hAnsi="Calibri"/>
          <w:noProof/>
        </w:rPr>
        <w:t xml:space="preserve">Soneson, C. and M. Delorenzi (2013). "A comparison of methods for differential expression analysis of RNA-seq data."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14</w:t>
      </w:r>
      <w:r w:rsidRPr="0005385D">
        <w:rPr>
          <w:rFonts w:ascii="Calibri" w:hAnsi="Calibri"/>
          <w:noProof/>
        </w:rPr>
        <w:t>: 91.</w:t>
      </w:r>
      <w:bookmarkEnd w:id="10"/>
    </w:p>
    <w:p w14:paraId="122998E3" w14:textId="77777777" w:rsidR="0005385D" w:rsidRPr="0005385D" w:rsidRDefault="0005385D" w:rsidP="0005385D">
      <w:pPr>
        <w:spacing w:line="240" w:lineRule="auto"/>
        <w:ind w:left="720" w:hanging="720"/>
        <w:jc w:val="center"/>
        <w:rPr>
          <w:rFonts w:ascii="Calibri" w:hAnsi="Calibri"/>
          <w:noProof/>
        </w:rPr>
      </w:pPr>
      <w:bookmarkStart w:id="11" w:name="_ENREF_11"/>
      <w:r w:rsidRPr="0005385D">
        <w:rPr>
          <w:rFonts w:ascii="Calibri" w:hAnsi="Calibri"/>
          <w:noProof/>
        </w:rPr>
        <w:t xml:space="preserve">Sorlie, T., C. M. Perou, et al. (2001). "Gene expression patterns of breast carcinomas distinguish tumor subclasses with clinical implications." </w:t>
      </w:r>
      <w:r w:rsidRPr="0005385D">
        <w:rPr>
          <w:rFonts w:ascii="Calibri" w:hAnsi="Calibri"/>
          <w:noProof/>
          <w:u w:val="single"/>
        </w:rPr>
        <w:t>Proceedings of the National Academy of Sciences of the United States of America</w:t>
      </w:r>
      <w:r w:rsidRPr="0005385D">
        <w:rPr>
          <w:rFonts w:ascii="Calibri" w:hAnsi="Calibri"/>
          <w:noProof/>
        </w:rPr>
        <w:t xml:space="preserve"> </w:t>
      </w:r>
      <w:r w:rsidRPr="0005385D">
        <w:rPr>
          <w:rFonts w:ascii="Calibri" w:hAnsi="Calibri"/>
          <w:b/>
          <w:noProof/>
        </w:rPr>
        <w:t>98</w:t>
      </w:r>
      <w:r w:rsidRPr="0005385D">
        <w:rPr>
          <w:rFonts w:ascii="Calibri" w:hAnsi="Calibri"/>
          <w:noProof/>
        </w:rPr>
        <w:t>(19): 10869-10874.</w:t>
      </w:r>
      <w:bookmarkEnd w:id="11"/>
    </w:p>
    <w:p w14:paraId="1D545DBF" w14:textId="4FB29C78" w:rsidR="0005385D" w:rsidRDefault="0005385D" w:rsidP="0005385D">
      <w:pPr>
        <w:spacing w:line="240" w:lineRule="auto"/>
        <w:jc w:val="center"/>
        <w:rPr>
          <w:rFonts w:ascii="Calibri" w:hAnsi="Calibri"/>
          <w:noProof/>
        </w:rPr>
      </w:pPr>
    </w:p>
    <w:p w14:paraId="656444A1" w14:textId="14084BE5" w:rsidR="0019524D" w:rsidRDefault="00AE2D88" w:rsidP="00D62691">
      <w:r>
        <w:fldChar w:fldCharType="end"/>
      </w: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016887" w:rsidRDefault="00016887" w:rsidP="00DE16E4">
      <w:pPr>
        <w:spacing w:after="0" w:line="240" w:lineRule="auto"/>
      </w:pPr>
      <w:r>
        <w:separator/>
      </w:r>
    </w:p>
  </w:endnote>
  <w:endnote w:type="continuationSeparator" w:id="0">
    <w:p w14:paraId="21686892" w14:textId="77777777" w:rsidR="00016887" w:rsidRDefault="0001688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016887" w:rsidRDefault="00016887" w:rsidP="00DE16E4">
      <w:pPr>
        <w:spacing w:after="0" w:line="240" w:lineRule="auto"/>
      </w:pPr>
      <w:r>
        <w:separator/>
      </w:r>
    </w:p>
  </w:footnote>
  <w:footnote w:type="continuationSeparator" w:id="0">
    <w:p w14:paraId="46D72539" w14:textId="77777777" w:rsidR="00016887" w:rsidRDefault="00016887"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epigseq_ref&lt;record-ids&gt;&lt;item&gt;12&lt;/item&gt;&lt;item&gt;13&lt;/item&gt;&lt;/record-ids&gt;&lt;/item&gt;&lt;/Libraries&gt;"/>
  </w:docVars>
  <w:rsids>
    <w:rsidRoot w:val="002C3AB0"/>
    <w:rsid w:val="000016D8"/>
    <w:rsid w:val="00002B2D"/>
    <w:rsid w:val="00004D44"/>
    <w:rsid w:val="00005322"/>
    <w:rsid w:val="0000652D"/>
    <w:rsid w:val="0001398A"/>
    <w:rsid w:val="000158F6"/>
    <w:rsid w:val="00016887"/>
    <w:rsid w:val="000237FD"/>
    <w:rsid w:val="00025592"/>
    <w:rsid w:val="00037AEB"/>
    <w:rsid w:val="00042ACE"/>
    <w:rsid w:val="00042D59"/>
    <w:rsid w:val="0004338C"/>
    <w:rsid w:val="000520E5"/>
    <w:rsid w:val="0005252A"/>
    <w:rsid w:val="0005362E"/>
    <w:rsid w:val="0005385D"/>
    <w:rsid w:val="00057504"/>
    <w:rsid w:val="00060D03"/>
    <w:rsid w:val="000646D4"/>
    <w:rsid w:val="00065344"/>
    <w:rsid w:val="00066658"/>
    <w:rsid w:val="00070311"/>
    <w:rsid w:val="000740C5"/>
    <w:rsid w:val="00074E3C"/>
    <w:rsid w:val="000753E9"/>
    <w:rsid w:val="00077DDD"/>
    <w:rsid w:val="00083D60"/>
    <w:rsid w:val="000866FD"/>
    <w:rsid w:val="00091737"/>
    <w:rsid w:val="00093C99"/>
    <w:rsid w:val="000A1302"/>
    <w:rsid w:val="000A63A1"/>
    <w:rsid w:val="000A6CD3"/>
    <w:rsid w:val="000A7646"/>
    <w:rsid w:val="000A7A4E"/>
    <w:rsid w:val="000B4121"/>
    <w:rsid w:val="000B5E82"/>
    <w:rsid w:val="000C18B6"/>
    <w:rsid w:val="000C53C7"/>
    <w:rsid w:val="000C5728"/>
    <w:rsid w:val="000D001C"/>
    <w:rsid w:val="000D1626"/>
    <w:rsid w:val="000E146E"/>
    <w:rsid w:val="000E3C38"/>
    <w:rsid w:val="000E79F1"/>
    <w:rsid w:val="000F19F9"/>
    <w:rsid w:val="000F7972"/>
    <w:rsid w:val="000F7B60"/>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57EB6"/>
    <w:rsid w:val="001615A8"/>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4673"/>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045D"/>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B5B7B"/>
    <w:rsid w:val="003C5C99"/>
    <w:rsid w:val="003C736E"/>
    <w:rsid w:val="003D17F8"/>
    <w:rsid w:val="003D27D2"/>
    <w:rsid w:val="003F701B"/>
    <w:rsid w:val="00401396"/>
    <w:rsid w:val="00443FEA"/>
    <w:rsid w:val="004473D5"/>
    <w:rsid w:val="00454182"/>
    <w:rsid w:val="004625CD"/>
    <w:rsid w:val="00464DFA"/>
    <w:rsid w:val="0046675B"/>
    <w:rsid w:val="00470339"/>
    <w:rsid w:val="00480870"/>
    <w:rsid w:val="00486F6F"/>
    <w:rsid w:val="00490DB6"/>
    <w:rsid w:val="004910B2"/>
    <w:rsid w:val="00492D75"/>
    <w:rsid w:val="0049530B"/>
    <w:rsid w:val="004A33A5"/>
    <w:rsid w:val="004A3A60"/>
    <w:rsid w:val="004A4926"/>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267D"/>
    <w:rsid w:val="0052335F"/>
    <w:rsid w:val="005272D1"/>
    <w:rsid w:val="00530201"/>
    <w:rsid w:val="0053308D"/>
    <w:rsid w:val="00533FB7"/>
    <w:rsid w:val="00534E23"/>
    <w:rsid w:val="00535D89"/>
    <w:rsid w:val="00545C4A"/>
    <w:rsid w:val="00546063"/>
    <w:rsid w:val="00546B39"/>
    <w:rsid w:val="005476A3"/>
    <w:rsid w:val="00552C5C"/>
    <w:rsid w:val="0056319A"/>
    <w:rsid w:val="00565965"/>
    <w:rsid w:val="005734E0"/>
    <w:rsid w:val="0057497C"/>
    <w:rsid w:val="005757EC"/>
    <w:rsid w:val="0057601B"/>
    <w:rsid w:val="005814E2"/>
    <w:rsid w:val="00585858"/>
    <w:rsid w:val="0058610B"/>
    <w:rsid w:val="00590BA2"/>
    <w:rsid w:val="00590D3E"/>
    <w:rsid w:val="00595428"/>
    <w:rsid w:val="005A6CE1"/>
    <w:rsid w:val="005B00B2"/>
    <w:rsid w:val="005B07FC"/>
    <w:rsid w:val="005B15E0"/>
    <w:rsid w:val="005B2BB6"/>
    <w:rsid w:val="005B396E"/>
    <w:rsid w:val="005C5422"/>
    <w:rsid w:val="005C7403"/>
    <w:rsid w:val="005D1058"/>
    <w:rsid w:val="005D1CE3"/>
    <w:rsid w:val="005D7E9C"/>
    <w:rsid w:val="005E1994"/>
    <w:rsid w:val="005E2B9F"/>
    <w:rsid w:val="005E3787"/>
    <w:rsid w:val="005E3CCF"/>
    <w:rsid w:val="005F0335"/>
    <w:rsid w:val="005F175F"/>
    <w:rsid w:val="005F320C"/>
    <w:rsid w:val="0060281C"/>
    <w:rsid w:val="00613657"/>
    <w:rsid w:val="00614420"/>
    <w:rsid w:val="006200EC"/>
    <w:rsid w:val="00622187"/>
    <w:rsid w:val="00624A7A"/>
    <w:rsid w:val="006341C2"/>
    <w:rsid w:val="0064218B"/>
    <w:rsid w:val="006422A6"/>
    <w:rsid w:val="00654249"/>
    <w:rsid w:val="00656392"/>
    <w:rsid w:val="0066190D"/>
    <w:rsid w:val="00662AC3"/>
    <w:rsid w:val="006650C9"/>
    <w:rsid w:val="00665368"/>
    <w:rsid w:val="0066735E"/>
    <w:rsid w:val="0066790D"/>
    <w:rsid w:val="006702B8"/>
    <w:rsid w:val="00670867"/>
    <w:rsid w:val="00672C0C"/>
    <w:rsid w:val="00674753"/>
    <w:rsid w:val="006813E1"/>
    <w:rsid w:val="00686AAB"/>
    <w:rsid w:val="00692176"/>
    <w:rsid w:val="00692A65"/>
    <w:rsid w:val="00695156"/>
    <w:rsid w:val="00697487"/>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0C2D"/>
    <w:rsid w:val="008216FE"/>
    <w:rsid w:val="00826ED3"/>
    <w:rsid w:val="00832590"/>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97298"/>
    <w:rsid w:val="008B594F"/>
    <w:rsid w:val="008C201C"/>
    <w:rsid w:val="008C5EDA"/>
    <w:rsid w:val="008C643D"/>
    <w:rsid w:val="008D0123"/>
    <w:rsid w:val="008D2A92"/>
    <w:rsid w:val="008D6994"/>
    <w:rsid w:val="008E1A4B"/>
    <w:rsid w:val="008F1F70"/>
    <w:rsid w:val="0090194A"/>
    <w:rsid w:val="00903F6A"/>
    <w:rsid w:val="00930BDA"/>
    <w:rsid w:val="00931797"/>
    <w:rsid w:val="00932093"/>
    <w:rsid w:val="0093244E"/>
    <w:rsid w:val="00933ABB"/>
    <w:rsid w:val="00934601"/>
    <w:rsid w:val="00935EA3"/>
    <w:rsid w:val="00936700"/>
    <w:rsid w:val="0094348F"/>
    <w:rsid w:val="00947119"/>
    <w:rsid w:val="0094755B"/>
    <w:rsid w:val="009504E9"/>
    <w:rsid w:val="00951BC6"/>
    <w:rsid w:val="0095235D"/>
    <w:rsid w:val="009602DD"/>
    <w:rsid w:val="00960C98"/>
    <w:rsid w:val="00966BBE"/>
    <w:rsid w:val="009733F2"/>
    <w:rsid w:val="0097491E"/>
    <w:rsid w:val="0098252D"/>
    <w:rsid w:val="00987582"/>
    <w:rsid w:val="0099450E"/>
    <w:rsid w:val="00995BAA"/>
    <w:rsid w:val="009A4D76"/>
    <w:rsid w:val="009B067E"/>
    <w:rsid w:val="009B1807"/>
    <w:rsid w:val="009C3512"/>
    <w:rsid w:val="009C54B9"/>
    <w:rsid w:val="009C7DF2"/>
    <w:rsid w:val="009D3BED"/>
    <w:rsid w:val="009E1A8C"/>
    <w:rsid w:val="009E7B72"/>
    <w:rsid w:val="009F7338"/>
    <w:rsid w:val="00A00169"/>
    <w:rsid w:val="00A02EC1"/>
    <w:rsid w:val="00A05F0E"/>
    <w:rsid w:val="00A1230F"/>
    <w:rsid w:val="00A1697D"/>
    <w:rsid w:val="00A25824"/>
    <w:rsid w:val="00A2796A"/>
    <w:rsid w:val="00A31E26"/>
    <w:rsid w:val="00A36C74"/>
    <w:rsid w:val="00A36CD9"/>
    <w:rsid w:val="00A47881"/>
    <w:rsid w:val="00A52CF2"/>
    <w:rsid w:val="00A52E71"/>
    <w:rsid w:val="00A55DB9"/>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B3B77"/>
    <w:rsid w:val="00AB55D0"/>
    <w:rsid w:val="00AD4B63"/>
    <w:rsid w:val="00AD6F0C"/>
    <w:rsid w:val="00AD7111"/>
    <w:rsid w:val="00AD76DA"/>
    <w:rsid w:val="00AE2D88"/>
    <w:rsid w:val="00AE5B60"/>
    <w:rsid w:val="00B0116A"/>
    <w:rsid w:val="00B0131C"/>
    <w:rsid w:val="00B0636F"/>
    <w:rsid w:val="00B12FAF"/>
    <w:rsid w:val="00B151AF"/>
    <w:rsid w:val="00B24A4F"/>
    <w:rsid w:val="00B25935"/>
    <w:rsid w:val="00B276BE"/>
    <w:rsid w:val="00B306A1"/>
    <w:rsid w:val="00B354E7"/>
    <w:rsid w:val="00B35508"/>
    <w:rsid w:val="00B36FA6"/>
    <w:rsid w:val="00B42394"/>
    <w:rsid w:val="00B42CC4"/>
    <w:rsid w:val="00B45EC3"/>
    <w:rsid w:val="00B5224F"/>
    <w:rsid w:val="00B526A9"/>
    <w:rsid w:val="00B55935"/>
    <w:rsid w:val="00B55DFE"/>
    <w:rsid w:val="00B678EC"/>
    <w:rsid w:val="00B72CA1"/>
    <w:rsid w:val="00B8129A"/>
    <w:rsid w:val="00B83DFE"/>
    <w:rsid w:val="00B83FD2"/>
    <w:rsid w:val="00B856ED"/>
    <w:rsid w:val="00B90B94"/>
    <w:rsid w:val="00B9551C"/>
    <w:rsid w:val="00BA3230"/>
    <w:rsid w:val="00BB4C4B"/>
    <w:rsid w:val="00BC2B5B"/>
    <w:rsid w:val="00BC595C"/>
    <w:rsid w:val="00BD0FE7"/>
    <w:rsid w:val="00BF09D1"/>
    <w:rsid w:val="00C07E9F"/>
    <w:rsid w:val="00C248AB"/>
    <w:rsid w:val="00C27DAB"/>
    <w:rsid w:val="00C33E8F"/>
    <w:rsid w:val="00C35873"/>
    <w:rsid w:val="00C35FAB"/>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16818"/>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D0909"/>
    <w:rsid w:val="00DE16E4"/>
    <w:rsid w:val="00DE249A"/>
    <w:rsid w:val="00DF03B9"/>
    <w:rsid w:val="00DF0DE4"/>
    <w:rsid w:val="00DF2A8E"/>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D7753"/>
    <w:rsid w:val="00EE04DA"/>
    <w:rsid w:val="00EE5A1D"/>
    <w:rsid w:val="00EE5DE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32A7"/>
    <w:rsid w:val="00F7537F"/>
    <w:rsid w:val="00F8001E"/>
    <w:rsid w:val="00F87CBA"/>
    <w:rsid w:val="00FA03CC"/>
    <w:rsid w:val="00FA0F42"/>
    <w:rsid w:val="00FA2C68"/>
    <w:rsid w:val="00FB1EF4"/>
    <w:rsid w:val="00FB44B5"/>
    <w:rsid w:val="00FB4896"/>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8"/>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 w:id="826239299">
      <w:bodyDiv w:val="1"/>
      <w:marLeft w:val="0"/>
      <w:marRight w:val="0"/>
      <w:marTop w:val="0"/>
      <w:marBottom w:val="0"/>
      <w:divBdr>
        <w:top w:val="none" w:sz="0" w:space="0" w:color="auto"/>
        <w:left w:val="none" w:sz="0" w:space="0" w:color="auto"/>
        <w:bottom w:val="none" w:sz="0" w:space="0" w:color="auto"/>
        <w:right w:val="none" w:sz="0" w:space="0" w:color="auto"/>
      </w:divBdr>
    </w:div>
    <w:div w:id="1465125185">
      <w:bodyDiv w:val="1"/>
      <w:marLeft w:val="0"/>
      <w:marRight w:val="0"/>
      <w:marTop w:val="0"/>
      <w:marBottom w:val="0"/>
      <w:divBdr>
        <w:top w:val="none" w:sz="0" w:space="0" w:color="auto"/>
        <w:left w:val="none" w:sz="0" w:space="0" w:color="auto"/>
        <w:bottom w:val="none" w:sz="0" w:space="0" w:color="auto"/>
        <w:right w:val="none" w:sz="0" w:space="0" w:color="auto"/>
      </w:divBdr>
    </w:div>
    <w:div w:id="17346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image" Target="media/image44.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oleObject" Target="embeddings/oleObject1.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image" Target="media/image46.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image" Target="media/image45.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FC10F-03E3-4127-9CA7-58DABA00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7198</Words>
  <Characters>41035</Characters>
  <Application>Microsoft Office Word</Application>
  <DocSecurity>4</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2</cp:revision>
  <cp:lastPrinted>2014-11-06T18:49:00Z</cp:lastPrinted>
  <dcterms:created xsi:type="dcterms:W3CDTF">2015-02-25T21:28:00Z</dcterms:created>
  <dcterms:modified xsi:type="dcterms:W3CDTF">2015-02-25T21:28:00Z</dcterms:modified>
</cp:coreProperties>
</file>