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290" w:rsidRPr="00165909" w:rsidRDefault="007C1290" w:rsidP="00165909">
      <w:pPr>
        <w:spacing w:line="276" w:lineRule="auto"/>
        <w:jc w:val="center"/>
        <w:rPr>
          <w:rFonts w:ascii="Times New Roman" w:hAnsi="Times New Roman" w:cs="Times New Roman"/>
          <w:sz w:val="56"/>
          <w:szCs w:val="56"/>
        </w:rPr>
      </w:pPr>
      <w:bookmarkStart w:id="0" w:name="_Hlk22020728"/>
      <w:r w:rsidRPr="00165909">
        <w:rPr>
          <w:rFonts w:ascii="Times New Roman" w:hAnsi="Times New Roman" w:cs="Times New Roman"/>
          <w:sz w:val="56"/>
          <w:szCs w:val="56"/>
        </w:rPr>
        <w:t xml:space="preserve">Revealing the Biological Network via a Statistical Framework </w:t>
      </w:r>
    </w:p>
    <w:p w:rsidR="007C1290" w:rsidRDefault="007C1290" w:rsidP="00165909">
      <w:pPr>
        <w:spacing w:line="276" w:lineRule="auto"/>
        <w:jc w:val="center"/>
        <w:rPr>
          <w:rFonts w:ascii="Times New Roman" w:hAnsi="Times New Roman" w:cs="Times New Roman"/>
          <w:color w:val="333333"/>
          <w:sz w:val="56"/>
          <w:szCs w:val="56"/>
          <w:shd w:val="clear" w:color="auto" w:fill="FFFFFF"/>
        </w:rPr>
      </w:pPr>
      <w:r w:rsidRPr="00165909">
        <w:rPr>
          <w:rFonts w:ascii="Times New Roman" w:hAnsi="Times New Roman" w:cs="Times New Roman"/>
          <w:sz w:val="56"/>
          <w:szCs w:val="56"/>
        </w:rPr>
        <w:t xml:space="preserve">-- </w:t>
      </w:r>
      <w:r w:rsidRPr="00165909">
        <w:rPr>
          <w:rFonts w:ascii="Times New Roman" w:hAnsi="Times New Roman" w:cs="Times New Roman"/>
          <w:color w:val="333333"/>
          <w:sz w:val="56"/>
          <w:szCs w:val="56"/>
          <w:shd w:val="clear" w:color="auto" w:fill="FFFFFF"/>
        </w:rPr>
        <w:t>Structural Equation Modeling</w:t>
      </w:r>
    </w:p>
    <w:p w:rsidR="00165909" w:rsidRPr="00165909" w:rsidRDefault="00165909" w:rsidP="007C1290">
      <w:pPr>
        <w:spacing w:line="480" w:lineRule="auto"/>
        <w:jc w:val="center"/>
        <w:rPr>
          <w:rFonts w:ascii="Times New Roman" w:hAnsi="Times New Roman" w:cs="Times New Roman"/>
          <w:sz w:val="56"/>
          <w:szCs w:val="56"/>
        </w:rPr>
      </w:pPr>
    </w:p>
    <w:bookmarkEnd w:id="0"/>
    <w:p w:rsidR="00165909" w:rsidRPr="00165909" w:rsidRDefault="00165909" w:rsidP="00165909">
      <w:pPr>
        <w:spacing w:line="240" w:lineRule="auto"/>
        <w:jc w:val="center"/>
        <w:rPr>
          <w:rFonts w:ascii="Times New Roman" w:hAnsi="Times New Roman" w:cs="Times New Roman"/>
          <w:sz w:val="40"/>
          <w:szCs w:val="40"/>
        </w:rPr>
      </w:pPr>
      <w:r w:rsidRPr="00165909">
        <w:rPr>
          <w:rFonts w:ascii="Times New Roman" w:hAnsi="Times New Roman" w:cs="Times New Roman"/>
          <w:sz w:val="40"/>
          <w:szCs w:val="40"/>
        </w:rPr>
        <w:t>Manuscript Overview</w:t>
      </w:r>
    </w:p>
    <w:p w:rsidR="00165909" w:rsidRDefault="00165909" w:rsidP="00165909">
      <w:pPr>
        <w:spacing w:line="240" w:lineRule="auto"/>
        <w:jc w:val="center"/>
        <w:rPr>
          <w:rFonts w:ascii="Times New Roman" w:hAnsi="Times New Roman" w:cs="Times New Roman"/>
          <w:sz w:val="40"/>
          <w:szCs w:val="40"/>
        </w:rPr>
      </w:pPr>
      <w:r w:rsidRPr="00165909">
        <w:rPr>
          <w:rFonts w:ascii="Times New Roman" w:hAnsi="Times New Roman" w:cs="Times New Roman"/>
          <w:sz w:val="40"/>
          <w:szCs w:val="40"/>
        </w:rPr>
        <w:t>November 13</w:t>
      </w:r>
      <w:r w:rsidRPr="00165909">
        <w:rPr>
          <w:rFonts w:ascii="Times New Roman" w:hAnsi="Times New Roman" w:cs="Times New Roman"/>
          <w:sz w:val="40"/>
          <w:szCs w:val="40"/>
          <w:vertAlign w:val="superscript"/>
        </w:rPr>
        <w:t>th</w:t>
      </w:r>
      <w:r w:rsidRPr="00165909">
        <w:rPr>
          <w:rFonts w:ascii="Times New Roman" w:hAnsi="Times New Roman" w:cs="Times New Roman"/>
          <w:sz w:val="40"/>
          <w:szCs w:val="40"/>
        </w:rPr>
        <w:t>, 2019</w:t>
      </w:r>
    </w:p>
    <w:p w:rsidR="00165909" w:rsidRPr="00165909" w:rsidRDefault="00165909" w:rsidP="007C1290">
      <w:pPr>
        <w:spacing w:line="480" w:lineRule="auto"/>
        <w:jc w:val="center"/>
        <w:rPr>
          <w:rFonts w:ascii="Times New Roman" w:hAnsi="Times New Roman" w:cs="Times New Roman"/>
          <w:sz w:val="40"/>
          <w:szCs w:val="40"/>
        </w:rPr>
      </w:pPr>
    </w:p>
    <w:p w:rsidR="007C1290" w:rsidRPr="00165909" w:rsidRDefault="007C1290" w:rsidP="00165909">
      <w:pPr>
        <w:spacing w:line="360" w:lineRule="auto"/>
        <w:jc w:val="center"/>
        <w:rPr>
          <w:rFonts w:ascii="Times New Roman" w:hAnsi="Times New Roman" w:cs="Times New Roman"/>
          <w:sz w:val="36"/>
          <w:szCs w:val="36"/>
        </w:rPr>
      </w:pPr>
      <w:r w:rsidRPr="00165909">
        <w:rPr>
          <w:rFonts w:ascii="Times New Roman" w:hAnsi="Times New Roman" w:cs="Times New Roman"/>
          <w:sz w:val="36"/>
          <w:szCs w:val="36"/>
        </w:rPr>
        <w:t>Jianying Li</w:t>
      </w:r>
      <w:r w:rsidRPr="00165909">
        <w:rPr>
          <w:rFonts w:ascii="Times New Roman" w:hAnsi="Times New Roman" w:cs="Times New Roman"/>
          <w:sz w:val="36"/>
          <w:szCs w:val="36"/>
          <w:vertAlign w:val="superscript"/>
        </w:rPr>
        <w:t>1</w:t>
      </w:r>
      <w:r w:rsidRPr="00165909">
        <w:rPr>
          <w:rFonts w:ascii="Times New Roman" w:hAnsi="Times New Roman" w:cs="Times New Roman"/>
          <w:sz w:val="36"/>
          <w:szCs w:val="36"/>
        </w:rPr>
        <w:t>, Lin Lin</w:t>
      </w:r>
      <w:r w:rsidRPr="00165909">
        <w:rPr>
          <w:rFonts w:ascii="Times New Roman" w:hAnsi="Times New Roman" w:cs="Times New Roman"/>
          <w:sz w:val="36"/>
          <w:szCs w:val="36"/>
          <w:vertAlign w:val="superscript"/>
        </w:rPr>
        <w:t>2</w:t>
      </w:r>
      <w:r w:rsidRPr="00165909">
        <w:rPr>
          <w:rFonts w:ascii="Times New Roman" w:hAnsi="Times New Roman" w:cs="Times New Roman"/>
          <w:sz w:val="36"/>
          <w:szCs w:val="36"/>
        </w:rPr>
        <w:t>, Pierre Bushel</w:t>
      </w:r>
      <w:r w:rsidRPr="00165909">
        <w:rPr>
          <w:rFonts w:ascii="Times New Roman" w:hAnsi="Times New Roman" w:cs="Times New Roman"/>
          <w:sz w:val="36"/>
          <w:szCs w:val="36"/>
          <w:vertAlign w:val="superscript"/>
        </w:rPr>
        <w:t>3</w:t>
      </w:r>
      <w:r w:rsidRPr="00165909">
        <w:rPr>
          <w:rFonts w:ascii="Times New Roman" w:hAnsi="Times New Roman" w:cs="Times New Roman"/>
          <w:sz w:val="36"/>
          <w:szCs w:val="36"/>
        </w:rPr>
        <w:t>, Kevin Day</w:t>
      </w:r>
      <w:r w:rsidRPr="00165909">
        <w:rPr>
          <w:rFonts w:ascii="Times New Roman" w:hAnsi="Times New Roman" w:cs="Times New Roman"/>
          <w:sz w:val="36"/>
          <w:szCs w:val="36"/>
          <w:vertAlign w:val="superscript"/>
        </w:rPr>
        <w:t>5</w:t>
      </w:r>
      <w:r w:rsidRPr="00165909">
        <w:rPr>
          <w:rFonts w:ascii="Times New Roman" w:hAnsi="Times New Roman" w:cs="Times New Roman"/>
          <w:sz w:val="36"/>
          <w:szCs w:val="36"/>
        </w:rPr>
        <w:t>, Tianyuan Wang</w:t>
      </w:r>
      <w:r w:rsidRPr="00165909">
        <w:rPr>
          <w:rFonts w:ascii="Times New Roman" w:hAnsi="Times New Roman" w:cs="Times New Roman"/>
          <w:sz w:val="36"/>
          <w:szCs w:val="36"/>
          <w:vertAlign w:val="superscript"/>
        </w:rPr>
        <w:t>1</w:t>
      </w:r>
      <w:r w:rsidRPr="00165909">
        <w:rPr>
          <w:rFonts w:ascii="Times New Roman" w:hAnsi="Times New Roman" w:cs="Times New Roman"/>
          <w:sz w:val="36"/>
          <w:szCs w:val="36"/>
        </w:rPr>
        <w:t>, Francesco J. DeMayo</w:t>
      </w:r>
      <w:r w:rsidRPr="00165909">
        <w:rPr>
          <w:rFonts w:ascii="Times New Roman" w:hAnsi="Times New Roman" w:cs="Times New Roman"/>
          <w:sz w:val="36"/>
          <w:szCs w:val="36"/>
          <w:vertAlign w:val="superscript"/>
        </w:rPr>
        <w:t>4</w:t>
      </w:r>
      <w:r w:rsidRPr="00165909">
        <w:rPr>
          <w:rFonts w:ascii="Times New Roman" w:hAnsi="Times New Roman" w:cs="Times New Roman"/>
          <w:sz w:val="36"/>
          <w:szCs w:val="36"/>
        </w:rPr>
        <w:t>, San-Pin Wu</w:t>
      </w:r>
      <w:r w:rsidRPr="00165909">
        <w:rPr>
          <w:rFonts w:ascii="Times New Roman" w:hAnsi="Times New Roman" w:cs="Times New Roman"/>
          <w:sz w:val="36"/>
          <w:szCs w:val="36"/>
          <w:vertAlign w:val="superscript"/>
        </w:rPr>
        <w:t>4</w:t>
      </w:r>
      <w:r w:rsidRPr="00165909">
        <w:rPr>
          <w:rFonts w:ascii="Times New Roman" w:hAnsi="Times New Roman" w:cs="Times New Roman"/>
          <w:sz w:val="36"/>
          <w:szCs w:val="36"/>
        </w:rPr>
        <w:t>, and Jian-Liang Li</w:t>
      </w:r>
      <w:r w:rsidRPr="00165909">
        <w:rPr>
          <w:rFonts w:ascii="Times New Roman" w:hAnsi="Times New Roman" w:cs="Times New Roman"/>
          <w:sz w:val="36"/>
          <w:szCs w:val="36"/>
          <w:vertAlign w:val="superscript"/>
        </w:rPr>
        <w:t>1</w:t>
      </w:r>
    </w:p>
    <w:p w:rsidR="00937E2C" w:rsidRDefault="00937E2C"/>
    <w:p w:rsidR="00937E2C" w:rsidRPr="00E22A60" w:rsidRDefault="007C1290" w:rsidP="00937E2C">
      <w:pPr>
        <w:spacing w:line="480" w:lineRule="auto"/>
        <w:rPr>
          <w:rFonts w:ascii="Times New Roman" w:hAnsi="Times New Roman" w:cs="Times New Roman"/>
          <w:b/>
          <w:sz w:val="24"/>
          <w:szCs w:val="24"/>
        </w:rPr>
      </w:pPr>
      <w:r>
        <w:br w:type="page"/>
      </w:r>
      <w:r w:rsidR="00937E2C" w:rsidRPr="00E22A60">
        <w:rPr>
          <w:rFonts w:ascii="Times New Roman" w:hAnsi="Times New Roman" w:cs="Times New Roman"/>
          <w:b/>
          <w:sz w:val="24"/>
          <w:szCs w:val="24"/>
        </w:rPr>
        <w:lastRenderedPageBreak/>
        <w:t>Abstract</w:t>
      </w:r>
    </w:p>
    <w:p w:rsidR="00937E2C" w:rsidRPr="00BA4D2B" w:rsidRDefault="00937E2C" w:rsidP="00AF5987">
      <w:pPr>
        <w:spacing w:line="48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p</w:t>
      </w:r>
      <w:r w:rsidRPr="00BA4D2B">
        <w:rPr>
          <w:rFonts w:ascii="Times New Roman" w:hAnsi="Times New Roman" w:cs="Times New Roman"/>
          <w:color w:val="333333"/>
          <w:sz w:val="24"/>
          <w:szCs w:val="24"/>
          <w:shd w:val="clear" w:color="auto" w:fill="FFFFFF"/>
        </w:rPr>
        <w:t>revious application of Path Analysi</w:t>
      </w:r>
      <w:r>
        <w:rPr>
          <w:rFonts w:ascii="Times New Roman" w:hAnsi="Times New Roman" w:cs="Times New Roman"/>
          <w:color w:val="333333"/>
          <w:sz w:val="24"/>
          <w:szCs w:val="24"/>
          <w:shd w:val="clear" w:color="auto" w:fill="FFFFFF"/>
        </w:rPr>
        <w:t>s</w:t>
      </w:r>
      <w:r w:rsidRPr="00BA4D2B">
        <w:rPr>
          <w:rFonts w:ascii="Times New Roman" w:hAnsi="Times New Roman" w:cs="Times New Roman"/>
          <w:color w:val="333333"/>
          <w:sz w:val="24"/>
          <w:szCs w:val="24"/>
          <w:shd w:val="clear" w:color="auto" w:fill="FFFFFF"/>
        </w:rPr>
        <w:t xml:space="preserve"> confirmed an important biological model for the transcriptional network </w:t>
      </w:r>
      <w:r>
        <w:rPr>
          <w:rFonts w:ascii="Times New Roman" w:hAnsi="Times New Roman" w:cs="Times New Roman"/>
          <w:color w:val="333333"/>
          <w:sz w:val="24"/>
          <w:szCs w:val="24"/>
          <w:shd w:val="clear" w:color="auto" w:fill="FFFFFF"/>
        </w:rPr>
        <w:t>regulating</w:t>
      </w:r>
      <w:r w:rsidRPr="00BA4D2B">
        <w:rPr>
          <w:rFonts w:ascii="Times New Roman" w:hAnsi="Times New Roman" w:cs="Times New Roman"/>
          <w:color w:val="333333"/>
          <w:sz w:val="24"/>
          <w:szCs w:val="24"/>
          <w:shd w:val="clear" w:color="auto" w:fill="FFFFFF"/>
        </w:rPr>
        <w:t xml:space="preserve"> uterine progesterone responsiveness and endometrial functions. </w:t>
      </w:r>
      <w:r w:rsidRPr="00074519">
        <w:rPr>
          <w:rFonts w:ascii="Times New Roman" w:hAnsi="Times New Roman" w:cs="Times New Roman"/>
          <w:color w:val="333333"/>
          <w:sz w:val="24"/>
          <w:szCs w:val="24"/>
          <w:shd w:val="clear" w:color="auto" w:fill="FFFFFF"/>
        </w:rPr>
        <w:t xml:space="preserve">The </w:t>
      </w:r>
      <w:r>
        <w:rPr>
          <w:rFonts w:ascii="Times New Roman" w:hAnsi="Times New Roman" w:cs="Times New Roman"/>
          <w:color w:val="333333"/>
          <w:sz w:val="24"/>
          <w:szCs w:val="24"/>
          <w:shd w:val="clear" w:color="auto" w:fill="FFFFFF"/>
        </w:rPr>
        <w:t>Structural Equation Model (</w:t>
      </w:r>
      <w:r w:rsidRPr="00074519">
        <w:rPr>
          <w:rFonts w:ascii="Times New Roman" w:hAnsi="Times New Roman" w:cs="Times New Roman"/>
          <w:color w:val="333333"/>
          <w:sz w:val="24"/>
          <w:szCs w:val="24"/>
          <w:shd w:val="clear" w:color="auto" w:fill="FFFFFF"/>
        </w:rPr>
        <w:t>SEM</w:t>
      </w:r>
      <w:r>
        <w:rPr>
          <w:rFonts w:ascii="Times New Roman" w:hAnsi="Times New Roman" w:cs="Times New Roman"/>
          <w:color w:val="333333"/>
          <w:sz w:val="24"/>
          <w:szCs w:val="24"/>
          <w:shd w:val="clear" w:color="auto" w:fill="FFFFFF"/>
        </w:rPr>
        <w:t>)</w:t>
      </w:r>
      <w:r w:rsidRPr="00074519">
        <w:rPr>
          <w:rFonts w:ascii="Times New Roman" w:hAnsi="Times New Roman" w:cs="Times New Roman"/>
          <w:color w:val="333333"/>
          <w:sz w:val="24"/>
          <w:szCs w:val="24"/>
          <w:shd w:val="clear" w:color="auto" w:fill="FFFFFF"/>
        </w:rPr>
        <w:t xml:space="preserve"> is a statistical modeling approach </w:t>
      </w:r>
      <w:r>
        <w:rPr>
          <w:rFonts w:ascii="Times New Roman" w:hAnsi="Times New Roman" w:cs="Times New Roman"/>
          <w:color w:val="333333"/>
          <w:sz w:val="24"/>
          <w:szCs w:val="24"/>
          <w:shd w:val="clear" w:color="auto" w:fill="FFFFFF"/>
        </w:rPr>
        <w:t xml:space="preserve">for </w:t>
      </w:r>
      <w:r w:rsidRPr="00074519">
        <w:rPr>
          <w:rFonts w:ascii="Times New Roman" w:hAnsi="Times New Roman" w:cs="Times New Roman"/>
          <w:color w:val="333333"/>
          <w:sz w:val="24"/>
          <w:szCs w:val="24"/>
          <w:shd w:val="clear" w:color="auto" w:fill="FFFFFF"/>
        </w:rPr>
        <w:t>study</w:t>
      </w:r>
      <w:r>
        <w:rPr>
          <w:rFonts w:ascii="Times New Roman" w:hAnsi="Times New Roman" w:cs="Times New Roman"/>
          <w:color w:val="333333"/>
          <w:sz w:val="24"/>
          <w:szCs w:val="24"/>
          <w:shd w:val="clear" w:color="auto" w:fill="FFFFFF"/>
        </w:rPr>
        <w:t>ing</w:t>
      </w:r>
      <w:r w:rsidRPr="00074519">
        <w:rPr>
          <w:rFonts w:ascii="Times New Roman" w:hAnsi="Times New Roman" w:cs="Times New Roman"/>
          <w:color w:val="333333"/>
          <w:sz w:val="24"/>
          <w:szCs w:val="24"/>
          <w:shd w:val="clear" w:color="auto" w:fill="FFFFFF"/>
        </w:rPr>
        <w:t xml:space="preserve"> of complex cause-effect hypotheses in a closed system. SEM has been widely used</w:t>
      </w:r>
      <w:r>
        <w:rPr>
          <w:rFonts w:ascii="Times New Roman" w:hAnsi="Times New Roman" w:cs="Times New Roman"/>
          <w:color w:val="333333"/>
          <w:sz w:val="24"/>
          <w:szCs w:val="24"/>
          <w:shd w:val="clear" w:color="auto" w:fill="FFFFFF"/>
        </w:rPr>
        <w:t xml:space="preserve"> in various fields with involving</w:t>
      </w:r>
      <w:r w:rsidRPr="00074519">
        <w:rPr>
          <w:rFonts w:ascii="Times New Roman" w:hAnsi="Times New Roman" w:cs="Times New Roman"/>
          <w:color w:val="333333"/>
          <w:sz w:val="24"/>
          <w:szCs w:val="24"/>
          <w:shd w:val="clear" w:color="auto" w:fill="FFFFFF"/>
        </w:rPr>
        <w:t xml:space="preserve"> perturbations and </w:t>
      </w:r>
      <w:r>
        <w:rPr>
          <w:rFonts w:ascii="Times New Roman" w:hAnsi="Times New Roman" w:cs="Times New Roman"/>
          <w:color w:val="333333"/>
          <w:sz w:val="24"/>
          <w:szCs w:val="24"/>
          <w:shd w:val="clear" w:color="auto" w:fill="FFFFFF"/>
        </w:rPr>
        <w:t xml:space="preserve">measurable </w:t>
      </w:r>
      <w:r w:rsidRPr="00074519">
        <w:rPr>
          <w:rFonts w:ascii="Times New Roman" w:hAnsi="Times New Roman" w:cs="Times New Roman"/>
          <w:color w:val="333333"/>
          <w:sz w:val="24"/>
          <w:szCs w:val="24"/>
          <w:shd w:val="clear" w:color="auto" w:fill="FFFFFF"/>
        </w:rPr>
        <w:t>outcomes.</w:t>
      </w:r>
      <w:r w:rsidRPr="00074519">
        <w:rPr>
          <w:rFonts w:ascii="Times New Roman" w:hAnsi="Times New Roman" w:cs="Times New Roman"/>
          <w:color w:val="000000"/>
          <w:sz w:val="24"/>
          <w:szCs w:val="24"/>
        </w:rPr>
        <w:t xml:space="preserve"> </w:t>
      </w:r>
      <w:r w:rsidRPr="00E5446E">
        <w:rPr>
          <w:rFonts w:ascii="Times New Roman" w:hAnsi="Times New Roman" w:cs="Times New Roman"/>
          <w:color w:val="333333"/>
          <w:sz w:val="24"/>
          <w:szCs w:val="24"/>
          <w:shd w:val="clear" w:color="auto" w:fill="FFFFFF"/>
        </w:rPr>
        <w:t xml:space="preserve">Upon successfully establishing a framework in R (an open source program), we extended </w:t>
      </w:r>
      <w:r>
        <w:rPr>
          <w:rFonts w:ascii="Times New Roman" w:hAnsi="Times New Roman" w:cs="Times New Roman"/>
          <w:color w:val="333333"/>
          <w:sz w:val="24"/>
          <w:szCs w:val="24"/>
          <w:shd w:val="clear" w:color="auto" w:fill="FFFFFF"/>
        </w:rPr>
        <w:t>a</w:t>
      </w:r>
      <w:r w:rsidRPr="00E5446E">
        <w:rPr>
          <w:rFonts w:ascii="Times New Roman" w:hAnsi="Times New Roman" w:cs="Times New Roman"/>
          <w:color w:val="333333"/>
          <w:sz w:val="24"/>
          <w:szCs w:val="24"/>
          <w:shd w:val="clear" w:color="auto" w:fill="FFFFFF"/>
        </w:rPr>
        <w:t xml:space="preserve"> previous model and leveraged the SEM features to examine broader systems involving regulators and their endpoints. </w:t>
      </w:r>
      <w:r w:rsidRPr="00BA4D2B">
        <w:rPr>
          <w:rFonts w:ascii="Times New Roman" w:hAnsi="Times New Roman" w:cs="Times New Roman"/>
          <w:color w:val="333333"/>
          <w:sz w:val="24"/>
          <w:szCs w:val="24"/>
          <w:shd w:val="clear" w:color="auto" w:fill="FFFFFF"/>
        </w:rPr>
        <w:t>In addition, a</w:t>
      </w:r>
      <w:r w:rsidRPr="00BA4D2B">
        <w:rPr>
          <w:rFonts w:ascii="Times New Roman" w:hAnsi="Times New Roman" w:cs="Times New Roman"/>
          <w:color w:val="000000"/>
          <w:sz w:val="24"/>
          <w:szCs w:val="24"/>
        </w:rPr>
        <w:t xml:space="preserve"> user-friendly R Shiny app </w:t>
      </w:r>
      <w:r>
        <w:rPr>
          <w:rFonts w:ascii="Times New Roman" w:hAnsi="Times New Roman" w:cs="Times New Roman"/>
          <w:color w:val="000000"/>
          <w:sz w:val="24"/>
          <w:szCs w:val="24"/>
        </w:rPr>
        <w:t>was</w:t>
      </w:r>
      <w:r w:rsidRPr="00BA4D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developed </w:t>
      </w:r>
      <w:r w:rsidRPr="00BA4D2B">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infer the activity of human reproductive regulators based on </w:t>
      </w:r>
      <w:r w:rsidRPr="00BA4D2B">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mouse </w:t>
      </w:r>
      <w:r w:rsidRPr="00BA4D2B">
        <w:rPr>
          <w:rFonts w:ascii="Times New Roman" w:hAnsi="Times New Roman" w:cs="Times New Roman"/>
          <w:color w:val="000000"/>
          <w:sz w:val="24"/>
          <w:szCs w:val="24"/>
        </w:rPr>
        <w:t xml:space="preserve">gene expression profiles in an automated fashion. We started from an </w:t>
      </w:r>
      <w:r w:rsidRPr="00BA4D2B">
        <w:rPr>
          <w:rFonts w:ascii="Times New Roman" w:hAnsi="Times New Roman" w:cs="Times New Roman"/>
          <w:i/>
          <w:color w:val="000000"/>
          <w:sz w:val="24"/>
          <w:szCs w:val="24"/>
        </w:rPr>
        <w:t>in vitro</w:t>
      </w:r>
      <w:r w:rsidRPr="00BA4D2B">
        <w:rPr>
          <w:rFonts w:ascii="Times New Roman" w:hAnsi="Times New Roman" w:cs="Times New Roman"/>
          <w:color w:val="000000"/>
          <w:sz w:val="24"/>
          <w:szCs w:val="24"/>
        </w:rPr>
        <w:t xml:space="preserve"> alteration of latent gene interactions </w:t>
      </w:r>
      <w:r>
        <w:rPr>
          <w:rFonts w:ascii="Times New Roman" w:hAnsi="Times New Roman" w:cs="Times New Roman"/>
          <w:color w:val="000000"/>
          <w:sz w:val="24"/>
          <w:szCs w:val="24"/>
        </w:rPr>
        <w:t xml:space="preserve">that </w:t>
      </w:r>
      <w:r w:rsidRPr="00BA4D2B">
        <w:rPr>
          <w:rFonts w:ascii="Times New Roman" w:hAnsi="Times New Roman" w:cs="Times New Roman"/>
          <w:color w:val="000000"/>
          <w:sz w:val="24"/>
          <w:szCs w:val="24"/>
        </w:rPr>
        <w:t>disrupt</w:t>
      </w:r>
      <w:r>
        <w:rPr>
          <w:rFonts w:ascii="Times New Roman" w:hAnsi="Times New Roman" w:cs="Times New Roman"/>
          <w:color w:val="000000"/>
          <w:sz w:val="24"/>
          <w:szCs w:val="24"/>
        </w:rPr>
        <w:t>ed</w:t>
      </w:r>
      <w:r w:rsidRPr="00BA4D2B">
        <w:rPr>
          <w:rFonts w:ascii="Times New Roman" w:hAnsi="Times New Roman" w:cs="Times New Roman"/>
          <w:color w:val="000000"/>
          <w:sz w:val="24"/>
          <w:szCs w:val="24"/>
        </w:rPr>
        <w:t xml:space="preserve"> the progesterone receptor pathway in the uterus of pregnant mice</w:t>
      </w:r>
      <w:r>
        <w:rPr>
          <w:rFonts w:ascii="Times New Roman" w:hAnsi="Times New Roman" w:cs="Times New Roman"/>
          <w:color w:val="000000"/>
          <w:sz w:val="24"/>
          <w:szCs w:val="24"/>
        </w:rPr>
        <w:t xml:space="preserve"> and</w:t>
      </w:r>
      <w:r w:rsidRPr="00BA4D2B">
        <w:rPr>
          <w:rFonts w:ascii="Times New Roman" w:hAnsi="Times New Roman" w:cs="Times New Roman"/>
          <w:color w:val="000000"/>
          <w:sz w:val="24"/>
          <w:szCs w:val="24"/>
        </w:rPr>
        <w:t xml:space="preserve"> then projected to </w:t>
      </w:r>
      <w:r>
        <w:rPr>
          <w:rFonts w:ascii="Times New Roman" w:hAnsi="Times New Roman" w:cs="Times New Roman"/>
          <w:color w:val="000000"/>
          <w:sz w:val="24"/>
          <w:szCs w:val="24"/>
        </w:rPr>
        <w:t xml:space="preserve">a </w:t>
      </w:r>
      <w:r w:rsidRPr="00BA4D2B">
        <w:rPr>
          <w:rFonts w:ascii="Times New Roman" w:hAnsi="Times New Roman" w:cs="Times New Roman"/>
          <w:color w:val="000000"/>
          <w:sz w:val="24"/>
          <w:szCs w:val="24"/>
        </w:rPr>
        <w:t>human reproduction system via</w:t>
      </w:r>
      <w:r>
        <w:rPr>
          <w:rFonts w:ascii="Times New Roman" w:hAnsi="Times New Roman" w:cs="Times New Roman"/>
          <w:color w:val="000000"/>
          <w:sz w:val="24"/>
          <w:szCs w:val="24"/>
        </w:rPr>
        <w:t xml:space="preserve"> an</w:t>
      </w:r>
      <w:r w:rsidRPr="00BA4D2B">
        <w:rPr>
          <w:rFonts w:ascii="Times New Roman" w:hAnsi="Times New Roman" w:cs="Times New Roman"/>
          <w:color w:val="000000"/>
          <w:sz w:val="24"/>
          <w:szCs w:val="24"/>
        </w:rPr>
        <w:t xml:space="preserve"> </w:t>
      </w:r>
      <w:proofErr w:type="gramStart"/>
      <w:r w:rsidRPr="00BA4D2B">
        <w:rPr>
          <w:rFonts w:ascii="Times New Roman" w:hAnsi="Times New Roman" w:cs="Times New Roman"/>
          <w:i/>
          <w:color w:val="000000"/>
          <w:sz w:val="24"/>
          <w:szCs w:val="24"/>
        </w:rPr>
        <w:t>in silico</w:t>
      </w:r>
      <w:proofErr w:type="gramEnd"/>
      <w:r w:rsidRPr="00BA4D2B">
        <w:rPr>
          <w:rFonts w:ascii="Times New Roman" w:hAnsi="Times New Roman" w:cs="Times New Roman"/>
          <w:color w:val="000000"/>
          <w:sz w:val="24"/>
          <w:szCs w:val="24"/>
        </w:rPr>
        <w:t xml:space="preserve"> route</w:t>
      </w:r>
      <w:r>
        <w:rPr>
          <w:rFonts w:ascii="Times New Roman" w:hAnsi="Times New Roman" w:cs="Times New Roman"/>
          <w:color w:val="000000"/>
          <w:sz w:val="24"/>
          <w:szCs w:val="24"/>
        </w:rPr>
        <w:t>. The results</w:t>
      </w:r>
      <w:r w:rsidRPr="00BA4D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eventually revealed </w:t>
      </w:r>
      <w:r w:rsidRPr="00BA4D2B">
        <w:rPr>
          <w:rFonts w:ascii="Times New Roman" w:hAnsi="Times New Roman" w:cs="Times New Roman"/>
          <w:color w:val="000000"/>
          <w:sz w:val="24"/>
          <w:szCs w:val="24"/>
        </w:rPr>
        <w:t xml:space="preserve">a regulatory network </w:t>
      </w:r>
      <w:r>
        <w:rPr>
          <w:rFonts w:ascii="Times New Roman" w:hAnsi="Times New Roman" w:cs="Times New Roman"/>
          <w:color w:val="000000"/>
          <w:sz w:val="24"/>
          <w:szCs w:val="24"/>
        </w:rPr>
        <w:t>in human that has the potential to</w:t>
      </w:r>
      <w:r w:rsidRPr="00BA4D2B">
        <w:rPr>
          <w:rFonts w:ascii="Times New Roman" w:hAnsi="Times New Roman" w:cs="Times New Roman"/>
          <w:color w:val="000000"/>
          <w:sz w:val="24"/>
          <w:szCs w:val="24"/>
        </w:rPr>
        <w:t xml:space="preserve"> facilitate </w:t>
      </w:r>
      <w:r>
        <w:rPr>
          <w:rFonts w:ascii="Times New Roman" w:hAnsi="Times New Roman" w:cs="Times New Roman"/>
          <w:color w:val="000000"/>
          <w:sz w:val="24"/>
          <w:szCs w:val="24"/>
        </w:rPr>
        <w:t xml:space="preserve">human </w:t>
      </w:r>
      <w:r w:rsidRPr="00BA4D2B">
        <w:rPr>
          <w:rFonts w:ascii="Times New Roman" w:hAnsi="Times New Roman" w:cs="Times New Roman"/>
          <w:color w:val="000000"/>
          <w:sz w:val="24"/>
          <w:szCs w:val="24"/>
        </w:rPr>
        <w:t>infertility study.</w:t>
      </w:r>
      <w:r w:rsidRPr="00BA4D2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In conclusion</w:t>
      </w:r>
      <w:r w:rsidRPr="00BA4D2B">
        <w:rPr>
          <w:rFonts w:ascii="Times New Roman" w:hAnsi="Times New Roman" w:cs="Times New Roman"/>
          <w:color w:val="000000"/>
          <w:sz w:val="24"/>
          <w:szCs w:val="24"/>
        </w:rPr>
        <w:t xml:space="preserve">, </w:t>
      </w:r>
      <w:r>
        <w:rPr>
          <w:rFonts w:ascii="Times New Roman" w:hAnsi="Times New Roman" w:cs="Times New Roman"/>
          <w:color w:val="333333"/>
          <w:sz w:val="24"/>
          <w:szCs w:val="24"/>
          <w:shd w:val="clear" w:color="auto" w:fill="FFFFFF"/>
        </w:rPr>
        <w:t xml:space="preserve">by </w:t>
      </w:r>
      <w:r w:rsidRPr="000F42BC">
        <w:rPr>
          <w:rFonts w:ascii="Times New Roman" w:hAnsi="Times New Roman" w:cs="Times New Roman"/>
          <w:color w:val="333333"/>
          <w:sz w:val="24"/>
          <w:szCs w:val="24"/>
          <w:shd w:val="clear" w:color="auto" w:fill="FFFFFF"/>
        </w:rPr>
        <w:t>leverag</w:t>
      </w:r>
      <w:r>
        <w:rPr>
          <w:rFonts w:ascii="Times New Roman" w:hAnsi="Times New Roman" w:cs="Times New Roman"/>
          <w:color w:val="333333"/>
          <w:sz w:val="24"/>
          <w:szCs w:val="24"/>
          <w:shd w:val="clear" w:color="auto" w:fill="FFFFFF"/>
        </w:rPr>
        <w:t>ing</w:t>
      </w:r>
      <w:r w:rsidRPr="000F42BC">
        <w:rPr>
          <w:rFonts w:ascii="Times New Roman" w:hAnsi="Times New Roman" w:cs="Times New Roman"/>
          <w:color w:val="333333"/>
          <w:sz w:val="24"/>
          <w:szCs w:val="24"/>
          <w:shd w:val="clear" w:color="auto" w:fill="FFFFFF"/>
        </w:rPr>
        <w:t xml:space="preserve"> the features in the SEM framework</w:t>
      </w:r>
      <w:r>
        <w:rPr>
          <w:rFonts w:ascii="Times New Roman" w:hAnsi="Times New Roman" w:cs="Times New Roman"/>
          <w:color w:val="333333"/>
          <w:sz w:val="24"/>
          <w:szCs w:val="24"/>
          <w:shd w:val="clear" w:color="auto" w:fill="FFFFFF"/>
        </w:rPr>
        <w:t>,</w:t>
      </w:r>
      <w:r w:rsidRPr="000F42BC">
        <w:rPr>
          <w:rFonts w:ascii="Times New Roman" w:hAnsi="Times New Roman" w:cs="Times New Roman"/>
          <w:color w:val="333333"/>
          <w:sz w:val="24"/>
          <w:szCs w:val="24"/>
          <w:shd w:val="clear" w:color="auto" w:fill="FFFFFF"/>
        </w:rPr>
        <w:t xml:space="preserve"> </w:t>
      </w:r>
      <w:r w:rsidRPr="00BA4D2B">
        <w:rPr>
          <w:rFonts w:ascii="Times New Roman" w:hAnsi="Times New Roman" w:cs="Times New Roman"/>
          <w:color w:val="000000"/>
          <w:sz w:val="24"/>
          <w:szCs w:val="24"/>
        </w:rPr>
        <w:t xml:space="preserve">we established a translational </w:t>
      </w:r>
      <w:r>
        <w:rPr>
          <w:rFonts w:ascii="Times New Roman" w:hAnsi="Times New Roman" w:cs="Times New Roman"/>
          <w:color w:val="000000"/>
          <w:sz w:val="24"/>
          <w:szCs w:val="24"/>
        </w:rPr>
        <w:t>framework that revealed a functional network system in a human reproduction system</w:t>
      </w:r>
      <w:r w:rsidRPr="00BA4D2B">
        <w:rPr>
          <w:rFonts w:ascii="Times New Roman" w:hAnsi="Times New Roman" w:cs="Times New Roman"/>
          <w:color w:val="000000"/>
          <w:sz w:val="24"/>
          <w:szCs w:val="24"/>
        </w:rPr>
        <w:t xml:space="preserve"> from a laboratory established mouse-model</w:t>
      </w:r>
      <w:r>
        <w:rPr>
          <w:rFonts w:ascii="Times New Roman" w:hAnsi="Times New Roman" w:cs="Times New Roman"/>
          <w:color w:val="000000"/>
          <w:sz w:val="24"/>
          <w:szCs w:val="24"/>
        </w:rPr>
        <w:t xml:space="preserve">. </w:t>
      </w:r>
      <w:r w:rsidRPr="00BA4D2B">
        <w:rPr>
          <w:rFonts w:ascii="Times New Roman" w:hAnsi="Times New Roman" w:cs="Times New Roman"/>
          <w:color w:val="333333"/>
          <w:sz w:val="24"/>
          <w:szCs w:val="24"/>
          <w:shd w:val="clear" w:color="auto" w:fill="FFFFFF"/>
        </w:rPr>
        <w:t xml:space="preserve">In the future, we plan to extend </w:t>
      </w:r>
      <w:r>
        <w:rPr>
          <w:rFonts w:ascii="Times New Roman" w:hAnsi="Times New Roman" w:cs="Times New Roman"/>
          <w:color w:val="333333"/>
          <w:sz w:val="24"/>
          <w:szCs w:val="24"/>
          <w:shd w:val="clear" w:color="auto" w:fill="FFFFFF"/>
        </w:rPr>
        <w:t>this framework</w:t>
      </w:r>
      <w:r w:rsidRPr="00BA4D2B">
        <w:rPr>
          <w:rFonts w:ascii="Times New Roman" w:hAnsi="Times New Roman" w:cs="Times New Roman"/>
          <w:color w:val="333333"/>
          <w:sz w:val="24"/>
          <w:szCs w:val="24"/>
          <w:shd w:val="clear" w:color="auto" w:fill="FFFFFF"/>
        </w:rPr>
        <w:t xml:space="preserve"> to </w:t>
      </w:r>
      <w:r>
        <w:rPr>
          <w:rFonts w:ascii="Times New Roman" w:hAnsi="Times New Roman" w:cs="Times New Roman"/>
          <w:color w:val="333333"/>
          <w:sz w:val="24"/>
          <w:szCs w:val="24"/>
          <w:shd w:val="clear" w:color="auto" w:fill="FFFFFF"/>
        </w:rPr>
        <w:t>other</w:t>
      </w:r>
      <w:r w:rsidRPr="00BA4D2B">
        <w:rPr>
          <w:rFonts w:ascii="Times New Roman" w:hAnsi="Times New Roman" w:cs="Times New Roman"/>
          <w:color w:val="333333"/>
          <w:sz w:val="24"/>
          <w:szCs w:val="24"/>
          <w:shd w:val="clear" w:color="auto" w:fill="FFFFFF"/>
        </w:rPr>
        <w:t xml:space="preserve"> complex systems for in-depth elucidation of biological networks and hidden regulatory relationships.</w:t>
      </w:r>
    </w:p>
    <w:p w:rsidR="00937E2C" w:rsidRDefault="00937E2C">
      <w:r>
        <w:br w:type="page"/>
      </w:r>
    </w:p>
    <w:p w:rsidR="00E22A60" w:rsidRPr="00AF5987" w:rsidRDefault="00E22A60" w:rsidP="00AF5987">
      <w:pPr>
        <w:spacing w:line="480" w:lineRule="auto"/>
        <w:rPr>
          <w:rFonts w:ascii="Times New Roman" w:hAnsi="Times New Roman" w:cs="Times New Roman"/>
          <w:b/>
          <w:sz w:val="24"/>
          <w:szCs w:val="24"/>
        </w:rPr>
      </w:pPr>
      <w:r w:rsidRPr="00AF5987">
        <w:rPr>
          <w:rFonts w:ascii="Times New Roman" w:hAnsi="Times New Roman" w:cs="Times New Roman"/>
          <w:b/>
          <w:sz w:val="24"/>
          <w:szCs w:val="24"/>
        </w:rPr>
        <w:t>Introduction</w:t>
      </w:r>
    </w:p>
    <w:p w:rsidR="00AF5987" w:rsidRDefault="00E22A60" w:rsidP="00AF5987">
      <w:pPr>
        <w:spacing w:line="480" w:lineRule="auto"/>
        <w:ind w:firstLine="720"/>
        <w:rPr>
          <w:rFonts w:ascii="Times New Roman" w:hAnsi="Times New Roman" w:cs="Times New Roman"/>
          <w:sz w:val="24"/>
          <w:szCs w:val="24"/>
        </w:rPr>
      </w:pPr>
      <w:r w:rsidRPr="00AF5987">
        <w:rPr>
          <w:rFonts w:ascii="Times New Roman" w:hAnsi="Times New Roman" w:cs="Times New Roman"/>
          <w:sz w:val="24"/>
          <w:szCs w:val="24"/>
        </w:rPr>
        <w:t xml:space="preserve">Successful pregnancy requires the endometrium, the inner lining of the uterine, to prepare for receiving and supporting the embryos. This process is controlled by the pregnancy hormone progesterone and its cognate receptor PGR. Dysfunctional progesterone signaling often leads to pregnancy failure. </w:t>
      </w:r>
      <w:r w:rsidRPr="00AF5987">
        <w:rPr>
          <w:rFonts w:ascii="Times New Roman" w:hAnsi="Times New Roman" w:cs="Times New Roman"/>
          <w:i/>
          <w:iCs/>
          <w:sz w:val="24"/>
          <w:szCs w:val="24"/>
        </w:rPr>
        <w:t xml:space="preserve">In vivo </w:t>
      </w:r>
      <w:r w:rsidRPr="00AF5987">
        <w:rPr>
          <w:rFonts w:ascii="Times New Roman" w:hAnsi="Times New Roman" w:cs="Times New Roman"/>
          <w:sz w:val="24"/>
          <w:szCs w:val="24"/>
        </w:rPr>
        <w:t>research model established in mouse revealed that PGR and GATA2 transcription factors work together to mediate the progesterone signaling (Rubel, Wu et al. 2016), such a relationship was proved to be conserved between human and mouse via a SEM framework. The present study aims to implement this SEM framework in an open source R programming language so that we can streamline the process in an automated fashion. This will allow us to test hypotheses and reveal novel factors that could perturb or enhance the casual relationship. Additionally, we constructed a graphical user interface in R shiny. It allows bench scientists to leverage gene expression signature analysis and calculate “regulator activity” (Wu, S.P. et al 2015). Ingenuity Pathway Analysis (IPA) on the GATA2 significant gene lists reveals many upstream regulators whose downstream target genes comprise of an informative gene set. Our study suggests that those upstream regulators could potentially enhance or disturb the existing relationship, which themselves could be targets of interest for further scientific hypothesis testing. Finally, we use a non-parametric distribution to provide statistical significance of the SEM results.  In summary, we have shown the applicability and potential of such a SEM framework to make inferences of cause and effect gene network perturbations by leveraging gene expression data from a different species model system. With the flexibility of open source environment, such a framework can be integrated into analytical pipelines for streamlining and automation.</w:t>
      </w:r>
    </w:p>
    <w:p w:rsidR="00AF5987" w:rsidRDefault="00AF5987">
      <w:pPr>
        <w:rPr>
          <w:rFonts w:ascii="Times New Roman" w:hAnsi="Times New Roman" w:cs="Times New Roman"/>
          <w:sz w:val="24"/>
          <w:szCs w:val="24"/>
        </w:rPr>
      </w:pPr>
      <w:r>
        <w:rPr>
          <w:rFonts w:ascii="Times New Roman" w:hAnsi="Times New Roman" w:cs="Times New Roman"/>
          <w:sz w:val="24"/>
          <w:szCs w:val="24"/>
        </w:rPr>
        <w:br w:type="page"/>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PGR, Progesterone and GATA2 signatures identification</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 xml:space="preserve">The </w:t>
      </w:r>
      <w:proofErr w:type="spellStart"/>
      <w:r w:rsidRPr="009912E5">
        <w:rPr>
          <w:rFonts w:ascii="Times New Roman" w:hAnsi="Times New Roman" w:cs="Times New Roman"/>
          <w:sz w:val="24"/>
          <w:szCs w:val="24"/>
        </w:rPr>
        <w:t>Partek</w:t>
      </w:r>
      <w:proofErr w:type="spellEnd"/>
      <w:r w:rsidRPr="009912E5">
        <w:rPr>
          <w:rFonts w:ascii="Times New Roman" w:hAnsi="Times New Roman" w:cs="Times New Roman"/>
          <w:sz w:val="24"/>
          <w:szCs w:val="24"/>
        </w:rPr>
        <w:t xml:space="preserve"> Genomics Suite 7.17 software (</w:t>
      </w:r>
      <w:proofErr w:type="spellStart"/>
      <w:r w:rsidRPr="009912E5">
        <w:rPr>
          <w:rFonts w:ascii="Times New Roman" w:hAnsi="Times New Roman" w:cs="Times New Roman"/>
          <w:sz w:val="24"/>
          <w:szCs w:val="24"/>
        </w:rPr>
        <w:t>Partek</w:t>
      </w:r>
      <w:proofErr w:type="spellEnd"/>
      <w:r w:rsidRPr="009912E5">
        <w:rPr>
          <w:rFonts w:ascii="Times New Roman" w:hAnsi="Times New Roman" w:cs="Times New Roman"/>
          <w:sz w:val="24"/>
          <w:szCs w:val="24"/>
        </w:rPr>
        <w:t xml:space="preserve"> Inc., St. Louis, MO) was utilized to </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 xml:space="preserve">process raw data from CEL files. The Robust Multichip Analysis (RMA) algorithm with </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 xml:space="preserve">quantile for normalization and log2 transformation was applied to preprocess the data. A one-way ANOVA model was used to compare expression profiles from different groups. Differentially expressed genes (DGE) were defined using an unadjusted p value &lt; 0.01 and absolute fold change &gt;1.3.  </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i/>
          <w:iCs/>
          <w:sz w:val="24"/>
          <w:szCs w:val="24"/>
        </w:rPr>
        <w:t xml:space="preserve">DEGs identified: GATA2 (1,913), PGR (211), and Progesterone (129) </w:t>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GATA2, PGR, and Progesterone activities in human dataset (GSE58144)</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 xml:space="preserve">The publicly available human recurrent implantation failure (RIF) array dataset </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GSE58</w:t>
      </w:r>
      <w:bookmarkStart w:id="1" w:name="_GoBack"/>
      <w:bookmarkEnd w:id="1"/>
      <w:r w:rsidRPr="009912E5">
        <w:rPr>
          <w:rFonts w:ascii="Times New Roman" w:hAnsi="Times New Roman" w:cs="Times New Roman"/>
          <w:sz w:val="24"/>
          <w:szCs w:val="24"/>
        </w:rPr>
        <w:t xml:space="preserve">144 was scored for manifestation of the mouse model-derived GATA2, PGR, </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and Progesterone</w:t>
      </w:r>
      <w:r w:rsidRPr="009912E5">
        <w:rPr>
          <w:rFonts w:ascii="Times New Roman" w:hAnsi="Times New Roman" w:cs="Times New Roman"/>
          <w:bCs/>
          <w:sz w:val="24"/>
          <w:szCs w:val="24"/>
        </w:rPr>
        <w:t xml:space="preserve"> </w:t>
      </w:r>
      <w:r w:rsidRPr="009912E5">
        <w:rPr>
          <w:rFonts w:ascii="Times New Roman" w:hAnsi="Times New Roman" w:cs="Times New Roman"/>
          <w:sz w:val="24"/>
          <w:szCs w:val="24"/>
        </w:rPr>
        <w:t xml:space="preserve">signature, using published methods (Qin et al., 2013). For multiple probes mapping to the same gene, the probe with the highest variation was chosen to represent the gene. For each gene, the profiles were centered to the median across samples. </w:t>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Structural Equation Model (SEM) for biological network</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The hypothesized networks derived from the previous study (Rubel, C.A. 2016) on the functional relationship among endogenous/exogenous variables were tested for causal relationship in a SEM framework. All SEMs were implemented in R (</w:t>
      </w:r>
      <w:r w:rsidRPr="009912E5">
        <w:rPr>
          <w:rFonts w:ascii="Times New Roman" w:hAnsi="Times New Roman" w:cs="Times New Roman"/>
          <w:bCs/>
          <w:sz w:val="24"/>
          <w:szCs w:val="24"/>
        </w:rPr>
        <w:t>Figure 1</w:t>
      </w:r>
      <w:r w:rsidRPr="009912E5">
        <w:rPr>
          <w:rFonts w:ascii="Times New Roman" w:hAnsi="Times New Roman" w:cs="Times New Roman"/>
          <w:sz w:val="24"/>
          <w:szCs w:val="24"/>
        </w:rPr>
        <w:t xml:space="preserve">) with </w:t>
      </w:r>
      <w:proofErr w:type="spellStart"/>
      <w:r w:rsidRPr="009912E5">
        <w:rPr>
          <w:rFonts w:ascii="Times New Roman" w:hAnsi="Times New Roman" w:cs="Times New Roman"/>
          <w:sz w:val="24"/>
          <w:szCs w:val="24"/>
        </w:rPr>
        <w:t>lavaan</w:t>
      </w:r>
      <w:proofErr w:type="spellEnd"/>
      <w:r w:rsidRPr="009912E5">
        <w:rPr>
          <w:rFonts w:ascii="Times New Roman" w:hAnsi="Times New Roman" w:cs="Times New Roman"/>
          <w:sz w:val="24"/>
          <w:szCs w:val="24"/>
        </w:rPr>
        <w:t xml:space="preserve"> package (</w:t>
      </w:r>
      <w:proofErr w:type="spellStart"/>
      <w:r w:rsidRPr="009912E5">
        <w:rPr>
          <w:rFonts w:ascii="Times New Roman" w:hAnsi="Times New Roman" w:cs="Times New Roman"/>
          <w:sz w:val="24"/>
          <w:szCs w:val="24"/>
        </w:rPr>
        <w:t>Oberski</w:t>
      </w:r>
      <w:proofErr w:type="spellEnd"/>
      <w:r w:rsidRPr="009912E5">
        <w:rPr>
          <w:rFonts w:ascii="Times New Roman" w:hAnsi="Times New Roman" w:cs="Times New Roman"/>
          <w:sz w:val="24"/>
          <w:szCs w:val="24"/>
        </w:rPr>
        <w:t xml:space="preserve"> 2014). A SEM was fitted in each network and evaluated with a chi-square goodness of fit test. The fit was evaluated with different indices including Tucker-Lewis Index, Comparative Fit Index, RMSE, etc.</w:t>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Signature Analysis web development</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The web-based application was developed through integrating publicly available R packages and internally developed R functions by using the Shiny framework in R environment (</w:t>
      </w:r>
      <w:r w:rsidRPr="009912E5">
        <w:rPr>
          <w:rFonts w:ascii="Times New Roman" w:hAnsi="Times New Roman" w:cs="Times New Roman"/>
          <w:bCs/>
          <w:sz w:val="24"/>
          <w:szCs w:val="24"/>
        </w:rPr>
        <w:t>Figure 2A</w:t>
      </w:r>
      <w:r w:rsidRPr="009912E5">
        <w:rPr>
          <w:rFonts w:ascii="Times New Roman" w:hAnsi="Times New Roman" w:cs="Times New Roman"/>
          <w:sz w:val="24"/>
          <w:szCs w:val="24"/>
        </w:rPr>
        <w:t>). The Signature Analysis is for calculating the functioning activity (Wu, S.P. et al 2015) that is later used in the SEM. This application is accessible within NIEHS network and the source codes are deposited in GitHub and a docker image is also available.</w:t>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Mechanistic analysis</w:t>
      </w:r>
    </w:p>
    <w:p w:rsidR="009912E5" w:rsidRPr="009912E5" w:rsidRDefault="009912E5" w:rsidP="009912E5">
      <w:pPr>
        <w:spacing w:line="480" w:lineRule="auto"/>
        <w:rPr>
          <w:rFonts w:ascii="Times New Roman" w:hAnsi="Times New Roman" w:cs="Times New Roman"/>
          <w:sz w:val="24"/>
          <w:szCs w:val="24"/>
        </w:rPr>
      </w:pPr>
      <w:r w:rsidRPr="009912E5">
        <w:rPr>
          <w:rFonts w:ascii="Times New Roman" w:hAnsi="Times New Roman" w:cs="Times New Roman"/>
          <w:sz w:val="24"/>
          <w:szCs w:val="24"/>
        </w:rPr>
        <w:t>Ingenuity Pathway Analysis (Qiagen) was performed on GATA2 significant DEGs. Significant upstream regulators with p-value &lt; 0.01 were reported</w:t>
      </w:r>
    </w:p>
    <w:p w:rsidR="009912E5" w:rsidRPr="009912E5" w:rsidRDefault="009912E5" w:rsidP="009912E5">
      <w:pPr>
        <w:spacing w:line="480" w:lineRule="auto"/>
        <w:rPr>
          <w:rFonts w:ascii="Times New Roman" w:hAnsi="Times New Roman" w:cs="Times New Roman"/>
          <w:b/>
          <w:sz w:val="24"/>
          <w:szCs w:val="24"/>
        </w:rPr>
      </w:pPr>
      <w:r w:rsidRPr="009912E5">
        <w:rPr>
          <w:rFonts w:ascii="Times New Roman" w:hAnsi="Times New Roman" w:cs="Times New Roman"/>
          <w:b/>
          <w:bCs/>
          <w:sz w:val="24"/>
          <w:szCs w:val="24"/>
        </w:rPr>
        <w:t>Significance assessment</w:t>
      </w:r>
    </w:p>
    <w:p w:rsidR="00D715BE" w:rsidRDefault="009912E5" w:rsidP="009912E5">
      <w:pPr>
        <w:spacing w:line="480" w:lineRule="auto"/>
        <w:rPr>
          <w:rFonts w:ascii="Times New Roman" w:hAnsi="Times New Roman" w:cs="Times New Roman"/>
          <w:sz w:val="24"/>
          <w:szCs w:val="24"/>
        </w:rPr>
      </w:pPr>
      <w:r w:rsidRPr="007E41CB">
        <w:rPr>
          <w:rFonts w:ascii="Times New Roman" w:hAnsi="Times New Roman" w:cs="Times New Roman"/>
          <w:sz w:val="24"/>
          <w:szCs w:val="24"/>
        </w:rPr>
        <w:t>To assess the significance of the analysis, we implemented two bootstrap strategies (</w:t>
      </w:r>
      <w:r w:rsidRPr="007E41CB">
        <w:rPr>
          <w:rFonts w:ascii="Times New Roman" w:hAnsi="Times New Roman" w:cs="Times New Roman"/>
          <w:bCs/>
          <w:sz w:val="24"/>
          <w:szCs w:val="24"/>
        </w:rPr>
        <w:t>Figure 3A</w:t>
      </w:r>
      <w:r w:rsidRPr="007E41CB">
        <w:rPr>
          <w:rFonts w:ascii="Times New Roman" w:hAnsi="Times New Roman" w:cs="Times New Roman"/>
          <w:sz w:val="24"/>
          <w:szCs w:val="24"/>
        </w:rPr>
        <w:t>). An overall diagram of two bootstrap strategies. On the left hand, we randomly select and exclude the same number of genes (N) as downstream target of an upstream regulator of interest. The re-calculate the “GATA2 activity” with our R Shiny app, then rerun the SEM with an updated GATA2 activity. On the right, we create a universe candidate gene lists using all genes on the human array by removing the original GATA2 significant genes list, plus PGR significant gene list, and SOX17. We exclude the downstream target of an upstream regulator of interest, then the randomly select the same number of genes (N) from the universe and add it back to the shrunk list, eventually, “GATA2 activity” with our R Shiny app, then rerun the SEM with an updated GATA2 activity. With each strategy design, we iterate 1000 times. To test whether an upstream regulator plays a significant role, we use a non-parametric distribution</w:t>
      </w:r>
      <w:r w:rsidR="00276FDD">
        <w:rPr>
          <w:rFonts w:ascii="Times New Roman" w:hAnsi="Times New Roman" w:cs="Times New Roman"/>
          <w:sz w:val="24"/>
          <w:szCs w:val="24"/>
        </w:rPr>
        <w:t>-</w:t>
      </w:r>
      <w:r w:rsidRPr="007E41CB">
        <w:rPr>
          <w:rFonts w:ascii="Times New Roman" w:hAnsi="Times New Roman" w:cs="Times New Roman"/>
          <w:sz w:val="24"/>
          <w:szCs w:val="24"/>
        </w:rPr>
        <w:t>based test (</w:t>
      </w:r>
      <w:r w:rsidRPr="007E41CB">
        <w:rPr>
          <w:rFonts w:ascii="Times New Roman" w:hAnsi="Times New Roman" w:cs="Times New Roman"/>
          <w:bCs/>
          <w:sz w:val="24"/>
          <w:szCs w:val="24"/>
        </w:rPr>
        <w:t xml:space="preserve">Figure 4 </w:t>
      </w:r>
      <w:r w:rsidRPr="007E41CB">
        <w:rPr>
          <w:rFonts w:ascii="Times New Roman" w:hAnsi="Times New Roman" w:cs="Times New Roman"/>
          <w:sz w:val="24"/>
          <w:szCs w:val="24"/>
        </w:rPr>
        <w:t>diagram).</w:t>
      </w:r>
      <w:r w:rsidR="0097591E">
        <w:rPr>
          <w:rFonts w:ascii="Times New Roman" w:hAnsi="Times New Roman" w:cs="Times New Roman"/>
          <w:sz w:val="24"/>
          <w:szCs w:val="24"/>
        </w:rPr>
        <w:t xml:space="preserve"> The s</w:t>
      </w:r>
      <w:r w:rsidRPr="007E41CB">
        <w:rPr>
          <w:rFonts w:ascii="Times New Roman" w:hAnsi="Times New Roman" w:cs="Times New Roman"/>
          <w:sz w:val="24"/>
          <w:szCs w:val="24"/>
        </w:rPr>
        <w:t>ignificance was indicated by the final index (I): the smaller the index, the greater the impact.</w:t>
      </w:r>
    </w:p>
    <w:p w:rsidR="00D715BE" w:rsidRDefault="00D715BE">
      <w:pPr>
        <w:rPr>
          <w:rFonts w:ascii="Times New Roman" w:hAnsi="Times New Roman" w:cs="Times New Roman"/>
          <w:sz w:val="24"/>
          <w:szCs w:val="24"/>
        </w:rPr>
      </w:pPr>
      <w:r>
        <w:rPr>
          <w:rFonts w:ascii="Times New Roman" w:hAnsi="Times New Roman" w:cs="Times New Roman"/>
          <w:sz w:val="24"/>
          <w:szCs w:val="24"/>
        </w:rPr>
        <w:br w:type="page"/>
      </w:r>
    </w:p>
    <w:p w:rsidR="007F739E" w:rsidRPr="00D715BE" w:rsidRDefault="007F739E" w:rsidP="009912E5">
      <w:pPr>
        <w:spacing w:line="480" w:lineRule="auto"/>
        <w:rPr>
          <w:rFonts w:ascii="Times New Roman" w:hAnsi="Times New Roman" w:cs="Times New Roman"/>
          <w:b/>
          <w:sz w:val="24"/>
          <w:szCs w:val="24"/>
        </w:rPr>
      </w:pPr>
      <w:r w:rsidRPr="00D715BE">
        <w:rPr>
          <w:rFonts w:ascii="Times New Roman" w:hAnsi="Times New Roman" w:cs="Times New Roman"/>
          <w:b/>
          <w:sz w:val="24"/>
          <w:szCs w:val="24"/>
        </w:rPr>
        <w:t>Tables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1266"/>
        <w:gridCol w:w="1146"/>
        <w:gridCol w:w="1084"/>
        <w:gridCol w:w="1273"/>
        <w:gridCol w:w="2186"/>
        <w:gridCol w:w="1200"/>
      </w:tblGrid>
      <w:tr w:rsidR="00727825" w:rsidTr="00EF0380">
        <w:tc>
          <w:tcPr>
            <w:tcW w:w="1188"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themeColor="text1"/>
                <w:kern w:val="24"/>
                <w:sz w:val="18"/>
                <w:szCs w:val="18"/>
              </w:rPr>
              <w:t>Regulator</w:t>
            </w:r>
          </w:p>
        </w:tc>
        <w:tc>
          <w:tcPr>
            <w:tcW w:w="1267"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themeColor="text1"/>
                <w:kern w:val="24"/>
                <w:sz w:val="18"/>
                <w:szCs w:val="18"/>
              </w:rPr>
              <w:t>Molecule Type</w:t>
            </w:r>
          </w:p>
        </w:tc>
        <w:tc>
          <w:tcPr>
            <w:tcW w:w="1148"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kern w:val="24"/>
                <w:sz w:val="18"/>
                <w:szCs w:val="18"/>
              </w:rPr>
              <w:t>SEM p-value (GATA2)</w:t>
            </w:r>
          </w:p>
        </w:tc>
        <w:tc>
          <w:tcPr>
            <w:tcW w:w="1086"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kern w:val="24"/>
                <w:sz w:val="18"/>
                <w:szCs w:val="18"/>
              </w:rPr>
              <w:t>SEM p-value (PGR)</w:t>
            </w:r>
          </w:p>
        </w:tc>
        <w:tc>
          <w:tcPr>
            <w:tcW w:w="1274"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themeColor="text1"/>
                <w:kern w:val="24"/>
                <w:sz w:val="18"/>
                <w:szCs w:val="18"/>
              </w:rPr>
              <w:t>p-value (IPA)</w:t>
            </w:r>
          </w:p>
        </w:tc>
        <w:tc>
          <w:tcPr>
            <w:tcW w:w="2186"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proofErr w:type="spellStart"/>
            <w:r w:rsidRPr="00727825">
              <w:rPr>
                <w:rFonts w:ascii="Calibri" w:hAnsi="Calibri" w:cs="Calibri"/>
                <w:b/>
                <w:bCs/>
                <w:color w:val="000000"/>
                <w:kern w:val="24"/>
                <w:sz w:val="18"/>
                <w:szCs w:val="18"/>
              </w:rPr>
              <w:t>NumOfDownstreamGenes</w:t>
            </w:r>
            <w:proofErr w:type="spellEnd"/>
          </w:p>
        </w:tc>
        <w:tc>
          <w:tcPr>
            <w:tcW w:w="1201" w:type="dxa"/>
            <w:tcBorders>
              <w:top w:val="single" w:sz="4" w:space="0" w:color="auto"/>
              <w:bottom w:val="single" w:sz="4" w:space="0" w:color="auto"/>
            </w:tcBorders>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b/>
                <w:bCs/>
                <w:color w:val="000000" w:themeColor="text1"/>
                <w:kern w:val="24"/>
                <w:sz w:val="18"/>
                <w:szCs w:val="18"/>
              </w:rPr>
              <w:t>Predicted Activation State (IPA)</w:t>
            </w:r>
          </w:p>
        </w:tc>
      </w:tr>
      <w:tr w:rsidR="00904BB2" w:rsidTr="00904BB2">
        <w:tc>
          <w:tcPr>
            <w:tcW w:w="1188"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ATF4</w:t>
            </w:r>
          </w:p>
        </w:tc>
        <w:tc>
          <w:tcPr>
            <w:tcW w:w="1267"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0.0709</w:t>
            </w:r>
          </w:p>
        </w:tc>
        <w:tc>
          <w:tcPr>
            <w:tcW w:w="1086"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1.24E-11</w:t>
            </w:r>
          </w:p>
        </w:tc>
        <w:tc>
          <w:tcPr>
            <w:tcW w:w="1274"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0.000000252</w:t>
            </w:r>
          </w:p>
        </w:tc>
        <w:tc>
          <w:tcPr>
            <w:tcW w:w="2186"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34</w:t>
            </w:r>
          </w:p>
        </w:tc>
        <w:tc>
          <w:tcPr>
            <w:tcW w:w="1201" w:type="dxa"/>
            <w:tcBorders>
              <w:top w:val="single" w:sz="4" w:space="0" w:color="auto"/>
            </w:tcBorders>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beta-estradiol</w:t>
            </w:r>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chemical - endogenous mammalian</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0.2264</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2.02E-12</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6.02E-24</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289</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EGFR</w:t>
            </w:r>
          </w:p>
        </w:tc>
        <w:tc>
          <w:tcPr>
            <w:tcW w:w="1267"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kinase</w:t>
            </w:r>
          </w:p>
        </w:tc>
        <w:tc>
          <w:tcPr>
            <w:tcW w:w="1148"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0.1184</w:t>
            </w:r>
          </w:p>
        </w:tc>
        <w:tc>
          <w:tcPr>
            <w:tcW w:w="10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6.02E-12</w:t>
            </w:r>
          </w:p>
        </w:tc>
        <w:tc>
          <w:tcPr>
            <w:tcW w:w="1274"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1.1E-10</w:t>
            </w:r>
          </w:p>
        </w:tc>
        <w:tc>
          <w:tcPr>
            <w:tcW w:w="21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73</w:t>
            </w:r>
          </w:p>
        </w:tc>
        <w:tc>
          <w:tcPr>
            <w:tcW w:w="1201"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ERN1</w:t>
            </w:r>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kinase</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0.0456</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1.93E-11</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1.58E-08</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31</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FOXO3</w:t>
            </w:r>
          </w:p>
        </w:tc>
        <w:tc>
          <w:tcPr>
            <w:tcW w:w="1267"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0.0513</w:t>
            </w:r>
          </w:p>
        </w:tc>
        <w:tc>
          <w:tcPr>
            <w:tcW w:w="10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1.40E-11</w:t>
            </w:r>
          </w:p>
        </w:tc>
        <w:tc>
          <w:tcPr>
            <w:tcW w:w="1274"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3.87E-10</w:t>
            </w:r>
          </w:p>
        </w:tc>
        <w:tc>
          <w:tcPr>
            <w:tcW w:w="21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62</w:t>
            </w:r>
          </w:p>
        </w:tc>
        <w:tc>
          <w:tcPr>
            <w:tcW w:w="1201"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Activated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HOXA10</w:t>
            </w:r>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0.0353</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4.27E-11</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2.74E-08</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39</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MITF</w:t>
            </w:r>
          </w:p>
        </w:tc>
        <w:tc>
          <w:tcPr>
            <w:tcW w:w="1267"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0.0483</w:t>
            </w:r>
          </w:p>
        </w:tc>
        <w:tc>
          <w:tcPr>
            <w:tcW w:w="10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2.29E-11</w:t>
            </w:r>
          </w:p>
        </w:tc>
        <w:tc>
          <w:tcPr>
            <w:tcW w:w="1274"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5.91E-02</w:t>
            </w:r>
          </w:p>
        </w:tc>
        <w:tc>
          <w:tcPr>
            <w:tcW w:w="21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27</w:t>
            </w:r>
          </w:p>
        </w:tc>
        <w:tc>
          <w:tcPr>
            <w:tcW w:w="1201"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Activated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progesterone</w:t>
            </w:r>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chemical - endogenous mammalian</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0.0927</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4.72E-12</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1.03E-20</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124</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auto"/>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PTEN</w:t>
            </w:r>
          </w:p>
        </w:tc>
        <w:tc>
          <w:tcPr>
            <w:tcW w:w="1267" w:type="dxa"/>
            <w:shd w:val="clear" w:color="auto" w:fill="auto"/>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phosphatase</w:t>
            </w:r>
          </w:p>
        </w:tc>
        <w:tc>
          <w:tcPr>
            <w:tcW w:w="1148" w:type="dxa"/>
            <w:shd w:val="clear" w:color="auto" w:fill="auto"/>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0.0741</w:t>
            </w:r>
          </w:p>
        </w:tc>
        <w:tc>
          <w:tcPr>
            <w:tcW w:w="1086" w:type="dxa"/>
            <w:shd w:val="clear" w:color="auto" w:fill="auto"/>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1.78E-11</w:t>
            </w:r>
          </w:p>
        </w:tc>
        <w:tc>
          <w:tcPr>
            <w:tcW w:w="1274" w:type="dxa"/>
            <w:shd w:val="clear" w:color="auto" w:fill="auto"/>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4.30E-08</w:t>
            </w:r>
          </w:p>
        </w:tc>
        <w:tc>
          <w:tcPr>
            <w:tcW w:w="2186" w:type="dxa"/>
            <w:shd w:val="clear" w:color="auto" w:fill="auto"/>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83</w:t>
            </w:r>
          </w:p>
        </w:tc>
        <w:tc>
          <w:tcPr>
            <w:tcW w:w="1201" w:type="dxa"/>
            <w:shd w:val="clear" w:color="auto" w:fill="auto"/>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Activated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RUNX3</w:t>
            </w:r>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0.0399</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2.96E-11</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3.10E-03</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20</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TGFBR1</w:t>
            </w:r>
          </w:p>
        </w:tc>
        <w:tc>
          <w:tcPr>
            <w:tcW w:w="1267"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kinase</w:t>
            </w:r>
          </w:p>
        </w:tc>
        <w:tc>
          <w:tcPr>
            <w:tcW w:w="1148"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0.0327</w:t>
            </w:r>
          </w:p>
        </w:tc>
        <w:tc>
          <w:tcPr>
            <w:tcW w:w="10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5.00E-11</w:t>
            </w:r>
          </w:p>
        </w:tc>
        <w:tc>
          <w:tcPr>
            <w:tcW w:w="1274"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8.22E-03</w:t>
            </w:r>
          </w:p>
        </w:tc>
        <w:tc>
          <w:tcPr>
            <w:tcW w:w="21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14</w:t>
            </w:r>
          </w:p>
        </w:tc>
        <w:tc>
          <w:tcPr>
            <w:tcW w:w="1201"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Activated</w:t>
            </w:r>
          </w:p>
        </w:tc>
      </w:tr>
      <w:tr w:rsidR="00727825" w:rsidTr="00EF0380">
        <w:tc>
          <w:tcPr>
            <w:tcW w:w="1188"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proofErr w:type="spellStart"/>
            <w:r w:rsidRPr="00727825">
              <w:rPr>
                <w:rFonts w:ascii="Calibri" w:hAnsi="Calibri" w:cs="Calibri"/>
                <w:color w:val="000000" w:themeColor="text1"/>
                <w:kern w:val="24"/>
                <w:sz w:val="18"/>
                <w:szCs w:val="18"/>
              </w:rPr>
              <w:t>Vegf</w:t>
            </w:r>
            <w:proofErr w:type="spellEnd"/>
          </w:p>
        </w:tc>
        <w:tc>
          <w:tcPr>
            <w:tcW w:w="1267"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group</w:t>
            </w:r>
          </w:p>
        </w:tc>
        <w:tc>
          <w:tcPr>
            <w:tcW w:w="1148"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0.0699</w:t>
            </w:r>
          </w:p>
        </w:tc>
        <w:tc>
          <w:tcPr>
            <w:tcW w:w="1086"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6.57E-12</w:t>
            </w:r>
          </w:p>
        </w:tc>
        <w:tc>
          <w:tcPr>
            <w:tcW w:w="1274" w:type="dxa"/>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5.22E-06</w:t>
            </w:r>
          </w:p>
        </w:tc>
        <w:tc>
          <w:tcPr>
            <w:tcW w:w="2186" w:type="dxa"/>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72</w:t>
            </w:r>
          </w:p>
        </w:tc>
        <w:tc>
          <w:tcPr>
            <w:tcW w:w="1201" w:type="dxa"/>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r w:rsidR="00727825" w:rsidTr="00904BB2">
        <w:tc>
          <w:tcPr>
            <w:tcW w:w="1188"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XBP1</w:t>
            </w:r>
          </w:p>
        </w:tc>
        <w:tc>
          <w:tcPr>
            <w:tcW w:w="1267"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transcription regulator</w:t>
            </w:r>
          </w:p>
        </w:tc>
        <w:tc>
          <w:tcPr>
            <w:tcW w:w="1148"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0.0276</w:t>
            </w:r>
          </w:p>
        </w:tc>
        <w:tc>
          <w:tcPr>
            <w:tcW w:w="10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5.68E-11</w:t>
            </w:r>
          </w:p>
        </w:tc>
        <w:tc>
          <w:tcPr>
            <w:tcW w:w="1274"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right"/>
              <w:textAlignment w:val="bottom"/>
              <w:rPr>
                <w:rFonts w:ascii="Arial" w:hAnsi="Arial" w:cs="Arial"/>
                <w:sz w:val="18"/>
                <w:szCs w:val="18"/>
              </w:rPr>
            </w:pPr>
            <w:r w:rsidRPr="00727825">
              <w:rPr>
                <w:rFonts w:ascii="Calibri" w:hAnsi="Calibri" w:cs="Calibri"/>
                <w:color w:val="000000" w:themeColor="text1"/>
                <w:kern w:val="24"/>
                <w:sz w:val="18"/>
                <w:szCs w:val="18"/>
              </w:rPr>
              <w:t>2.88E-09</w:t>
            </w:r>
          </w:p>
        </w:tc>
        <w:tc>
          <w:tcPr>
            <w:tcW w:w="2186" w:type="dxa"/>
            <w:shd w:val="clear" w:color="auto" w:fill="D0CECE" w:themeFill="background2" w:themeFillShade="E6"/>
            <w:vAlign w:val="bottom"/>
          </w:tcPr>
          <w:p w:rsidR="00727825" w:rsidRPr="00727825" w:rsidRDefault="00727825" w:rsidP="00727825">
            <w:pPr>
              <w:pStyle w:val="NormalWeb"/>
              <w:spacing w:before="0" w:beforeAutospacing="0" w:after="0" w:afterAutospacing="0"/>
              <w:jc w:val="center"/>
              <w:textAlignment w:val="bottom"/>
              <w:rPr>
                <w:rFonts w:ascii="Arial" w:hAnsi="Arial" w:cs="Arial"/>
                <w:sz w:val="18"/>
                <w:szCs w:val="18"/>
              </w:rPr>
            </w:pPr>
            <w:r w:rsidRPr="00727825">
              <w:rPr>
                <w:rFonts w:ascii="Calibri" w:hAnsi="Calibri" w:cs="Calibri"/>
                <w:color w:val="000000" w:themeColor="text1"/>
                <w:kern w:val="24"/>
                <w:sz w:val="18"/>
                <w:szCs w:val="18"/>
              </w:rPr>
              <w:t>45</w:t>
            </w:r>
          </w:p>
        </w:tc>
        <w:tc>
          <w:tcPr>
            <w:tcW w:w="1201" w:type="dxa"/>
            <w:shd w:val="clear" w:color="auto" w:fill="D0CECE" w:themeFill="background2" w:themeFillShade="E6"/>
            <w:vAlign w:val="bottom"/>
          </w:tcPr>
          <w:p w:rsidR="00727825" w:rsidRPr="00727825" w:rsidRDefault="00727825" w:rsidP="00727825">
            <w:pPr>
              <w:pStyle w:val="NormalWeb"/>
              <w:spacing w:before="0" w:beforeAutospacing="0" w:after="0" w:afterAutospacing="0"/>
              <w:textAlignment w:val="bottom"/>
              <w:rPr>
                <w:rFonts w:ascii="Arial" w:hAnsi="Arial" w:cs="Arial"/>
                <w:sz w:val="18"/>
                <w:szCs w:val="18"/>
              </w:rPr>
            </w:pPr>
            <w:r w:rsidRPr="00727825">
              <w:rPr>
                <w:rFonts w:ascii="Calibri" w:hAnsi="Calibri" w:cs="Calibri"/>
                <w:color w:val="000000" w:themeColor="text1"/>
                <w:kern w:val="24"/>
                <w:sz w:val="18"/>
                <w:szCs w:val="18"/>
              </w:rPr>
              <w:t>Inhibited</w:t>
            </w:r>
          </w:p>
        </w:tc>
      </w:tr>
    </w:tbl>
    <w:p w:rsidR="007F739E" w:rsidRDefault="00727825" w:rsidP="009912E5">
      <w:pPr>
        <w:spacing w:line="480" w:lineRule="auto"/>
        <w:rPr>
          <w:rFonts w:ascii="Times New Roman" w:hAnsi="Times New Roman" w:cs="Times New Roman"/>
          <w:sz w:val="24"/>
          <w:szCs w:val="24"/>
        </w:rPr>
      </w:pPr>
      <w:r>
        <w:rPr>
          <w:rFonts w:ascii="Times New Roman" w:hAnsi="Times New Roman" w:cs="Times New Roman"/>
          <w:sz w:val="24"/>
          <w:szCs w:val="24"/>
        </w:rPr>
        <w:t>Table 1</w:t>
      </w:r>
      <w:proofErr w:type="gramStart"/>
      <w:r>
        <w:rPr>
          <w:rFonts w:ascii="Times New Roman" w:hAnsi="Times New Roman" w:cs="Times New Roman"/>
          <w:sz w:val="24"/>
          <w:szCs w:val="24"/>
        </w:rPr>
        <w:t xml:space="preserve">. </w:t>
      </w:r>
      <w:r w:rsidRPr="00727825">
        <w:rPr>
          <w:rFonts w:ascii="Times New Roman" w:hAnsi="Times New Roman" w:cs="Times New Roman"/>
          <w:b/>
          <w:bCs/>
          <w:sz w:val="24"/>
          <w:szCs w:val="24"/>
        </w:rPr>
        <w:t>.</w:t>
      </w:r>
      <w:proofErr w:type="gramEnd"/>
      <w:r w:rsidRPr="00727825">
        <w:rPr>
          <w:rFonts w:ascii="Times New Roman" w:hAnsi="Times New Roman" w:cs="Times New Roman"/>
          <w:b/>
          <w:bCs/>
          <w:sz w:val="24"/>
          <w:szCs w:val="24"/>
        </w:rPr>
        <w:t xml:space="preserve">  </w:t>
      </w:r>
      <w:r w:rsidRPr="00727825">
        <w:rPr>
          <w:rFonts w:ascii="Times New Roman" w:hAnsi="Times New Roman" w:cs="Times New Roman"/>
          <w:sz w:val="24"/>
          <w:szCs w:val="24"/>
        </w:rPr>
        <w:t xml:space="preserve">Function of 13 upstream regulators whose downstream target genes were parts of the GATA2 significant gene list and were tested in the SEM model. Most of them played a role in affecting the GATA2 activity which were further reflected by the </w:t>
      </w:r>
      <w:proofErr w:type="gramStart"/>
      <w:r w:rsidRPr="00727825">
        <w:rPr>
          <w:rFonts w:ascii="Times New Roman" w:hAnsi="Times New Roman" w:cs="Times New Roman"/>
          <w:sz w:val="24"/>
          <w:szCs w:val="24"/>
        </w:rPr>
        <w:t>SEM  (</w:t>
      </w:r>
      <w:proofErr w:type="gramEnd"/>
      <w:r w:rsidRPr="00727825">
        <w:rPr>
          <w:rFonts w:ascii="Times New Roman" w:hAnsi="Times New Roman" w:cs="Times New Roman"/>
          <w:sz w:val="24"/>
          <w:szCs w:val="24"/>
        </w:rPr>
        <w:t xml:space="preserve">p-value of GATA2).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1481"/>
        <w:gridCol w:w="1410"/>
        <w:gridCol w:w="1442"/>
        <w:gridCol w:w="2186"/>
        <w:gridCol w:w="1390"/>
      </w:tblGrid>
      <w:tr w:rsidR="00904BB2" w:rsidTr="007665BB">
        <w:tc>
          <w:tcPr>
            <w:tcW w:w="1441"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b/>
                <w:bCs/>
                <w:color w:val="000000"/>
                <w:kern w:val="24"/>
                <w:sz w:val="18"/>
                <w:szCs w:val="18"/>
              </w:rPr>
              <w:t>Upstream regulator</w:t>
            </w:r>
          </w:p>
        </w:tc>
        <w:tc>
          <w:tcPr>
            <w:tcW w:w="1481"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000000"/>
                <w:kern w:val="24"/>
                <w:sz w:val="18"/>
                <w:szCs w:val="18"/>
              </w:rPr>
              <w:t>Molecular type</w:t>
            </w:r>
          </w:p>
        </w:tc>
        <w:tc>
          <w:tcPr>
            <w:tcW w:w="1410"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000000"/>
                <w:kern w:val="24"/>
                <w:sz w:val="18"/>
                <w:szCs w:val="18"/>
              </w:rPr>
              <w:t>Index(I)</w:t>
            </w:r>
          </w:p>
        </w:tc>
        <w:tc>
          <w:tcPr>
            <w:tcW w:w="1442"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000000"/>
                <w:kern w:val="24"/>
                <w:sz w:val="18"/>
                <w:szCs w:val="18"/>
              </w:rPr>
              <w:t>Impact</w:t>
            </w:r>
          </w:p>
        </w:tc>
        <w:tc>
          <w:tcPr>
            <w:tcW w:w="2186"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proofErr w:type="spellStart"/>
            <w:r w:rsidRPr="00904BB2">
              <w:rPr>
                <w:rFonts w:ascii="Calibri" w:hAnsi="Calibri" w:cs="Arial"/>
                <w:b/>
                <w:bCs/>
                <w:color w:val="000000"/>
                <w:kern w:val="24"/>
                <w:sz w:val="18"/>
                <w:szCs w:val="18"/>
              </w:rPr>
              <w:t>NumOfDownstreamGenes</w:t>
            </w:r>
            <w:proofErr w:type="spellEnd"/>
          </w:p>
        </w:tc>
        <w:tc>
          <w:tcPr>
            <w:tcW w:w="1390" w:type="dxa"/>
            <w:tcBorders>
              <w:top w:val="single" w:sz="4" w:space="0" w:color="auto"/>
              <w:bottom w:val="single" w:sz="4" w:space="0" w:color="auto"/>
            </w:tcBorders>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000000"/>
                <w:kern w:val="24"/>
                <w:sz w:val="18"/>
                <w:szCs w:val="18"/>
              </w:rPr>
              <w:t>IPA (p- value)</w:t>
            </w:r>
          </w:p>
        </w:tc>
      </w:tr>
      <w:tr w:rsidR="00904BB2" w:rsidTr="00513D5A">
        <w:tc>
          <w:tcPr>
            <w:tcW w:w="1441"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BCL6</w:t>
            </w:r>
          </w:p>
        </w:tc>
        <w:tc>
          <w:tcPr>
            <w:tcW w:w="1481"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28</w:t>
            </w:r>
          </w:p>
        </w:tc>
        <w:tc>
          <w:tcPr>
            <w:tcW w:w="1390" w:type="dxa"/>
            <w:tcBorders>
              <w:top w:val="single" w:sz="4" w:space="0" w:color="auto"/>
            </w:tcBorders>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9.96E-03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BRCA1</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32</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2.07E-05</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CTNNB1</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92</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2.50E-04</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EHMT2</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9</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7.90E-03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EP300</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65</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3.44E-06</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MAX</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20</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2.82E-05</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NFYA</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15</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3.68E-03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PML</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22</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1.42E-03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SIN3A</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13</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1.53E-03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SIN3B</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7</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1.11E-03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SP1</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80</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1.66E-06</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SP3</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39</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3.25E-06</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TP73</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47</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8.98E-03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TWIST1</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23</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5.50E-03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YAP1</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17</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5.31E-03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ZNF282</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&lt;0.001</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2.16E-03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EZH2</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0.0023</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45</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3.04E-03</w:t>
            </w:r>
          </w:p>
        </w:tc>
      </w:tr>
      <w:tr w:rsidR="00904BB2" w:rsidTr="007665BB">
        <w:tc>
          <w:tcPr>
            <w:tcW w:w="144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TCF3</w:t>
            </w:r>
          </w:p>
        </w:tc>
        <w:tc>
          <w:tcPr>
            <w:tcW w:w="1481" w:type="dxa"/>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color w:val="000000"/>
                <w:kern w:val="24"/>
                <w:sz w:val="18"/>
                <w:szCs w:val="18"/>
              </w:rPr>
              <w:t>transcription regulator</w:t>
            </w:r>
          </w:p>
        </w:tc>
        <w:tc>
          <w:tcPr>
            <w:tcW w:w="1410"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FF0000"/>
                <w:kern w:val="24"/>
                <w:sz w:val="18"/>
                <w:szCs w:val="18"/>
              </w:rPr>
              <w:t>0.0024</w:t>
            </w:r>
          </w:p>
        </w:tc>
        <w:tc>
          <w:tcPr>
            <w:tcW w:w="1442" w:type="dxa"/>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FF0000"/>
                <w:kern w:val="24"/>
                <w:sz w:val="18"/>
                <w:szCs w:val="18"/>
              </w:rPr>
              <w:t>Favorable</w:t>
            </w:r>
          </w:p>
        </w:tc>
        <w:tc>
          <w:tcPr>
            <w:tcW w:w="2186"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41</w:t>
            </w:r>
          </w:p>
        </w:tc>
        <w:tc>
          <w:tcPr>
            <w:tcW w:w="1390" w:type="dxa"/>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color w:val="000000"/>
                <w:kern w:val="24"/>
                <w:sz w:val="18"/>
                <w:szCs w:val="18"/>
              </w:rPr>
              <w:t>7.42E-03</w:t>
            </w:r>
          </w:p>
        </w:tc>
      </w:tr>
      <w:tr w:rsidR="00904BB2" w:rsidTr="00513D5A">
        <w:tc>
          <w:tcPr>
            <w:tcW w:w="144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b/>
                <w:bCs/>
                <w:color w:val="00B0F0"/>
                <w:kern w:val="24"/>
                <w:sz w:val="18"/>
                <w:szCs w:val="18"/>
              </w:rPr>
              <w:t>EGFR</w:t>
            </w:r>
          </w:p>
        </w:tc>
        <w:tc>
          <w:tcPr>
            <w:tcW w:w="1481" w:type="dxa"/>
            <w:shd w:val="clear" w:color="auto" w:fill="D0CECE" w:themeFill="background2" w:themeFillShade="E6"/>
            <w:vAlign w:val="bottom"/>
          </w:tcPr>
          <w:p w:rsidR="00904BB2" w:rsidRPr="00904BB2" w:rsidRDefault="00904BB2" w:rsidP="00904BB2">
            <w:pPr>
              <w:pStyle w:val="NormalWeb"/>
              <w:spacing w:before="0" w:beforeAutospacing="0" w:after="0" w:afterAutospacing="0"/>
              <w:textAlignment w:val="bottom"/>
              <w:rPr>
                <w:rFonts w:ascii="Arial" w:hAnsi="Arial" w:cs="Arial"/>
                <w:sz w:val="18"/>
                <w:szCs w:val="18"/>
              </w:rPr>
            </w:pPr>
            <w:r w:rsidRPr="00904BB2">
              <w:rPr>
                <w:rFonts w:ascii="Calibri" w:hAnsi="Calibri" w:cs="Arial"/>
                <w:b/>
                <w:bCs/>
                <w:color w:val="00B0F0"/>
                <w:kern w:val="24"/>
                <w:sz w:val="18"/>
                <w:szCs w:val="18"/>
              </w:rPr>
              <w:t>kinase</w:t>
            </w:r>
          </w:p>
        </w:tc>
        <w:tc>
          <w:tcPr>
            <w:tcW w:w="141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hAnsi="Calibri" w:cs="Arial"/>
                <w:b/>
                <w:bCs/>
                <w:color w:val="00B0F0"/>
                <w:kern w:val="24"/>
                <w:sz w:val="18"/>
                <w:szCs w:val="18"/>
              </w:rPr>
              <w:t>&lt;0.001</w:t>
            </w:r>
          </w:p>
        </w:tc>
        <w:tc>
          <w:tcPr>
            <w:tcW w:w="1442"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center"/>
              <w:textAlignment w:val="bottom"/>
              <w:rPr>
                <w:rFonts w:ascii="Arial" w:hAnsi="Arial" w:cs="Arial"/>
                <w:sz w:val="18"/>
                <w:szCs w:val="18"/>
              </w:rPr>
            </w:pPr>
            <w:r w:rsidRPr="00904BB2">
              <w:rPr>
                <w:rFonts w:ascii="Calibri" w:eastAsiaTheme="minorEastAsia" w:hAnsi="Calibri" w:cstheme="minorBidi"/>
                <w:b/>
                <w:bCs/>
                <w:color w:val="00B0F0"/>
                <w:kern w:val="24"/>
                <w:sz w:val="18"/>
                <w:szCs w:val="18"/>
              </w:rPr>
              <w:t>Favorable</w:t>
            </w:r>
          </w:p>
        </w:tc>
        <w:tc>
          <w:tcPr>
            <w:tcW w:w="2186"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b/>
                <w:bCs/>
                <w:color w:val="00B0F0"/>
                <w:kern w:val="24"/>
                <w:sz w:val="18"/>
                <w:szCs w:val="18"/>
              </w:rPr>
              <w:t>73</w:t>
            </w:r>
          </w:p>
        </w:tc>
        <w:tc>
          <w:tcPr>
            <w:tcW w:w="1390" w:type="dxa"/>
            <w:shd w:val="clear" w:color="auto" w:fill="D0CECE" w:themeFill="background2" w:themeFillShade="E6"/>
            <w:vAlign w:val="bottom"/>
          </w:tcPr>
          <w:p w:rsidR="00904BB2" w:rsidRPr="00904BB2" w:rsidRDefault="00904BB2" w:rsidP="00904BB2">
            <w:pPr>
              <w:pStyle w:val="NormalWeb"/>
              <w:spacing w:before="0" w:beforeAutospacing="0" w:after="0" w:afterAutospacing="0"/>
              <w:jc w:val="right"/>
              <w:textAlignment w:val="bottom"/>
              <w:rPr>
                <w:rFonts w:ascii="Arial" w:hAnsi="Arial" w:cs="Arial"/>
                <w:sz w:val="18"/>
                <w:szCs w:val="18"/>
              </w:rPr>
            </w:pPr>
            <w:r w:rsidRPr="00904BB2">
              <w:rPr>
                <w:rFonts w:ascii="Calibri" w:hAnsi="Calibri" w:cs="Arial"/>
                <w:b/>
                <w:bCs/>
                <w:color w:val="00B0F0"/>
                <w:kern w:val="24"/>
                <w:sz w:val="18"/>
                <w:szCs w:val="18"/>
              </w:rPr>
              <w:t>1.10E-10</w:t>
            </w:r>
          </w:p>
        </w:tc>
      </w:tr>
    </w:tbl>
    <w:p w:rsidR="00904BB2" w:rsidRPr="00904BB2" w:rsidRDefault="00904BB2" w:rsidP="00904BB2">
      <w:pPr>
        <w:spacing w:line="480" w:lineRule="auto"/>
        <w:rPr>
          <w:rFonts w:ascii="Times New Roman" w:hAnsi="Times New Roman" w:cs="Times New Roman"/>
          <w:sz w:val="24"/>
          <w:szCs w:val="24"/>
        </w:rPr>
      </w:pPr>
      <w:r w:rsidRPr="00904BB2">
        <w:rPr>
          <w:rFonts w:ascii="Times New Roman" w:hAnsi="Times New Roman" w:cs="Times New Roman"/>
          <w:b/>
          <w:bCs/>
          <w:sz w:val="24"/>
          <w:szCs w:val="24"/>
        </w:rPr>
        <w:t xml:space="preserve">Table 2 </w:t>
      </w:r>
      <w:r w:rsidRPr="00904BB2">
        <w:rPr>
          <w:rFonts w:ascii="Times New Roman" w:hAnsi="Times New Roman" w:cs="Times New Roman"/>
          <w:sz w:val="24"/>
          <w:szCs w:val="24"/>
        </w:rPr>
        <w:t xml:space="preserve">A test analysis of 97 transcription regulators plus several pregnancy-related factors that were identified by an IPA upstream analysis.  Only top 20 best index score </w:t>
      </w:r>
      <w:proofErr w:type="gramStart"/>
      <w:r w:rsidRPr="00904BB2">
        <w:rPr>
          <w:rFonts w:ascii="Times New Roman" w:hAnsi="Times New Roman" w:cs="Times New Roman"/>
          <w:sz w:val="24"/>
          <w:szCs w:val="24"/>
        </w:rPr>
        <w:t>results  were</w:t>
      </w:r>
      <w:proofErr w:type="gramEnd"/>
      <w:r w:rsidRPr="00904BB2">
        <w:rPr>
          <w:rFonts w:ascii="Times New Roman" w:hAnsi="Times New Roman" w:cs="Times New Roman"/>
          <w:sz w:val="24"/>
          <w:szCs w:val="24"/>
        </w:rPr>
        <w:t xml:space="preserve">  shown. The initial 13 regulators used for the SEM model testing were also included and shown in blue. </w:t>
      </w:r>
    </w:p>
    <w:p w:rsidR="00727825" w:rsidRPr="007E41CB" w:rsidRDefault="00727825" w:rsidP="009912E5">
      <w:pPr>
        <w:spacing w:line="480" w:lineRule="auto"/>
        <w:rPr>
          <w:rFonts w:ascii="Times New Roman" w:hAnsi="Times New Roman" w:cs="Times New Roman"/>
          <w:sz w:val="24"/>
          <w:szCs w:val="24"/>
        </w:rPr>
      </w:pPr>
    </w:p>
    <w:p w:rsidR="007F739E" w:rsidRPr="009912E5" w:rsidRDefault="00AF5987" w:rsidP="00AF5987">
      <w:pPr>
        <w:spacing w:line="480" w:lineRule="auto"/>
        <w:rPr>
          <w:rFonts w:ascii="Times New Roman" w:hAnsi="Times New Roman" w:cs="Times New Roman"/>
          <w:b/>
          <w:sz w:val="24"/>
          <w:szCs w:val="24"/>
        </w:rPr>
      </w:pPr>
      <w:r w:rsidRPr="009912E5">
        <w:rPr>
          <w:rFonts w:ascii="Times New Roman" w:hAnsi="Times New Roman" w:cs="Times New Roman"/>
          <w:b/>
          <w:sz w:val="24"/>
          <w:szCs w:val="24"/>
        </w:rPr>
        <w:t>Figures and legends</w:t>
      </w:r>
    </w:p>
    <w:p w:rsidR="00360768" w:rsidRPr="00360768" w:rsidRDefault="00360768" w:rsidP="00360768">
      <w:pPr>
        <w:spacing w:line="480" w:lineRule="auto"/>
        <w:rPr>
          <w:rFonts w:ascii="Times New Roman" w:hAnsi="Times New Roman" w:cs="Times New Roman"/>
          <w:b/>
          <w:bCs/>
          <w:sz w:val="24"/>
          <w:szCs w:val="24"/>
        </w:rPr>
      </w:pPr>
      <w:r w:rsidRPr="00360768">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360768">
        <w:rPr>
          <w:rFonts w:ascii="Times New Roman" w:hAnsi="Times New Roman" w:cs="Times New Roman"/>
          <w:b/>
          <w:bCs/>
          <w:sz w:val="24"/>
          <w:szCs w:val="24"/>
        </w:rPr>
        <w:t xml:space="preserve">. </w:t>
      </w:r>
      <w:r w:rsidRPr="00360768">
        <w:rPr>
          <w:rFonts w:ascii="Times New Roman" w:hAnsi="Times New Roman" w:cs="Times New Roman"/>
          <w:bCs/>
          <w:sz w:val="24"/>
          <w:szCs w:val="24"/>
        </w:rPr>
        <w:t>Overall workflow</w:t>
      </w:r>
    </w:p>
    <w:p w:rsidR="00360768" w:rsidRPr="00360768" w:rsidRDefault="00360768" w:rsidP="00360768">
      <w:pPr>
        <w:spacing w:line="480" w:lineRule="auto"/>
        <w:rPr>
          <w:rFonts w:ascii="Times New Roman" w:hAnsi="Times New Roman" w:cs="Times New Roman"/>
          <w:b/>
          <w:bCs/>
          <w:sz w:val="24"/>
          <w:szCs w:val="24"/>
        </w:rPr>
      </w:pPr>
      <w:r w:rsidRPr="00360768">
        <w:rPr>
          <w:rFonts w:ascii="Times New Roman" w:hAnsi="Times New Roman" w:cs="Times New Roman"/>
          <w:b/>
          <w:bCs/>
          <w:sz w:val="24"/>
          <w:szCs w:val="24"/>
        </w:rPr>
        <w:t xml:space="preserve">Figure 2. </w:t>
      </w:r>
      <w:r w:rsidRPr="00360768">
        <w:rPr>
          <w:rFonts w:ascii="Times New Roman" w:hAnsi="Times New Roman" w:cs="Times New Roman"/>
          <w:bCs/>
          <w:sz w:val="24"/>
          <w:szCs w:val="24"/>
        </w:rPr>
        <w:t>Testing the biological hypothesis.</w:t>
      </w:r>
    </w:p>
    <w:p w:rsidR="00360768" w:rsidRPr="00360768" w:rsidRDefault="00360768" w:rsidP="00360768">
      <w:pPr>
        <w:spacing w:line="480" w:lineRule="auto"/>
        <w:rPr>
          <w:rFonts w:ascii="Times New Roman" w:hAnsi="Times New Roman" w:cs="Times New Roman"/>
          <w:bCs/>
          <w:sz w:val="24"/>
          <w:szCs w:val="24"/>
        </w:rPr>
      </w:pPr>
      <w:r w:rsidRPr="00360768">
        <w:rPr>
          <w:rFonts w:ascii="Times New Roman" w:hAnsi="Times New Roman" w:cs="Times New Roman"/>
          <w:b/>
          <w:bCs/>
          <w:sz w:val="24"/>
          <w:szCs w:val="24"/>
        </w:rPr>
        <w:t xml:space="preserve">Figure 3. </w:t>
      </w:r>
      <w:r w:rsidRPr="00360768">
        <w:rPr>
          <w:rFonts w:ascii="Times New Roman" w:hAnsi="Times New Roman" w:cs="Times New Roman"/>
          <w:bCs/>
          <w:sz w:val="24"/>
          <w:szCs w:val="24"/>
        </w:rPr>
        <w:t xml:space="preserve">A screenshot of the Signature Analysis R Shiny application. It has four tab and the last tab shows the instruction of how to use this application. Two QR codes are for code repository on GitHub and a docker image.  </w:t>
      </w:r>
    </w:p>
    <w:p w:rsidR="00360768" w:rsidRPr="00360768" w:rsidRDefault="00360768" w:rsidP="00360768">
      <w:pPr>
        <w:spacing w:line="480" w:lineRule="auto"/>
        <w:rPr>
          <w:rFonts w:ascii="Times New Roman" w:hAnsi="Times New Roman" w:cs="Times New Roman"/>
          <w:sz w:val="24"/>
          <w:szCs w:val="24"/>
        </w:rPr>
      </w:pPr>
      <w:r w:rsidRPr="00360768">
        <w:rPr>
          <w:rFonts w:ascii="Times New Roman" w:hAnsi="Times New Roman" w:cs="Times New Roman"/>
          <w:b/>
          <w:bCs/>
          <w:sz w:val="24"/>
          <w:szCs w:val="24"/>
        </w:rPr>
        <w:t xml:space="preserve">Figure 4A </w:t>
      </w:r>
      <w:r w:rsidRPr="00360768">
        <w:rPr>
          <w:rFonts w:ascii="Times New Roman" w:hAnsi="Times New Roman" w:cs="Times New Roman"/>
          <w:sz w:val="24"/>
          <w:szCs w:val="24"/>
        </w:rPr>
        <w:t>A two-fold bootstrap strategies. On the left hand, we coin the name “elimination without replacement”; whereas the one on the right, “elimination with replacement”.</w:t>
      </w:r>
    </w:p>
    <w:p w:rsidR="00360768" w:rsidRPr="00360768" w:rsidRDefault="00360768" w:rsidP="00360768">
      <w:pPr>
        <w:spacing w:line="480" w:lineRule="auto"/>
        <w:rPr>
          <w:rFonts w:ascii="Times New Roman" w:hAnsi="Times New Roman" w:cs="Times New Roman"/>
          <w:sz w:val="24"/>
          <w:szCs w:val="24"/>
        </w:rPr>
      </w:pPr>
      <w:r w:rsidRPr="00360768">
        <w:rPr>
          <w:rFonts w:ascii="Times New Roman" w:hAnsi="Times New Roman" w:cs="Times New Roman"/>
          <w:b/>
          <w:bCs/>
          <w:sz w:val="24"/>
          <w:szCs w:val="24"/>
        </w:rPr>
        <w:t xml:space="preserve">Figure 4B. </w:t>
      </w:r>
      <w:r w:rsidRPr="00360768">
        <w:rPr>
          <w:rFonts w:ascii="Times New Roman" w:hAnsi="Times New Roman" w:cs="Times New Roman"/>
          <w:sz w:val="24"/>
          <w:szCs w:val="24"/>
        </w:rPr>
        <w:t xml:space="preserve">Based on the two-fold bootstrap strategies, an index value is calculated to infer the impact significance </w:t>
      </w:r>
    </w:p>
    <w:p w:rsidR="00360768" w:rsidRDefault="00360768" w:rsidP="00AF5987">
      <w:pPr>
        <w:spacing w:line="480" w:lineRule="auto"/>
        <w:rPr>
          <w:rFonts w:ascii="Times New Roman" w:hAnsi="Times New Roman" w:cs="Times New Roman"/>
          <w:sz w:val="24"/>
          <w:szCs w:val="24"/>
        </w:rPr>
      </w:pPr>
    </w:p>
    <w:p w:rsidR="00AF5987" w:rsidRPr="005706F4" w:rsidRDefault="009D7642" w:rsidP="00AF5987">
      <w:pPr>
        <w:spacing w:line="480" w:lineRule="auto"/>
        <w:rPr>
          <w:rFonts w:ascii="Times New Roman" w:hAnsi="Times New Roman" w:cs="Times New Roman"/>
          <w:b/>
          <w:sz w:val="24"/>
          <w:szCs w:val="24"/>
        </w:rPr>
      </w:pPr>
      <w:r w:rsidRPr="005706F4">
        <w:rPr>
          <w:rFonts w:ascii="Times New Roman" w:hAnsi="Times New Roman" w:cs="Times New Roman"/>
          <w:b/>
          <w:sz w:val="24"/>
          <w:szCs w:val="24"/>
        </w:rPr>
        <w:t>Supplemental table</w:t>
      </w:r>
    </w:p>
    <w:p w:rsidR="009D7642" w:rsidRDefault="009D7642" w:rsidP="00AF5987">
      <w:pPr>
        <w:spacing w:line="480" w:lineRule="auto"/>
        <w:rPr>
          <w:rFonts w:ascii="Times New Roman" w:hAnsi="Times New Roman" w:cs="Times New Roman"/>
          <w:sz w:val="24"/>
          <w:szCs w:val="24"/>
        </w:rPr>
      </w:pPr>
      <w:r w:rsidRPr="00277D92">
        <w:rPr>
          <w:rFonts w:ascii="Times New Roman" w:hAnsi="Times New Roman" w:cs="Times New Roman"/>
          <w:b/>
          <w:sz w:val="24"/>
          <w:szCs w:val="24"/>
        </w:rPr>
        <w:t>S1.</w:t>
      </w:r>
      <w:r>
        <w:rPr>
          <w:rFonts w:ascii="Times New Roman" w:hAnsi="Times New Roman" w:cs="Times New Roman"/>
          <w:sz w:val="24"/>
          <w:szCs w:val="24"/>
        </w:rPr>
        <w:t xml:space="preserve"> Differentially expressed genes (DEGs)/probes from GATA2 knockout study (Rubel, C.A. et al. 2016). The analysis was done with </w:t>
      </w:r>
      <w:proofErr w:type="spellStart"/>
      <w:r>
        <w:rPr>
          <w:rFonts w:ascii="Times New Roman" w:hAnsi="Times New Roman" w:cs="Times New Roman"/>
          <w:sz w:val="24"/>
          <w:szCs w:val="24"/>
        </w:rPr>
        <w:t>Partek</w:t>
      </w:r>
      <w:proofErr w:type="spellEnd"/>
      <w:r>
        <w:rPr>
          <w:rFonts w:ascii="Times New Roman" w:hAnsi="Times New Roman" w:cs="Times New Roman"/>
          <w:sz w:val="24"/>
          <w:szCs w:val="24"/>
        </w:rPr>
        <w:t xml:space="preserve"> and DEGs were obtained at different threshold cut offs (</w:t>
      </w:r>
      <w:r>
        <w:rPr>
          <w:rFonts w:ascii="Times New Roman" w:hAnsi="Times New Roman" w:cs="Times New Roman"/>
          <w:sz w:val="24"/>
          <w:szCs w:val="24"/>
        </w:rPr>
        <w:t>GATA2_dff_probes_at_thresholds.xlsx</w:t>
      </w:r>
      <w:r>
        <w:rPr>
          <w:rFonts w:ascii="Times New Roman" w:hAnsi="Times New Roman" w:cs="Times New Roman"/>
          <w:sz w:val="24"/>
          <w:szCs w:val="24"/>
        </w:rPr>
        <w:t>)</w:t>
      </w:r>
    </w:p>
    <w:p w:rsidR="009D7642" w:rsidRDefault="009D7642" w:rsidP="00AF5987">
      <w:pPr>
        <w:spacing w:line="480" w:lineRule="auto"/>
        <w:rPr>
          <w:rFonts w:ascii="Times New Roman" w:hAnsi="Times New Roman" w:cs="Times New Roman"/>
          <w:sz w:val="24"/>
          <w:szCs w:val="24"/>
        </w:rPr>
      </w:pPr>
      <w:r w:rsidRPr="00277D92">
        <w:rPr>
          <w:rFonts w:ascii="Times New Roman" w:hAnsi="Times New Roman" w:cs="Times New Roman"/>
          <w:b/>
          <w:sz w:val="24"/>
          <w:szCs w:val="24"/>
        </w:rPr>
        <w:t>S2.</w:t>
      </w:r>
      <w:r>
        <w:rPr>
          <w:rFonts w:ascii="Times New Roman" w:hAnsi="Times New Roman" w:cs="Times New Roman"/>
          <w:sz w:val="24"/>
          <w:szCs w:val="24"/>
        </w:rPr>
        <w:t xml:space="preserve"> IPA analysis was performed on GATA2 DEGs list, upstream regulator results were retained (</w:t>
      </w:r>
      <w:r w:rsidRPr="009D7642">
        <w:rPr>
          <w:rFonts w:ascii="Times New Roman" w:hAnsi="Times New Roman" w:cs="Times New Roman"/>
          <w:sz w:val="24"/>
          <w:szCs w:val="24"/>
        </w:rPr>
        <w:t>all_UpstreamRegulator_from_IPA</w:t>
      </w:r>
      <w:r>
        <w:rPr>
          <w:rFonts w:ascii="Times New Roman" w:hAnsi="Times New Roman" w:cs="Times New Roman"/>
          <w:sz w:val="24"/>
          <w:szCs w:val="24"/>
        </w:rPr>
        <w:t>.xlsx)</w:t>
      </w:r>
    </w:p>
    <w:p w:rsidR="009D7642" w:rsidRDefault="009D7642" w:rsidP="009D7642">
      <w:pPr>
        <w:spacing w:line="480" w:lineRule="auto"/>
        <w:rPr>
          <w:rFonts w:ascii="Times New Roman" w:hAnsi="Times New Roman" w:cs="Times New Roman"/>
          <w:sz w:val="24"/>
          <w:szCs w:val="24"/>
        </w:rPr>
      </w:pPr>
      <w:r w:rsidRPr="00360768">
        <w:rPr>
          <w:rFonts w:ascii="Times New Roman" w:hAnsi="Times New Roman" w:cs="Times New Roman"/>
          <w:b/>
          <w:sz w:val="24"/>
          <w:szCs w:val="24"/>
        </w:rPr>
        <w:t>S3.</w:t>
      </w:r>
      <w:r>
        <w:rPr>
          <w:rFonts w:ascii="Times New Roman" w:hAnsi="Times New Roman" w:cs="Times New Roman"/>
          <w:sz w:val="24"/>
          <w:szCs w:val="24"/>
        </w:rPr>
        <w:t xml:space="preserve"> U</w:t>
      </w:r>
      <w:r>
        <w:rPr>
          <w:rFonts w:ascii="Times New Roman" w:hAnsi="Times New Roman" w:cs="Times New Roman"/>
          <w:sz w:val="24"/>
          <w:szCs w:val="24"/>
        </w:rPr>
        <w:t xml:space="preserve">pstream regulator results </w:t>
      </w:r>
      <w:r>
        <w:rPr>
          <w:rFonts w:ascii="Times New Roman" w:hAnsi="Times New Roman" w:cs="Times New Roman"/>
          <w:sz w:val="24"/>
          <w:szCs w:val="24"/>
        </w:rPr>
        <w:t xml:space="preserve">from IPA </w:t>
      </w:r>
      <w:r>
        <w:rPr>
          <w:rFonts w:ascii="Times New Roman" w:hAnsi="Times New Roman" w:cs="Times New Roman"/>
          <w:sz w:val="24"/>
          <w:szCs w:val="24"/>
        </w:rPr>
        <w:t xml:space="preserve">were retained </w:t>
      </w:r>
      <w:r>
        <w:rPr>
          <w:rFonts w:ascii="Times New Roman" w:hAnsi="Times New Roman" w:cs="Times New Roman"/>
          <w:sz w:val="24"/>
          <w:szCs w:val="24"/>
        </w:rPr>
        <w:t xml:space="preserve">at p-value less than 0.01 and for “transcription regular” only. </w:t>
      </w:r>
      <w:r>
        <w:rPr>
          <w:rFonts w:ascii="Times New Roman" w:hAnsi="Times New Roman" w:cs="Times New Roman"/>
          <w:sz w:val="24"/>
          <w:szCs w:val="24"/>
        </w:rPr>
        <w:t>(</w:t>
      </w:r>
      <w:r w:rsidRPr="009D7642">
        <w:rPr>
          <w:rFonts w:ascii="Times New Roman" w:hAnsi="Times New Roman" w:cs="Times New Roman"/>
          <w:sz w:val="24"/>
          <w:szCs w:val="24"/>
        </w:rPr>
        <w:t>UpstreamRegulator_TranscriptionRegulator_pValue_lessthan_01</w:t>
      </w:r>
      <w:r>
        <w:rPr>
          <w:rFonts w:ascii="Times New Roman" w:hAnsi="Times New Roman" w:cs="Times New Roman"/>
          <w:sz w:val="24"/>
          <w:szCs w:val="24"/>
        </w:rPr>
        <w:t>.xlsx)</w:t>
      </w:r>
    </w:p>
    <w:p w:rsidR="005706F4" w:rsidRPr="005706F4" w:rsidRDefault="005706F4" w:rsidP="005706F4">
      <w:pPr>
        <w:spacing w:line="480" w:lineRule="auto"/>
        <w:rPr>
          <w:rFonts w:ascii="Times New Roman" w:hAnsi="Times New Roman" w:cs="Times New Roman"/>
          <w:b/>
          <w:sz w:val="24"/>
          <w:szCs w:val="24"/>
        </w:rPr>
      </w:pPr>
      <w:r w:rsidRPr="005706F4">
        <w:rPr>
          <w:rFonts w:ascii="Times New Roman" w:hAnsi="Times New Roman" w:cs="Times New Roman"/>
          <w:b/>
          <w:sz w:val="24"/>
          <w:szCs w:val="24"/>
        </w:rPr>
        <w:t xml:space="preserve">Supplemental </w:t>
      </w:r>
      <w:r>
        <w:rPr>
          <w:rFonts w:ascii="Times New Roman" w:hAnsi="Times New Roman" w:cs="Times New Roman"/>
          <w:b/>
          <w:sz w:val="24"/>
          <w:szCs w:val="24"/>
        </w:rPr>
        <w:t>figures</w:t>
      </w:r>
    </w:p>
    <w:p w:rsidR="005706F4" w:rsidRDefault="005706F4" w:rsidP="005706F4">
      <w:pPr>
        <w:spacing w:line="480" w:lineRule="auto"/>
        <w:rPr>
          <w:rFonts w:ascii="Times New Roman" w:hAnsi="Times New Roman" w:cs="Times New Roman"/>
          <w:sz w:val="24"/>
          <w:szCs w:val="24"/>
        </w:rPr>
      </w:pPr>
      <w:r w:rsidRPr="00360768">
        <w:rPr>
          <w:rFonts w:ascii="Times New Roman" w:hAnsi="Times New Roman" w:cs="Times New Roman"/>
          <w:b/>
          <w:sz w:val="24"/>
          <w:szCs w:val="24"/>
        </w:rPr>
        <w:t>F</w:t>
      </w:r>
      <w:r w:rsidRPr="00360768">
        <w:rPr>
          <w:rFonts w:ascii="Times New Roman" w:hAnsi="Times New Roman" w:cs="Times New Roman"/>
          <w:b/>
          <w:sz w:val="24"/>
          <w:szCs w:val="24"/>
        </w:rPr>
        <w:t>1.</w:t>
      </w:r>
      <w:r>
        <w:rPr>
          <w:rFonts w:ascii="Times New Roman" w:hAnsi="Times New Roman" w:cs="Times New Roman"/>
          <w:sz w:val="24"/>
          <w:szCs w:val="24"/>
        </w:rPr>
        <w:t xml:space="preserve"> </w:t>
      </w:r>
      <w:r w:rsidRPr="005706F4">
        <w:rPr>
          <w:rFonts w:ascii="Times New Roman" w:hAnsi="Times New Roman" w:cs="Times New Roman"/>
          <w:sz w:val="24"/>
          <w:szCs w:val="24"/>
        </w:rPr>
        <w:t>Validating the results from M-Plus with newly developed R-program</w:t>
      </w:r>
      <w:r>
        <w:rPr>
          <w:rFonts w:ascii="Times New Roman" w:hAnsi="Times New Roman" w:cs="Times New Roman"/>
          <w:sz w:val="24"/>
          <w:szCs w:val="24"/>
        </w:rPr>
        <w:t xml:space="preserve"> </w:t>
      </w:r>
    </w:p>
    <w:p w:rsidR="00360768" w:rsidRDefault="00360768">
      <w:pPr>
        <w:rPr>
          <w:rFonts w:ascii="Times New Roman" w:hAnsi="Times New Roman" w:cs="Times New Roman"/>
          <w:sz w:val="24"/>
          <w:szCs w:val="24"/>
        </w:rPr>
      </w:pPr>
      <w:r>
        <w:rPr>
          <w:rFonts w:ascii="Times New Roman" w:hAnsi="Times New Roman" w:cs="Times New Roman"/>
          <w:sz w:val="24"/>
          <w:szCs w:val="24"/>
        </w:rPr>
        <w:br w:type="page"/>
      </w:r>
    </w:p>
    <w:p w:rsidR="005706F4" w:rsidRDefault="005706F4" w:rsidP="005706F4">
      <w:pPr>
        <w:spacing w:line="480" w:lineRule="auto"/>
        <w:rPr>
          <w:rFonts w:ascii="Times New Roman" w:hAnsi="Times New Roman" w:cs="Times New Roman"/>
          <w:sz w:val="24"/>
          <w:szCs w:val="24"/>
        </w:rPr>
      </w:pPr>
    </w:p>
    <w:p w:rsidR="009D7642" w:rsidRPr="00AF5987" w:rsidRDefault="009D7642" w:rsidP="00AF5987">
      <w:pPr>
        <w:spacing w:line="480" w:lineRule="auto"/>
        <w:rPr>
          <w:rFonts w:ascii="Times New Roman" w:hAnsi="Times New Roman" w:cs="Times New Roman"/>
          <w:sz w:val="24"/>
          <w:szCs w:val="24"/>
        </w:rPr>
      </w:pPr>
    </w:p>
    <w:p w:rsidR="009B45DB" w:rsidRDefault="00222F39">
      <w:r>
        <w:t>Our paper will focus on the following four main contribution</w:t>
      </w:r>
    </w:p>
    <w:p w:rsidR="00222F39" w:rsidRDefault="00222F39"/>
    <w:p w:rsidR="00222F39" w:rsidRDefault="00222F39" w:rsidP="00222F39">
      <w:pPr>
        <w:pStyle w:val="ListParagraph"/>
        <w:numPr>
          <w:ilvl w:val="0"/>
          <w:numId w:val="1"/>
        </w:numPr>
      </w:pPr>
      <w:r>
        <w:t>Successfully establish the R environment for SEM framework</w:t>
      </w:r>
    </w:p>
    <w:p w:rsidR="00352F55" w:rsidRDefault="00352F55" w:rsidP="00222F39">
      <w:pPr>
        <w:pStyle w:val="ListParagraph"/>
        <w:numPr>
          <w:ilvl w:val="0"/>
          <w:numId w:val="1"/>
        </w:numPr>
      </w:pPr>
      <w:r>
        <w:t>Successfully leverage the SEM concept in genomic/biology research (SEM paper in GWAS)</w:t>
      </w:r>
    </w:p>
    <w:p w:rsidR="00222F39" w:rsidRDefault="00222F39" w:rsidP="00222F39">
      <w:pPr>
        <w:pStyle w:val="ListParagraph"/>
        <w:numPr>
          <w:ilvl w:val="0"/>
          <w:numId w:val="1"/>
        </w:numPr>
      </w:pPr>
      <w:r>
        <w:t>R-</w:t>
      </w:r>
      <w:proofErr w:type="spellStart"/>
      <w:r>
        <w:t>shinyapp</w:t>
      </w:r>
      <w:proofErr w:type="spellEnd"/>
      <w:r>
        <w:t xml:space="preserve"> for SEM and t-score implementation for wider user’s scope</w:t>
      </w:r>
    </w:p>
    <w:p w:rsidR="00222F39" w:rsidRDefault="00725084" w:rsidP="00222F39">
      <w:pPr>
        <w:pStyle w:val="ListParagraph"/>
        <w:numPr>
          <w:ilvl w:val="0"/>
          <w:numId w:val="1"/>
        </w:numPr>
      </w:pPr>
      <w:r>
        <w:t>New targets were identified for biology</w:t>
      </w:r>
    </w:p>
    <w:p w:rsidR="00725084" w:rsidRDefault="00725084" w:rsidP="00222F39">
      <w:pPr>
        <w:pStyle w:val="ListParagraph"/>
        <w:numPr>
          <w:ilvl w:val="0"/>
          <w:numId w:val="1"/>
        </w:numPr>
      </w:pPr>
      <w:r>
        <w:t xml:space="preserve">Extend the model to include more variables </w:t>
      </w:r>
    </w:p>
    <w:p w:rsidR="008F553A" w:rsidRDefault="007220F6" w:rsidP="008F553A">
      <w:r>
        <w:t>Reference document</w:t>
      </w:r>
    </w:p>
    <w:p w:rsidR="007220F6" w:rsidRDefault="00513D5A" w:rsidP="008F553A">
      <w:hyperlink r:id="rId5" w:history="1">
        <w:r w:rsidR="007220F6">
          <w:rPr>
            <w:rStyle w:val="Hyperlink"/>
          </w:rPr>
          <w:t>https://www.kdnuggets.com/2017/03/structural-equation-modeling.html</w:t>
        </w:r>
      </w:hyperlink>
    </w:p>
    <w:p w:rsidR="007220F6" w:rsidRDefault="00CE7456" w:rsidP="008F553A">
      <w:r>
        <w:t>SEM variables</w:t>
      </w:r>
    </w:p>
    <w:p w:rsidR="00CE7456" w:rsidRDefault="00CE7456" w:rsidP="008F553A"/>
    <w:p w:rsidR="00CE7456" w:rsidRDefault="00CE7456" w:rsidP="008F553A">
      <w:pPr>
        <w:rPr>
          <w:rFonts w:ascii="Arial" w:hAnsi="Arial" w:cs="Arial"/>
          <w:color w:val="111111"/>
          <w:shd w:val="clear" w:color="auto" w:fill="FFFFFF"/>
        </w:rPr>
      </w:pPr>
      <w:r>
        <w:rPr>
          <w:rFonts w:ascii="Arial" w:hAnsi="Arial" w:cs="Arial"/>
          <w:color w:val="111111"/>
          <w:shd w:val="clear" w:color="auto" w:fill="FFFFFF"/>
        </w:rPr>
        <w:t>In the path diagram above, ovals represent factors, also known as latent variables, unobserved variables or unmeasured variables in SEM lingo. These are theoretical concepts which can be inferred but not directly measured</w:t>
      </w:r>
    </w:p>
    <w:p w:rsidR="00CE7456" w:rsidRDefault="00CE7456" w:rsidP="008F553A">
      <w:pPr>
        <w:rPr>
          <w:rFonts w:ascii="Arial" w:hAnsi="Arial" w:cs="Arial"/>
          <w:color w:val="111111"/>
          <w:shd w:val="clear" w:color="auto" w:fill="FFFFFF"/>
        </w:rPr>
      </w:pPr>
    </w:p>
    <w:p w:rsidR="00CE7456" w:rsidRDefault="00CE7456" w:rsidP="008F553A"/>
    <w:p w:rsidR="008F553A" w:rsidRPr="00E90C9B" w:rsidRDefault="008F553A" w:rsidP="008F553A">
      <w:pPr>
        <w:rPr>
          <w:b/>
        </w:rPr>
      </w:pPr>
      <w:r w:rsidRPr="00E90C9B">
        <w:rPr>
          <w:b/>
        </w:rPr>
        <w:t>Results</w:t>
      </w:r>
    </w:p>
    <w:p w:rsidR="008F553A" w:rsidRDefault="008F553A" w:rsidP="008F553A">
      <w:pPr>
        <w:pStyle w:val="ListParagraph"/>
        <w:numPr>
          <w:ilvl w:val="0"/>
          <w:numId w:val="2"/>
        </w:numPr>
      </w:pPr>
      <w:r>
        <w:t xml:space="preserve">Translational projection </w:t>
      </w:r>
      <w:r w:rsidR="00E90C9B">
        <w:t>from mouse to human, automatically deriving “functional factor” activity (</w:t>
      </w:r>
      <w:proofErr w:type="spellStart"/>
      <w:r w:rsidR="00E90C9B">
        <w:t>Rshinny</w:t>
      </w:r>
      <w:proofErr w:type="spellEnd"/>
      <w:r w:rsidR="00E90C9B">
        <w:t xml:space="preserve"> application)</w:t>
      </w:r>
    </w:p>
    <w:p w:rsidR="00E90C9B" w:rsidRDefault="00E90C9B" w:rsidP="008F553A">
      <w:pPr>
        <w:pStyle w:val="ListParagraph"/>
        <w:numPr>
          <w:ilvl w:val="0"/>
          <w:numId w:val="2"/>
        </w:numPr>
      </w:pPr>
      <w:r>
        <w:t>Screening platform for biological hypothesis generation, validation and testing (simple model to complex models)</w:t>
      </w:r>
    </w:p>
    <w:p w:rsidR="00E90C9B" w:rsidRDefault="00E90C9B" w:rsidP="008F553A">
      <w:pPr>
        <w:pStyle w:val="ListParagraph"/>
        <w:numPr>
          <w:ilvl w:val="0"/>
          <w:numId w:val="2"/>
        </w:numPr>
      </w:pPr>
      <w:r>
        <w:t>Testing unseen and untestable relationship among important factors the play role in a systematical way</w:t>
      </w:r>
    </w:p>
    <w:p w:rsidR="00E90C9B" w:rsidRDefault="00E90C9B" w:rsidP="008F553A">
      <w:pPr>
        <w:pStyle w:val="ListParagraph"/>
        <w:numPr>
          <w:ilvl w:val="0"/>
          <w:numId w:val="2"/>
        </w:numPr>
      </w:pPr>
      <w:r>
        <w:t>Biological hypothesis testing</w:t>
      </w:r>
    </w:p>
    <w:p w:rsidR="00E90C9B" w:rsidRDefault="00E90C9B" w:rsidP="00E90C9B">
      <w:pPr>
        <w:pStyle w:val="ListParagraph"/>
        <w:numPr>
          <w:ilvl w:val="1"/>
          <w:numId w:val="2"/>
        </w:numPr>
      </w:pPr>
    </w:p>
    <w:p w:rsidR="00E90C9B" w:rsidRDefault="00E90C9B" w:rsidP="008F553A">
      <w:pPr>
        <w:pStyle w:val="ListParagraph"/>
        <w:numPr>
          <w:ilvl w:val="0"/>
          <w:numId w:val="2"/>
        </w:numPr>
      </w:pPr>
      <w:r>
        <w:t>Non-parametric testing scheme for upstream regulators function testing</w:t>
      </w:r>
    </w:p>
    <w:p w:rsidR="00E90C9B" w:rsidRDefault="00E90C9B" w:rsidP="00E90C9B"/>
    <w:p w:rsidR="00725084" w:rsidRPr="00C8133E" w:rsidRDefault="00C8133E" w:rsidP="00C8133E">
      <w:pPr>
        <w:spacing w:line="480" w:lineRule="auto"/>
        <w:rPr>
          <w:b/>
          <w:sz w:val="24"/>
          <w:szCs w:val="24"/>
        </w:rPr>
      </w:pPr>
      <w:r w:rsidRPr="00C8133E">
        <w:rPr>
          <w:b/>
          <w:sz w:val="24"/>
          <w:szCs w:val="24"/>
        </w:rPr>
        <w:lastRenderedPageBreak/>
        <w:t>Abstract</w:t>
      </w:r>
    </w:p>
    <w:p w:rsidR="00C8133E" w:rsidRDefault="00C8133E" w:rsidP="00C8133E">
      <w:pPr>
        <w:spacing w:line="480" w:lineRule="auto"/>
        <w:rPr>
          <w:sz w:val="24"/>
          <w:szCs w:val="24"/>
        </w:rPr>
      </w:pPr>
      <w:r w:rsidRPr="00C8133E">
        <w:rPr>
          <w:sz w:val="24"/>
          <w:szCs w:val="24"/>
        </w:rPr>
        <w:t xml:space="preserve">A previous application of Path Analysis confirmed an important biological model for the transcriptional network regulating uterine progesterone responsiveness and endometrial functions. The Structural Equation Model (SEM) is a statistical modeling approach for studying of complex cause-effect hypotheses in a closed system. SEM has been widely used in various fields with involving perturbations and measurable outcomes. Upon successfully establishing a framework in R (an open source program), we extended a previous model and leveraged the SEM features to examine broader systems involving regulators and their endpoints. In addition, a user-friendly R Shiny app was developed to infer the activity of human reproductive regulators based on the mouse gene expression profiles in an automated fashion. We started from an </w:t>
      </w:r>
      <w:r w:rsidRPr="00C8133E">
        <w:rPr>
          <w:i/>
          <w:iCs/>
          <w:sz w:val="24"/>
          <w:szCs w:val="24"/>
        </w:rPr>
        <w:t>in vitro</w:t>
      </w:r>
      <w:r w:rsidRPr="00C8133E">
        <w:rPr>
          <w:sz w:val="24"/>
          <w:szCs w:val="24"/>
        </w:rPr>
        <w:t xml:space="preserve"> alteration of latent gene interactions that disrupted the progesterone receptor pathway in the uterus of pregnant mice and then projected to a human reproduction system via an </w:t>
      </w:r>
      <w:proofErr w:type="gramStart"/>
      <w:r w:rsidRPr="00C8133E">
        <w:rPr>
          <w:i/>
          <w:iCs/>
          <w:sz w:val="24"/>
          <w:szCs w:val="24"/>
        </w:rPr>
        <w:t>in silico</w:t>
      </w:r>
      <w:proofErr w:type="gramEnd"/>
      <w:r w:rsidRPr="00C8133E">
        <w:rPr>
          <w:sz w:val="24"/>
          <w:szCs w:val="24"/>
        </w:rPr>
        <w:t xml:space="preserve"> route. The results eventually revealed a regulatory network in human that has the potential to facilitate human infertility study. In conclusion, by leveraging the features in the SEM framework, we established a translational framework that revealed a functional network system in a human reproduction system from a laboratory </w:t>
      </w:r>
      <w:r w:rsidRPr="00C8133E">
        <w:rPr>
          <w:sz w:val="24"/>
          <w:szCs w:val="24"/>
        </w:rPr>
        <w:lastRenderedPageBreak/>
        <w:t>established mouse-model. In the future, we plan to extend this framework to other complex systems for in-depth elucidation of biological networks and hidden regulatory relationships.</w:t>
      </w:r>
    </w:p>
    <w:p w:rsidR="00C8133E" w:rsidRPr="00C8133E" w:rsidRDefault="00C8133E" w:rsidP="00C8133E">
      <w:pPr>
        <w:spacing w:line="480" w:lineRule="auto"/>
        <w:rPr>
          <w:b/>
          <w:sz w:val="24"/>
          <w:szCs w:val="24"/>
        </w:rPr>
      </w:pPr>
      <w:r>
        <w:rPr>
          <w:b/>
          <w:sz w:val="24"/>
          <w:szCs w:val="24"/>
        </w:rPr>
        <w:t>Introduction/rationale</w:t>
      </w:r>
    </w:p>
    <w:p w:rsidR="00C8133E" w:rsidRDefault="00C8133E" w:rsidP="00C8133E">
      <w:pPr>
        <w:spacing w:line="480" w:lineRule="auto"/>
        <w:rPr>
          <w:sz w:val="24"/>
          <w:szCs w:val="24"/>
        </w:rPr>
      </w:pPr>
      <w:r w:rsidRPr="00C8133E">
        <w:rPr>
          <w:sz w:val="24"/>
          <w:szCs w:val="24"/>
        </w:rPr>
        <w:t xml:space="preserve">Successful pregnancy requires the endometrium, the inner lining of the uterine, to prepare for receiving and supporting the embryos. This process is controlled by the pregnancy hormone progesterone and its cognate receptor PGR. Dysfunctional progesterone signaling often leads to pregnancy failure. </w:t>
      </w:r>
      <w:r w:rsidRPr="00C8133E">
        <w:rPr>
          <w:i/>
          <w:iCs/>
          <w:sz w:val="24"/>
          <w:szCs w:val="24"/>
        </w:rPr>
        <w:t xml:space="preserve">In vivo </w:t>
      </w:r>
      <w:r w:rsidRPr="00C8133E">
        <w:rPr>
          <w:sz w:val="24"/>
          <w:szCs w:val="24"/>
        </w:rPr>
        <w:t xml:space="preserve">research model established in mouse model revealed that PGR and GATA2 transcription factors work together to mediate the progesterone signaling (Rubel, Wu et al. 2016).  This progesterone responsive genetic network is conserved between human and mouse as indicated by the Path Analysis using the M-Plus algorithm (Rubel, Wu et al. 2016).  The present study aims to extend the Path Analysis framework to test additional candidate factors and potential endpoints to further investigate this causal-responsive network. We established such platform with an open source R language and </w:t>
      </w:r>
      <w:proofErr w:type="spellStart"/>
      <w:r w:rsidRPr="00C8133E">
        <w:rPr>
          <w:sz w:val="24"/>
          <w:szCs w:val="24"/>
        </w:rPr>
        <w:t>lavaan</w:t>
      </w:r>
      <w:proofErr w:type="spellEnd"/>
      <w:r w:rsidRPr="00C8133E">
        <w:rPr>
          <w:sz w:val="24"/>
          <w:szCs w:val="24"/>
        </w:rPr>
        <w:t xml:space="preserve"> package developed by Yves </w:t>
      </w:r>
      <w:proofErr w:type="spellStart"/>
      <w:r w:rsidRPr="00C8133E">
        <w:rPr>
          <w:sz w:val="24"/>
          <w:szCs w:val="24"/>
        </w:rPr>
        <w:t>Rossel</w:t>
      </w:r>
      <w:proofErr w:type="spellEnd"/>
      <w:r w:rsidRPr="00C8133E">
        <w:rPr>
          <w:sz w:val="24"/>
          <w:szCs w:val="24"/>
        </w:rPr>
        <w:t xml:space="preserve"> in Belgium (</w:t>
      </w:r>
      <w:proofErr w:type="spellStart"/>
      <w:r w:rsidRPr="00C8133E">
        <w:rPr>
          <w:sz w:val="24"/>
          <w:szCs w:val="24"/>
        </w:rPr>
        <w:t>Oberski</w:t>
      </w:r>
      <w:proofErr w:type="spellEnd"/>
      <w:r w:rsidRPr="00C8133E">
        <w:rPr>
          <w:sz w:val="24"/>
          <w:szCs w:val="24"/>
        </w:rPr>
        <w:t xml:space="preserve"> 2014) and tested it with two established gene candidate lists: one is a clinical testing panel for human infertility (Diaz-</w:t>
      </w:r>
      <w:proofErr w:type="spellStart"/>
      <w:r w:rsidRPr="00C8133E">
        <w:rPr>
          <w:sz w:val="24"/>
          <w:szCs w:val="24"/>
        </w:rPr>
        <w:t>Gimeno</w:t>
      </w:r>
      <w:proofErr w:type="spellEnd"/>
      <w:r w:rsidRPr="00C8133E">
        <w:rPr>
          <w:sz w:val="24"/>
          <w:szCs w:val="24"/>
        </w:rPr>
        <w:t xml:space="preserve">, </w:t>
      </w:r>
      <w:proofErr w:type="spellStart"/>
      <w:r w:rsidRPr="00C8133E">
        <w:rPr>
          <w:sz w:val="24"/>
          <w:szCs w:val="24"/>
        </w:rPr>
        <w:lastRenderedPageBreak/>
        <w:t>Horcajadas</w:t>
      </w:r>
      <w:proofErr w:type="spellEnd"/>
      <w:r w:rsidRPr="00C8133E">
        <w:rPr>
          <w:sz w:val="24"/>
          <w:szCs w:val="24"/>
        </w:rPr>
        <w:t xml:space="preserve"> et al. 2011) and one intrinsic list (personal communication with Wu, S). We also established a non-parametric testing strategy to provide statistical significance metrics on the testing procedures.  In summary, we have shown the applicability and great potential of such a well-established framework in the genetic and molecular biology research. With the flexibility of open source environment, such framework can be integrated into analytical pipelines for streamlining and automated processes.</w:t>
      </w:r>
    </w:p>
    <w:p w:rsidR="00C27B49" w:rsidRPr="00C8133E" w:rsidRDefault="00C27B49" w:rsidP="00C27B49">
      <w:pPr>
        <w:spacing w:line="480" w:lineRule="auto"/>
        <w:rPr>
          <w:b/>
          <w:sz w:val="24"/>
          <w:szCs w:val="24"/>
        </w:rPr>
      </w:pPr>
      <w:r>
        <w:rPr>
          <w:b/>
          <w:sz w:val="24"/>
          <w:szCs w:val="24"/>
        </w:rPr>
        <w:t>Methods</w:t>
      </w:r>
    </w:p>
    <w:p w:rsidR="00F1122B" w:rsidRPr="00F1122B" w:rsidRDefault="00F1122B" w:rsidP="00F1122B">
      <w:pPr>
        <w:spacing w:line="480" w:lineRule="auto"/>
        <w:rPr>
          <w:sz w:val="24"/>
          <w:szCs w:val="24"/>
        </w:rPr>
      </w:pPr>
      <w:r w:rsidRPr="00F1122B">
        <w:rPr>
          <w:b/>
          <w:bCs/>
          <w:sz w:val="24"/>
          <w:szCs w:val="24"/>
        </w:rPr>
        <w:t>PGR, P4, and GATA2 signatures identification</w:t>
      </w:r>
      <w:r>
        <w:rPr>
          <w:b/>
          <w:bCs/>
          <w:sz w:val="24"/>
          <w:szCs w:val="24"/>
        </w:rPr>
        <w:t xml:space="preserve"> </w:t>
      </w:r>
      <w:r w:rsidRPr="00F1122B">
        <w:rPr>
          <w:sz w:val="24"/>
          <w:szCs w:val="24"/>
        </w:rPr>
        <w:t xml:space="preserve">The </w:t>
      </w:r>
      <w:proofErr w:type="spellStart"/>
      <w:r w:rsidRPr="00F1122B">
        <w:rPr>
          <w:sz w:val="24"/>
          <w:szCs w:val="24"/>
        </w:rPr>
        <w:t>Partek</w:t>
      </w:r>
      <w:proofErr w:type="spellEnd"/>
      <w:r w:rsidRPr="00F1122B">
        <w:rPr>
          <w:sz w:val="24"/>
          <w:szCs w:val="24"/>
        </w:rPr>
        <w:t xml:space="preserve"> Genomics Suite 7.17 software (</w:t>
      </w:r>
      <w:proofErr w:type="spellStart"/>
      <w:r w:rsidRPr="00F1122B">
        <w:rPr>
          <w:sz w:val="24"/>
          <w:szCs w:val="24"/>
        </w:rPr>
        <w:t>Partek</w:t>
      </w:r>
      <w:proofErr w:type="spellEnd"/>
      <w:r w:rsidRPr="00F1122B">
        <w:rPr>
          <w:sz w:val="24"/>
          <w:szCs w:val="24"/>
        </w:rPr>
        <w:t xml:space="preserve"> Inc., St. Louis, MO) was utilized to process raw data from CEL files. The Robust Multichip Analysis (RMA) algorithm with quantile for normalization and log2 transformation was applied to generate signal values of all samples. The one-way ANOVA model was used to compare expression profiles from different groups. Differentially expressed genes (DGE) were defined using the filters of ANOVA unadjusted p value &lt; 0.01 and absolute fold change &gt;1.3.  </w:t>
      </w:r>
    </w:p>
    <w:p w:rsidR="00F1122B" w:rsidRPr="00F1122B" w:rsidRDefault="00F1122B" w:rsidP="00F1122B">
      <w:pPr>
        <w:spacing w:line="480" w:lineRule="auto"/>
        <w:rPr>
          <w:sz w:val="24"/>
          <w:szCs w:val="24"/>
        </w:rPr>
      </w:pPr>
      <w:r w:rsidRPr="00F1122B">
        <w:rPr>
          <w:i/>
          <w:iCs/>
          <w:sz w:val="24"/>
          <w:szCs w:val="24"/>
        </w:rPr>
        <w:t xml:space="preserve">DEGs identified: GATA2 (1,913), PGR (211), and P4 (129) </w:t>
      </w:r>
    </w:p>
    <w:p w:rsidR="00F1122B" w:rsidRPr="00F1122B" w:rsidRDefault="00F1122B" w:rsidP="00F1122B">
      <w:pPr>
        <w:spacing w:line="480" w:lineRule="auto"/>
        <w:rPr>
          <w:sz w:val="24"/>
          <w:szCs w:val="24"/>
        </w:rPr>
      </w:pPr>
      <w:r w:rsidRPr="00F1122B">
        <w:rPr>
          <w:b/>
          <w:bCs/>
          <w:sz w:val="24"/>
          <w:szCs w:val="24"/>
        </w:rPr>
        <w:lastRenderedPageBreak/>
        <w:t>GATA2, PGR, and P4 activities in human dataset (GSE58144)</w:t>
      </w:r>
      <w:r>
        <w:rPr>
          <w:b/>
          <w:bCs/>
          <w:sz w:val="24"/>
          <w:szCs w:val="24"/>
        </w:rPr>
        <w:t xml:space="preserve"> </w:t>
      </w:r>
      <w:r w:rsidRPr="00F1122B">
        <w:rPr>
          <w:sz w:val="24"/>
          <w:szCs w:val="24"/>
        </w:rPr>
        <w:t>The publicly available human recurrent implantation failure (RIF) array dataset GSE58144 was scored for manifestation of the mouse model-derived GATA2, PGR, and P4</w:t>
      </w:r>
      <w:r w:rsidRPr="00F1122B">
        <w:rPr>
          <w:b/>
          <w:bCs/>
          <w:sz w:val="24"/>
          <w:szCs w:val="24"/>
        </w:rPr>
        <w:t xml:space="preserve"> </w:t>
      </w:r>
      <w:r w:rsidRPr="00F1122B">
        <w:rPr>
          <w:sz w:val="24"/>
          <w:szCs w:val="24"/>
        </w:rPr>
        <w:t xml:space="preserve">signature, using published methods (Qin et al., 2013). When multiple probes in GSE58144 were used for the same gene, the probe with the highest variation was chosen to represent the gene. For each gene, the profiles were centered to the median across samples. </w:t>
      </w:r>
    </w:p>
    <w:p w:rsidR="00F1122B" w:rsidRPr="00F1122B" w:rsidRDefault="00F1122B" w:rsidP="00F1122B">
      <w:pPr>
        <w:spacing w:line="480" w:lineRule="auto"/>
        <w:rPr>
          <w:sz w:val="24"/>
          <w:szCs w:val="24"/>
        </w:rPr>
      </w:pPr>
      <w:r w:rsidRPr="00F1122B">
        <w:rPr>
          <w:b/>
          <w:bCs/>
          <w:sz w:val="24"/>
          <w:szCs w:val="24"/>
        </w:rPr>
        <w:t>Path analysis for biological network</w:t>
      </w:r>
      <w:r>
        <w:rPr>
          <w:b/>
          <w:bCs/>
          <w:sz w:val="24"/>
          <w:szCs w:val="24"/>
        </w:rPr>
        <w:t xml:space="preserve"> </w:t>
      </w:r>
      <w:proofErr w:type="gramStart"/>
      <w:r w:rsidRPr="00F1122B">
        <w:rPr>
          <w:sz w:val="24"/>
          <w:szCs w:val="24"/>
        </w:rPr>
        <w:t>The</w:t>
      </w:r>
      <w:proofErr w:type="gramEnd"/>
      <w:r w:rsidRPr="00F1122B">
        <w:rPr>
          <w:sz w:val="24"/>
          <w:szCs w:val="24"/>
        </w:rPr>
        <w:t xml:space="preserve"> hypothesized network was derived from previous study on the functional relationship</w:t>
      </w:r>
      <w:r>
        <w:rPr>
          <w:sz w:val="24"/>
          <w:szCs w:val="24"/>
        </w:rPr>
        <w:t xml:space="preserve"> </w:t>
      </w:r>
      <w:r w:rsidRPr="00F1122B">
        <w:rPr>
          <w:sz w:val="24"/>
          <w:szCs w:val="24"/>
        </w:rPr>
        <w:t>among GATA2, PGR, and other important genes in the system with various end points signature. These components were placed in the structural model as either exogenous or endogenous variable. The normalized gene expression or functional component activities</w:t>
      </w:r>
      <w:r>
        <w:rPr>
          <w:sz w:val="24"/>
          <w:szCs w:val="24"/>
        </w:rPr>
        <w:t xml:space="preserve"> </w:t>
      </w:r>
      <w:r w:rsidRPr="00F1122B">
        <w:rPr>
          <w:sz w:val="24"/>
          <w:szCs w:val="24"/>
        </w:rPr>
        <w:t xml:space="preserve">were used in the SEM model. </w:t>
      </w:r>
      <w:r>
        <w:rPr>
          <w:sz w:val="24"/>
          <w:szCs w:val="24"/>
        </w:rPr>
        <w:t xml:space="preserve"> </w:t>
      </w:r>
      <w:r w:rsidRPr="00F1122B">
        <w:rPr>
          <w:sz w:val="24"/>
          <w:szCs w:val="24"/>
        </w:rPr>
        <w:t xml:space="preserve">All SEM models were implemented in R with </w:t>
      </w:r>
      <w:proofErr w:type="spellStart"/>
      <w:r w:rsidRPr="00F1122B">
        <w:rPr>
          <w:sz w:val="24"/>
          <w:szCs w:val="24"/>
        </w:rPr>
        <w:t>lavaan</w:t>
      </w:r>
      <w:proofErr w:type="spellEnd"/>
      <w:r w:rsidRPr="00F1122B">
        <w:rPr>
          <w:sz w:val="24"/>
          <w:szCs w:val="24"/>
        </w:rPr>
        <w:t xml:space="preserve"> package (</w:t>
      </w:r>
      <w:proofErr w:type="spellStart"/>
      <w:r w:rsidRPr="00F1122B">
        <w:rPr>
          <w:sz w:val="24"/>
          <w:szCs w:val="24"/>
        </w:rPr>
        <w:t>Oberski</w:t>
      </w:r>
      <w:proofErr w:type="spellEnd"/>
      <w:r w:rsidRPr="00F1122B">
        <w:rPr>
          <w:sz w:val="24"/>
          <w:szCs w:val="24"/>
        </w:rPr>
        <w:t xml:space="preserve"> 2014), after initial</w:t>
      </w:r>
      <w:r>
        <w:rPr>
          <w:sz w:val="24"/>
          <w:szCs w:val="24"/>
        </w:rPr>
        <w:t xml:space="preserve"> </w:t>
      </w:r>
      <w:r w:rsidRPr="00F1122B">
        <w:rPr>
          <w:sz w:val="24"/>
          <w:szCs w:val="24"/>
        </w:rPr>
        <w:t>validation with the commercial software M-Plus. SEM model was fitted in each proposed Model and tested with chi-square. The fit was evaluated with different indices including Tucker-Lewis Index, Comparative Fit Index, RMSE, etc.</w:t>
      </w:r>
    </w:p>
    <w:p w:rsidR="00F1122B" w:rsidRDefault="00F1122B" w:rsidP="00F1122B">
      <w:pPr>
        <w:spacing w:line="480" w:lineRule="auto"/>
        <w:rPr>
          <w:sz w:val="24"/>
          <w:szCs w:val="24"/>
        </w:rPr>
      </w:pPr>
      <w:r w:rsidRPr="00F1122B">
        <w:rPr>
          <w:b/>
          <w:bCs/>
          <w:sz w:val="24"/>
          <w:szCs w:val="24"/>
        </w:rPr>
        <w:lastRenderedPageBreak/>
        <w:t>Significance assessment</w:t>
      </w:r>
      <w:r>
        <w:rPr>
          <w:b/>
          <w:bCs/>
          <w:sz w:val="24"/>
          <w:szCs w:val="24"/>
        </w:rPr>
        <w:t xml:space="preserve"> </w:t>
      </w:r>
      <w:proofErr w:type="gramStart"/>
      <w:r w:rsidRPr="00F1122B">
        <w:rPr>
          <w:sz w:val="24"/>
          <w:szCs w:val="24"/>
        </w:rPr>
        <w:t>In</w:t>
      </w:r>
      <w:proofErr w:type="gramEnd"/>
      <w:r w:rsidRPr="00F1122B">
        <w:rPr>
          <w:sz w:val="24"/>
          <w:szCs w:val="24"/>
        </w:rPr>
        <w:t xml:space="preserve"> this research, we tested our framework on a genomic diagnostic transcriptomic panel – 238 genes (Diaz-</w:t>
      </w:r>
      <w:proofErr w:type="spellStart"/>
      <w:r w:rsidRPr="00F1122B">
        <w:rPr>
          <w:sz w:val="24"/>
          <w:szCs w:val="24"/>
        </w:rPr>
        <w:t>Gimeno</w:t>
      </w:r>
      <w:proofErr w:type="spellEnd"/>
      <w:r w:rsidRPr="00F1122B">
        <w:rPr>
          <w:sz w:val="24"/>
          <w:szCs w:val="24"/>
        </w:rPr>
        <w:t xml:space="preserve">, </w:t>
      </w:r>
      <w:proofErr w:type="spellStart"/>
      <w:r w:rsidRPr="00F1122B">
        <w:rPr>
          <w:sz w:val="24"/>
          <w:szCs w:val="24"/>
        </w:rPr>
        <w:t>Horcajadas</w:t>
      </w:r>
      <w:proofErr w:type="spellEnd"/>
      <w:r w:rsidRPr="00F1122B">
        <w:rPr>
          <w:sz w:val="24"/>
          <w:szCs w:val="24"/>
        </w:rPr>
        <w:t xml:space="preserve"> et al. 2011). To test for potential significance, we implemented a non-parametric testing. </w:t>
      </w:r>
      <w:proofErr w:type="gramStart"/>
      <w:r w:rsidRPr="00F1122B">
        <w:rPr>
          <w:sz w:val="24"/>
          <w:szCs w:val="24"/>
        </w:rPr>
        <w:t>Through  repeating</w:t>
      </w:r>
      <w:proofErr w:type="gramEnd"/>
      <w:r w:rsidRPr="00F1122B">
        <w:rPr>
          <w:sz w:val="24"/>
          <w:szCs w:val="24"/>
        </w:rPr>
        <w:t>1000 processes, for each process, random select a same size of gene panel and fit the SEM model, a summary statistic was recorded. The empirical distribution of the summary statistics served as the null distribution to assess the significance for a predefined realization panel.</w:t>
      </w:r>
    </w:p>
    <w:p w:rsidR="00F1122B" w:rsidRPr="00F1122B" w:rsidRDefault="00F1122B" w:rsidP="00F1122B">
      <w:pPr>
        <w:spacing w:line="480" w:lineRule="auto"/>
        <w:rPr>
          <w:sz w:val="24"/>
          <w:szCs w:val="24"/>
        </w:rPr>
      </w:pPr>
      <w:proofErr w:type="spellStart"/>
      <w:r>
        <w:rPr>
          <w:b/>
          <w:bCs/>
          <w:sz w:val="24"/>
          <w:szCs w:val="24"/>
        </w:rPr>
        <w:t>Datesets</w:t>
      </w:r>
      <w:proofErr w:type="spellEnd"/>
      <w:r>
        <w:rPr>
          <w:b/>
          <w:bCs/>
          <w:sz w:val="24"/>
          <w:szCs w:val="24"/>
        </w:rPr>
        <w:t xml:space="preserve"> </w:t>
      </w:r>
      <w:r w:rsidRPr="00F1122B">
        <w:t>Mouse: Genome-wide profiling of progesterone receptor and GATA2 binding in the mouse uterus (GSE34902. Affymetrix Mouse Genome 430 2.0 Array)</w:t>
      </w:r>
      <w:r>
        <w:t xml:space="preserve">.  </w:t>
      </w:r>
      <w:r w:rsidRPr="00F1122B">
        <w:rPr>
          <w:sz w:val="24"/>
          <w:szCs w:val="24"/>
        </w:rPr>
        <w:t xml:space="preserve">Mouse: Identification of murine uterine genes regulated in a ligand-dependent manner by the progesterone receptor (GSE39920. Affymetrix Murine Genome U74A Version 2 Array) </w:t>
      </w:r>
      <w:r>
        <w:rPr>
          <w:sz w:val="24"/>
          <w:szCs w:val="24"/>
        </w:rPr>
        <w:t>.</w:t>
      </w:r>
      <w:r w:rsidRPr="00F1122B">
        <w:rPr>
          <w:sz w:val="24"/>
          <w:szCs w:val="24"/>
        </w:rPr>
        <w:t>Human: The endometrial gene expression signature of recurrent implantation failure after IVF  (GSE58144. A-UMCU-HS44K-2.0)</w:t>
      </w:r>
    </w:p>
    <w:p w:rsidR="00F1122B" w:rsidRPr="00F1122B" w:rsidRDefault="00F1122B" w:rsidP="00F1122B">
      <w:pPr>
        <w:spacing w:line="480" w:lineRule="auto"/>
        <w:rPr>
          <w:sz w:val="24"/>
          <w:szCs w:val="24"/>
        </w:rPr>
      </w:pPr>
    </w:p>
    <w:sectPr w:rsidR="00F1122B" w:rsidRPr="00F1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406A"/>
    <w:multiLevelType w:val="hybridMultilevel"/>
    <w:tmpl w:val="A160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31EF"/>
    <w:multiLevelType w:val="hybridMultilevel"/>
    <w:tmpl w:val="87682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39"/>
    <w:rsid w:val="00165909"/>
    <w:rsid w:val="00190C5E"/>
    <w:rsid w:val="00222F39"/>
    <w:rsid w:val="00276FDD"/>
    <w:rsid w:val="00277D92"/>
    <w:rsid w:val="002B546B"/>
    <w:rsid w:val="00352F55"/>
    <w:rsid w:val="00360768"/>
    <w:rsid w:val="00455FA4"/>
    <w:rsid w:val="00513D5A"/>
    <w:rsid w:val="005706F4"/>
    <w:rsid w:val="007220F6"/>
    <w:rsid w:val="00725084"/>
    <w:rsid w:val="00727825"/>
    <w:rsid w:val="007665BB"/>
    <w:rsid w:val="007C1290"/>
    <w:rsid w:val="007E41CB"/>
    <w:rsid w:val="007F739E"/>
    <w:rsid w:val="008F553A"/>
    <w:rsid w:val="00904BB2"/>
    <w:rsid w:val="00937E2C"/>
    <w:rsid w:val="0097591E"/>
    <w:rsid w:val="009912E5"/>
    <w:rsid w:val="009D7642"/>
    <w:rsid w:val="00AF5987"/>
    <w:rsid w:val="00C27B49"/>
    <w:rsid w:val="00C8133E"/>
    <w:rsid w:val="00CE7456"/>
    <w:rsid w:val="00D715BE"/>
    <w:rsid w:val="00E22A60"/>
    <w:rsid w:val="00E90C9B"/>
    <w:rsid w:val="00EF0380"/>
    <w:rsid w:val="00F1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6506"/>
  <w15:chartTrackingRefBased/>
  <w15:docId w15:val="{C8032B40-B728-4DCB-A887-589616A8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F39"/>
    <w:pPr>
      <w:ind w:left="720"/>
      <w:contextualSpacing/>
    </w:pPr>
  </w:style>
  <w:style w:type="character" w:styleId="Hyperlink">
    <w:name w:val="Hyperlink"/>
    <w:basedOn w:val="DefaultParagraphFont"/>
    <w:uiPriority w:val="99"/>
    <w:semiHidden/>
    <w:unhideWhenUsed/>
    <w:rsid w:val="007220F6"/>
    <w:rPr>
      <w:color w:val="0000FF"/>
      <w:u w:val="single"/>
    </w:rPr>
  </w:style>
  <w:style w:type="character" w:styleId="FollowedHyperlink">
    <w:name w:val="FollowedHyperlink"/>
    <w:basedOn w:val="DefaultParagraphFont"/>
    <w:uiPriority w:val="99"/>
    <w:semiHidden/>
    <w:unhideWhenUsed/>
    <w:rsid w:val="00C8133E"/>
    <w:rPr>
      <w:color w:val="954F72" w:themeColor="followedHyperlink"/>
      <w:u w:val="single"/>
    </w:rPr>
  </w:style>
  <w:style w:type="paragraph" w:styleId="NormalWeb">
    <w:name w:val="Normal (Web)"/>
    <w:basedOn w:val="Normal"/>
    <w:uiPriority w:val="99"/>
    <w:semiHidden/>
    <w:unhideWhenUsed/>
    <w:rsid w:val="00F1122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2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20464">
      <w:bodyDiv w:val="1"/>
      <w:marLeft w:val="0"/>
      <w:marRight w:val="0"/>
      <w:marTop w:val="0"/>
      <w:marBottom w:val="0"/>
      <w:divBdr>
        <w:top w:val="none" w:sz="0" w:space="0" w:color="auto"/>
        <w:left w:val="none" w:sz="0" w:space="0" w:color="auto"/>
        <w:bottom w:val="none" w:sz="0" w:space="0" w:color="auto"/>
        <w:right w:val="none" w:sz="0" w:space="0" w:color="auto"/>
      </w:divBdr>
    </w:div>
    <w:div w:id="830562969">
      <w:bodyDiv w:val="1"/>
      <w:marLeft w:val="0"/>
      <w:marRight w:val="0"/>
      <w:marTop w:val="0"/>
      <w:marBottom w:val="0"/>
      <w:divBdr>
        <w:top w:val="none" w:sz="0" w:space="0" w:color="auto"/>
        <w:left w:val="none" w:sz="0" w:space="0" w:color="auto"/>
        <w:bottom w:val="none" w:sz="0" w:space="0" w:color="auto"/>
        <w:right w:val="none" w:sz="0" w:space="0" w:color="auto"/>
      </w:divBdr>
    </w:div>
    <w:div w:id="1473215247">
      <w:bodyDiv w:val="1"/>
      <w:marLeft w:val="0"/>
      <w:marRight w:val="0"/>
      <w:marTop w:val="0"/>
      <w:marBottom w:val="0"/>
      <w:divBdr>
        <w:top w:val="none" w:sz="0" w:space="0" w:color="auto"/>
        <w:left w:val="none" w:sz="0" w:space="0" w:color="auto"/>
        <w:bottom w:val="none" w:sz="0" w:space="0" w:color="auto"/>
        <w:right w:val="none" w:sz="0" w:space="0" w:color="auto"/>
      </w:divBdr>
    </w:div>
    <w:div w:id="1477526397">
      <w:bodyDiv w:val="1"/>
      <w:marLeft w:val="0"/>
      <w:marRight w:val="0"/>
      <w:marTop w:val="0"/>
      <w:marBottom w:val="0"/>
      <w:divBdr>
        <w:top w:val="none" w:sz="0" w:space="0" w:color="auto"/>
        <w:left w:val="none" w:sz="0" w:space="0" w:color="auto"/>
        <w:bottom w:val="none" w:sz="0" w:space="0" w:color="auto"/>
        <w:right w:val="none" w:sz="0" w:space="0" w:color="auto"/>
      </w:divBdr>
    </w:div>
    <w:div w:id="1986740466">
      <w:bodyDiv w:val="1"/>
      <w:marLeft w:val="0"/>
      <w:marRight w:val="0"/>
      <w:marTop w:val="0"/>
      <w:marBottom w:val="0"/>
      <w:divBdr>
        <w:top w:val="none" w:sz="0" w:space="0" w:color="auto"/>
        <w:left w:val="none" w:sz="0" w:space="0" w:color="auto"/>
        <w:bottom w:val="none" w:sz="0" w:space="0" w:color="auto"/>
        <w:right w:val="none" w:sz="0" w:space="0" w:color="auto"/>
      </w:divBdr>
    </w:div>
    <w:div w:id="2010475782">
      <w:bodyDiv w:val="1"/>
      <w:marLeft w:val="0"/>
      <w:marRight w:val="0"/>
      <w:marTop w:val="0"/>
      <w:marBottom w:val="0"/>
      <w:divBdr>
        <w:top w:val="none" w:sz="0" w:space="0" w:color="auto"/>
        <w:left w:val="none" w:sz="0" w:space="0" w:color="auto"/>
        <w:bottom w:val="none" w:sz="0" w:space="0" w:color="auto"/>
        <w:right w:val="none" w:sz="0" w:space="0" w:color="auto"/>
      </w:divBdr>
    </w:div>
    <w:div w:id="2028602826">
      <w:bodyDiv w:val="1"/>
      <w:marLeft w:val="0"/>
      <w:marRight w:val="0"/>
      <w:marTop w:val="0"/>
      <w:marBottom w:val="0"/>
      <w:divBdr>
        <w:top w:val="none" w:sz="0" w:space="0" w:color="auto"/>
        <w:left w:val="none" w:sz="0" w:space="0" w:color="auto"/>
        <w:bottom w:val="none" w:sz="0" w:space="0" w:color="auto"/>
        <w:right w:val="none" w:sz="0" w:space="0" w:color="auto"/>
      </w:divBdr>
    </w:div>
    <w:div w:id="2083601343">
      <w:bodyDiv w:val="1"/>
      <w:marLeft w:val="0"/>
      <w:marRight w:val="0"/>
      <w:marTop w:val="0"/>
      <w:marBottom w:val="0"/>
      <w:divBdr>
        <w:top w:val="none" w:sz="0" w:space="0" w:color="auto"/>
        <w:left w:val="none" w:sz="0" w:space="0" w:color="auto"/>
        <w:bottom w:val="none" w:sz="0" w:space="0" w:color="auto"/>
        <w:right w:val="none" w:sz="0" w:space="0" w:color="auto"/>
      </w:divBdr>
    </w:div>
    <w:div w:id="2104716214">
      <w:bodyDiv w:val="1"/>
      <w:marLeft w:val="0"/>
      <w:marRight w:val="0"/>
      <w:marTop w:val="0"/>
      <w:marBottom w:val="0"/>
      <w:divBdr>
        <w:top w:val="none" w:sz="0" w:space="0" w:color="auto"/>
        <w:left w:val="none" w:sz="0" w:space="0" w:color="auto"/>
        <w:bottom w:val="none" w:sz="0" w:space="0" w:color="auto"/>
        <w:right w:val="none" w:sz="0" w:space="0" w:color="auto"/>
      </w:divBdr>
    </w:div>
    <w:div w:id="21190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nuggets.com/2017/03/structural-equation-model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18</cp:revision>
  <dcterms:created xsi:type="dcterms:W3CDTF">2019-11-13T13:39:00Z</dcterms:created>
  <dcterms:modified xsi:type="dcterms:W3CDTF">2019-11-13T14:55:00Z</dcterms:modified>
</cp:coreProperties>
</file>