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290" w:rsidRPr="00165909" w:rsidRDefault="007C1290" w:rsidP="00165909">
      <w:pPr>
        <w:spacing w:line="276" w:lineRule="auto"/>
        <w:jc w:val="center"/>
        <w:rPr>
          <w:rFonts w:ascii="Times New Roman" w:hAnsi="Times New Roman" w:cs="Times New Roman"/>
          <w:sz w:val="56"/>
          <w:szCs w:val="56"/>
        </w:rPr>
      </w:pPr>
      <w:bookmarkStart w:id="0" w:name="_Hlk22020728"/>
      <w:r w:rsidRPr="00165909">
        <w:rPr>
          <w:rFonts w:ascii="Times New Roman" w:hAnsi="Times New Roman" w:cs="Times New Roman"/>
          <w:sz w:val="56"/>
          <w:szCs w:val="56"/>
        </w:rPr>
        <w:t xml:space="preserve">Revealing the Biological Network via a Statistical Framework </w:t>
      </w:r>
    </w:p>
    <w:p w:rsidR="007C1290" w:rsidRDefault="007C1290" w:rsidP="00165909">
      <w:pPr>
        <w:spacing w:line="276" w:lineRule="auto"/>
        <w:jc w:val="center"/>
        <w:rPr>
          <w:rFonts w:ascii="Times New Roman" w:hAnsi="Times New Roman" w:cs="Times New Roman"/>
          <w:color w:val="333333"/>
          <w:sz w:val="56"/>
          <w:szCs w:val="56"/>
          <w:shd w:val="clear" w:color="auto" w:fill="FFFFFF"/>
        </w:rPr>
      </w:pPr>
      <w:r w:rsidRPr="00165909">
        <w:rPr>
          <w:rFonts w:ascii="Times New Roman" w:hAnsi="Times New Roman" w:cs="Times New Roman"/>
          <w:sz w:val="56"/>
          <w:szCs w:val="56"/>
        </w:rPr>
        <w:t xml:space="preserve">-- </w:t>
      </w:r>
      <w:r w:rsidRPr="00165909">
        <w:rPr>
          <w:rFonts w:ascii="Times New Roman" w:hAnsi="Times New Roman" w:cs="Times New Roman"/>
          <w:color w:val="333333"/>
          <w:sz w:val="56"/>
          <w:szCs w:val="56"/>
          <w:shd w:val="clear" w:color="auto" w:fill="FFFFFF"/>
        </w:rPr>
        <w:t>Structural Equation Modeling</w:t>
      </w:r>
    </w:p>
    <w:p w:rsidR="00165909" w:rsidRPr="00165909" w:rsidRDefault="00165909" w:rsidP="007C1290">
      <w:pPr>
        <w:spacing w:line="480" w:lineRule="auto"/>
        <w:jc w:val="center"/>
        <w:rPr>
          <w:rFonts w:ascii="Times New Roman" w:hAnsi="Times New Roman" w:cs="Times New Roman"/>
          <w:sz w:val="56"/>
          <w:szCs w:val="56"/>
        </w:rPr>
      </w:pPr>
    </w:p>
    <w:bookmarkEnd w:id="0"/>
    <w:p w:rsidR="00165909" w:rsidRPr="00165909" w:rsidRDefault="00165909" w:rsidP="00165909">
      <w:pPr>
        <w:spacing w:line="240" w:lineRule="auto"/>
        <w:jc w:val="center"/>
        <w:rPr>
          <w:rFonts w:ascii="Times New Roman" w:hAnsi="Times New Roman" w:cs="Times New Roman"/>
          <w:sz w:val="40"/>
          <w:szCs w:val="40"/>
        </w:rPr>
      </w:pPr>
      <w:r w:rsidRPr="00165909">
        <w:rPr>
          <w:rFonts w:ascii="Times New Roman" w:hAnsi="Times New Roman" w:cs="Times New Roman"/>
          <w:sz w:val="40"/>
          <w:szCs w:val="40"/>
        </w:rPr>
        <w:t>Manuscript Overview</w:t>
      </w:r>
    </w:p>
    <w:p w:rsidR="00165909" w:rsidRDefault="00165909" w:rsidP="00165909">
      <w:pPr>
        <w:spacing w:line="240" w:lineRule="auto"/>
        <w:jc w:val="center"/>
        <w:rPr>
          <w:rFonts w:ascii="Times New Roman" w:hAnsi="Times New Roman" w:cs="Times New Roman"/>
          <w:sz w:val="40"/>
          <w:szCs w:val="40"/>
        </w:rPr>
      </w:pPr>
      <w:r w:rsidRPr="00165909">
        <w:rPr>
          <w:rFonts w:ascii="Times New Roman" w:hAnsi="Times New Roman" w:cs="Times New Roman"/>
          <w:sz w:val="40"/>
          <w:szCs w:val="40"/>
        </w:rPr>
        <w:t>November 13</w:t>
      </w:r>
      <w:r w:rsidRPr="00165909">
        <w:rPr>
          <w:rFonts w:ascii="Times New Roman" w:hAnsi="Times New Roman" w:cs="Times New Roman"/>
          <w:sz w:val="40"/>
          <w:szCs w:val="40"/>
          <w:vertAlign w:val="superscript"/>
        </w:rPr>
        <w:t>th</w:t>
      </w:r>
      <w:r w:rsidRPr="00165909">
        <w:rPr>
          <w:rFonts w:ascii="Times New Roman" w:hAnsi="Times New Roman" w:cs="Times New Roman"/>
          <w:sz w:val="40"/>
          <w:szCs w:val="40"/>
        </w:rPr>
        <w:t>, 2019</w:t>
      </w:r>
    </w:p>
    <w:p w:rsidR="00165909" w:rsidRPr="00165909" w:rsidRDefault="00165909" w:rsidP="007C1290">
      <w:pPr>
        <w:spacing w:line="480" w:lineRule="auto"/>
        <w:jc w:val="center"/>
        <w:rPr>
          <w:rFonts w:ascii="Times New Roman" w:hAnsi="Times New Roman" w:cs="Times New Roman"/>
          <w:sz w:val="40"/>
          <w:szCs w:val="40"/>
        </w:rPr>
      </w:pPr>
    </w:p>
    <w:p w:rsidR="007C1290" w:rsidRPr="00165909" w:rsidRDefault="007C1290" w:rsidP="00165909">
      <w:pPr>
        <w:spacing w:line="360" w:lineRule="auto"/>
        <w:jc w:val="center"/>
        <w:rPr>
          <w:rFonts w:ascii="Times New Roman" w:hAnsi="Times New Roman" w:cs="Times New Roman"/>
          <w:sz w:val="36"/>
          <w:szCs w:val="36"/>
        </w:rPr>
      </w:pPr>
      <w:r w:rsidRPr="00165909">
        <w:rPr>
          <w:rFonts w:ascii="Times New Roman" w:hAnsi="Times New Roman" w:cs="Times New Roman"/>
          <w:sz w:val="36"/>
          <w:szCs w:val="36"/>
        </w:rPr>
        <w:t>Jianying Li</w:t>
      </w:r>
      <w:r w:rsidRPr="00165909">
        <w:rPr>
          <w:rFonts w:ascii="Times New Roman" w:hAnsi="Times New Roman" w:cs="Times New Roman"/>
          <w:sz w:val="36"/>
          <w:szCs w:val="36"/>
          <w:vertAlign w:val="superscript"/>
        </w:rPr>
        <w:t>1</w:t>
      </w:r>
      <w:r w:rsidRPr="00165909">
        <w:rPr>
          <w:rFonts w:ascii="Times New Roman" w:hAnsi="Times New Roman" w:cs="Times New Roman"/>
          <w:sz w:val="36"/>
          <w:szCs w:val="36"/>
        </w:rPr>
        <w:t>, Lin Lin</w:t>
      </w:r>
      <w:r w:rsidRPr="00165909">
        <w:rPr>
          <w:rFonts w:ascii="Times New Roman" w:hAnsi="Times New Roman" w:cs="Times New Roman"/>
          <w:sz w:val="36"/>
          <w:szCs w:val="36"/>
          <w:vertAlign w:val="superscript"/>
        </w:rPr>
        <w:t>2</w:t>
      </w:r>
      <w:r w:rsidRPr="00165909">
        <w:rPr>
          <w:rFonts w:ascii="Times New Roman" w:hAnsi="Times New Roman" w:cs="Times New Roman"/>
          <w:sz w:val="36"/>
          <w:szCs w:val="36"/>
        </w:rPr>
        <w:t>, Pierre Bushel</w:t>
      </w:r>
      <w:r w:rsidRPr="00165909">
        <w:rPr>
          <w:rFonts w:ascii="Times New Roman" w:hAnsi="Times New Roman" w:cs="Times New Roman"/>
          <w:sz w:val="36"/>
          <w:szCs w:val="36"/>
          <w:vertAlign w:val="superscript"/>
        </w:rPr>
        <w:t>3</w:t>
      </w:r>
      <w:r w:rsidRPr="00165909">
        <w:rPr>
          <w:rFonts w:ascii="Times New Roman" w:hAnsi="Times New Roman" w:cs="Times New Roman"/>
          <w:sz w:val="36"/>
          <w:szCs w:val="36"/>
        </w:rPr>
        <w:t>, Kevin Day</w:t>
      </w:r>
      <w:r w:rsidRPr="00165909">
        <w:rPr>
          <w:rFonts w:ascii="Times New Roman" w:hAnsi="Times New Roman" w:cs="Times New Roman"/>
          <w:sz w:val="36"/>
          <w:szCs w:val="36"/>
          <w:vertAlign w:val="superscript"/>
        </w:rPr>
        <w:t>5</w:t>
      </w:r>
      <w:r w:rsidRPr="00165909">
        <w:rPr>
          <w:rFonts w:ascii="Times New Roman" w:hAnsi="Times New Roman" w:cs="Times New Roman"/>
          <w:sz w:val="36"/>
          <w:szCs w:val="36"/>
        </w:rPr>
        <w:t>, Tianyuan Wang</w:t>
      </w:r>
      <w:r w:rsidRPr="00165909">
        <w:rPr>
          <w:rFonts w:ascii="Times New Roman" w:hAnsi="Times New Roman" w:cs="Times New Roman"/>
          <w:sz w:val="36"/>
          <w:szCs w:val="36"/>
          <w:vertAlign w:val="superscript"/>
        </w:rPr>
        <w:t>1</w:t>
      </w:r>
      <w:r w:rsidRPr="00165909">
        <w:rPr>
          <w:rFonts w:ascii="Times New Roman" w:hAnsi="Times New Roman" w:cs="Times New Roman"/>
          <w:sz w:val="36"/>
          <w:szCs w:val="36"/>
        </w:rPr>
        <w:t>, Francesco J. DeMayo</w:t>
      </w:r>
      <w:r w:rsidRPr="00165909">
        <w:rPr>
          <w:rFonts w:ascii="Times New Roman" w:hAnsi="Times New Roman" w:cs="Times New Roman"/>
          <w:sz w:val="36"/>
          <w:szCs w:val="36"/>
          <w:vertAlign w:val="superscript"/>
        </w:rPr>
        <w:t>4</w:t>
      </w:r>
      <w:r w:rsidRPr="00165909">
        <w:rPr>
          <w:rFonts w:ascii="Times New Roman" w:hAnsi="Times New Roman" w:cs="Times New Roman"/>
          <w:sz w:val="36"/>
          <w:szCs w:val="36"/>
        </w:rPr>
        <w:t>, San-Pin Wu</w:t>
      </w:r>
      <w:r w:rsidRPr="00165909">
        <w:rPr>
          <w:rFonts w:ascii="Times New Roman" w:hAnsi="Times New Roman" w:cs="Times New Roman"/>
          <w:sz w:val="36"/>
          <w:szCs w:val="36"/>
          <w:vertAlign w:val="superscript"/>
        </w:rPr>
        <w:t>4</w:t>
      </w:r>
      <w:r w:rsidRPr="00165909">
        <w:rPr>
          <w:rFonts w:ascii="Times New Roman" w:hAnsi="Times New Roman" w:cs="Times New Roman"/>
          <w:sz w:val="36"/>
          <w:szCs w:val="36"/>
        </w:rPr>
        <w:t>, and Jian-Liang Li</w:t>
      </w:r>
      <w:r w:rsidRPr="00165909">
        <w:rPr>
          <w:rFonts w:ascii="Times New Roman" w:hAnsi="Times New Roman" w:cs="Times New Roman"/>
          <w:sz w:val="36"/>
          <w:szCs w:val="36"/>
          <w:vertAlign w:val="superscript"/>
        </w:rPr>
        <w:t>1</w:t>
      </w:r>
    </w:p>
    <w:p w:rsidR="007C1290" w:rsidRDefault="007C1290">
      <w:r>
        <w:br w:type="page"/>
      </w:r>
      <w:bookmarkStart w:id="1" w:name="_GoBack"/>
      <w:bookmarkEnd w:id="1"/>
    </w:p>
    <w:p w:rsidR="009B45DB" w:rsidRDefault="00222F39">
      <w:r>
        <w:lastRenderedPageBreak/>
        <w:t>Our paper will focus on the following four main contribution</w:t>
      </w:r>
    </w:p>
    <w:p w:rsidR="00222F39" w:rsidRDefault="00222F39"/>
    <w:p w:rsidR="00222F39" w:rsidRDefault="00222F39" w:rsidP="00222F39">
      <w:pPr>
        <w:pStyle w:val="ListParagraph"/>
        <w:numPr>
          <w:ilvl w:val="0"/>
          <w:numId w:val="1"/>
        </w:numPr>
      </w:pPr>
      <w:r>
        <w:t>Successfully establish the R environment for SEM framework</w:t>
      </w:r>
    </w:p>
    <w:p w:rsidR="00352F55" w:rsidRDefault="00352F55" w:rsidP="00222F39">
      <w:pPr>
        <w:pStyle w:val="ListParagraph"/>
        <w:numPr>
          <w:ilvl w:val="0"/>
          <w:numId w:val="1"/>
        </w:numPr>
      </w:pPr>
      <w:r>
        <w:t>Successfully leverage the SEM concept in genomic/biology research (SEM paper in GWAS)</w:t>
      </w:r>
    </w:p>
    <w:p w:rsidR="00222F39" w:rsidRDefault="00222F39" w:rsidP="00222F39">
      <w:pPr>
        <w:pStyle w:val="ListParagraph"/>
        <w:numPr>
          <w:ilvl w:val="0"/>
          <w:numId w:val="1"/>
        </w:numPr>
      </w:pPr>
      <w:r>
        <w:t>R-</w:t>
      </w:r>
      <w:proofErr w:type="spellStart"/>
      <w:r>
        <w:t>shinyapp</w:t>
      </w:r>
      <w:proofErr w:type="spellEnd"/>
      <w:r>
        <w:t xml:space="preserve"> for SEM and t-score implementation for wider user’s scope</w:t>
      </w:r>
    </w:p>
    <w:p w:rsidR="00222F39" w:rsidRDefault="00725084" w:rsidP="00222F39">
      <w:pPr>
        <w:pStyle w:val="ListParagraph"/>
        <w:numPr>
          <w:ilvl w:val="0"/>
          <w:numId w:val="1"/>
        </w:numPr>
      </w:pPr>
      <w:r>
        <w:t>New targets were identified for biology</w:t>
      </w:r>
    </w:p>
    <w:p w:rsidR="00725084" w:rsidRDefault="00725084" w:rsidP="00222F39">
      <w:pPr>
        <w:pStyle w:val="ListParagraph"/>
        <w:numPr>
          <w:ilvl w:val="0"/>
          <w:numId w:val="1"/>
        </w:numPr>
      </w:pPr>
      <w:r>
        <w:t xml:space="preserve">Extend the model to include more variables </w:t>
      </w:r>
    </w:p>
    <w:p w:rsidR="008F553A" w:rsidRDefault="007220F6" w:rsidP="008F553A">
      <w:r>
        <w:t>Reference document</w:t>
      </w:r>
    </w:p>
    <w:p w:rsidR="007220F6" w:rsidRDefault="00165909" w:rsidP="008F553A">
      <w:hyperlink r:id="rId5" w:history="1">
        <w:r w:rsidR="007220F6">
          <w:rPr>
            <w:rStyle w:val="Hyperlink"/>
          </w:rPr>
          <w:t>https://www.kdnuggets.com/2017/03/structural-equation-modeling.html</w:t>
        </w:r>
      </w:hyperlink>
    </w:p>
    <w:p w:rsidR="007220F6" w:rsidRDefault="00CE7456" w:rsidP="008F553A">
      <w:r>
        <w:t>SEM variables</w:t>
      </w:r>
    </w:p>
    <w:p w:rsidR="00CE7456" w:rsidRDefault="00CE7456" w:rsidP="008F553A"/>
    <w:p w:rsidR="00CE7456" w:rsidRDefault="00CE7456" w:rsidP="008F553A">
      <w:pPr>
        <w:rPr>
          <w:rFonts w:ascii="Arial" w:hAnsi="Arial" w:cs="Arial"/>
          <w:color w:val="111111"/>
          <w:shd w:val="clear" w:color="auto" w:fill="FFFFFF"/>
        </w:rPr>
      </w:pPr>
      <w:r>
        <w:rPr>
          <w:rFonts w:ascii="Arial" w:hAnsi="Arial" w:cs="Arial"/>
          <w:color w:val="111111"/>
          <w:shd w:val="clear" w:color="auto" w:fill="FFFFFF"/>
        </w:rPr>
        <w:t>In the path diagram above, ovals represent factors, also known as latent variables, unobserved variables or unmeasured variables in SEM lingo. These are theoretical concepts which can be inferred but not directly measured</w:t>
      </w:r>
    </w:p>
    <w:p w:rsidR="00CE7456" w:rsidRDefault="00CE7456" w:rsidP="008F553A">
      <w:pPr>
        <w:rPr>
          <w:rFonts w:ascii="Arial" w:hAnsi="Arial" w:cs="Arial"/>
          <w:color w:val="111111"/>
          <w:shd w:val="clear" w:color="auto" w:fill="FFFFFF"/>
        </w:rPr>
      </w:pPr>
    </w:p>
    <w:p w:rsidR="00CE7456" w:rsidRDefault="00CE7456" w:rsidP="008F553A"/>
    <w:p w:rsidR="008F553A" w:rsidRPr="00E90C9B" w:rsidRDefault="008F553A" w:rsidP="008F553A">
      <w:pPr>
        <w:rPr>
          <w:b/>
        </w:rPr>
      </w:pPr>
      <w:r w:rsidRPr="00E90C9B">
        <w:rPr>
          <w:b/>
        </w:rPr>
        <w:t>Results</w:t>
      </w:r>
    </w:p>
    <w:p w:rsidR="008F553A" w:rsidRDefault="008F553A" w:rsidP="008F553A">
      <w:pPr>
        <w:pStyle w:val="ListParagraph"/>
        <w:numPr>
          <w:ilvl w:val="0"/>
          <w:numId w:val="2"/>
        </w:numPr>
      </w:pPr>
      <w:r>
        <w:t xml:space="preserve">Translational projection </w:t>
      </w:r>
      <w:r w:rsidR="00E90C9B">
        <w:t>from mouse to human, automatically deriving “functional factor” activity (</w:t>
      </w:r>
      <w:proofErr w:type="spellStart"/>
      <w:r w:rsidR="00E90C9B">
        <w:t>Rshinny</w:t>
      </w:r>
      <w:proofErr w:type="spellEnd"/>
      <w:r w:rsidR="00E90C9B">
        <w:t xml:space="preserve"> application)</w:t>
      </w:r>
    </w:p>
    <w:p w:rsidR="00E90C9B" w:rsidRDefault="00E90C9B" w:rsidP="008F553A">
      <w:pPr>
        <w:pStyle w:val="ListParagraph"/>
        <w:numPr>
          <w:ilvl w:val="0"/>
          <w:numId w:val="2"/>
        </w:numPr>
      </w:pPr>
      <w:r>
        <w:t>Screening platform for biological hypothesis generation, validation and testing (simple model to complex models)</w:t>
      </w:r>
    </w:p>
    <w:p w:rsidR="00E90C9B" w:rsidRDefault="00E90C9B" w:rsidP="008F553A">
      <w:pPr>
        <w:pStyle w:val="ListParagraph"/>
        <w:numPr>
          <w:ilvl w:val="0"/>
          <w:numId w:val="2"/>
        </w:numPr>
      </w:pPr>
      <w:r>
        <w:t>Testing unseen and untestable relationship among important factors the play role in a systematical way</w:t>
      </w:r>
    </w:p>
    <w:p w:rsidR="00E90C9B" w:rsidRDefault="00E90C9B" w:rsidP="008F553A">
      <w:pPr>
        <w:pStyle w:val="ListParagraph"/>
        <w:numPr>
          <w:ilvl w:val="0"/>
          <w:numId w:val="2"/>
        </w:numPr>
      </w:pPr>
      <w:r>
        <w:t>Biological hypothesis testing</w:t>
      </w:r>
    </w:p>
    <w:p w:rsidR="00E90C9B" w:rsidRDefault="00E90C9B" w:rsidP="00E90C9B">
      <w:pPr>
        <w:pStyle w:val="ListParagraph"/>
        <w:numPr>
          <w:ilvl w:val="1"/>
          <w:numId w:val="2"/>
        </w:numPr>
      </w:pPr>
    </w:p>
    <w:p w:rsidR="00E90C9B" w:rsidRDefault="00E90C9B" w:rsidP="008F553A">
      <w:pPr>
        <w:pStyle w:val="ListParagraph"/>
        <w:numPr>
          <w:ilvl w:val="0"/>
          <w:numId w:val="2"/>
        </w:numPr>
      </w:pPr>
      <w:r>
        <w:t>Non-parametric testing scheme for upstream regulators function testing</w:t>
      </w:r>
    </w:p>
    <w:p w:rsidR="00E90C9B" w:rsidRDefault="00E90C9B" w:rsidP="00E90C9B"/>
    <w:p w:rsidR="00725084" w:rsidRPr="00C8133E" w:rsidRDefault="00C8133E" w:rsidP="00C8133E">
      <w:pPr>
        <w:spacing w:line="480" w:lineRule="auto"/>
        <w:rPr>
          <w:b/>
          <w:sz w:val="24"/>
          <w:szCs w:val="24"/>
        </w:rPr>
      </w:pPr>
      <w:r w:rsidRPr="00C8133E">
        <w:rPr>
          <w:b/>
          <w:sz w:val="24"/>
          <w:szCs w:val="24"/>
        </w:rPr>
        <w:t>Abstract</w:t>
      </w:r>
    </w:p>
    <w:p w:rsidR="00C8133E" w:rsidRDefault="00C8133E" w:rsidP="00C8133E">
      <w:pPr>
        <w:spacing w:line="480" w:lineRule="auto"/>
        <w:rPr>
          <w:sz w:val="24"/>
          <w:szCs w:val="24"/>
        </w:rPr>
      </w:pPr>
      <w:r w:rsidRPr="00C8133E">
        <w:rPr>
          <w:sz w:val="24"/>
          <w:szCs w:val="24"/>
        </w:rPr>
        <w:t xml:space="preserve">A previous application of Path Analysis confirmed an important biological model for the transcriptional network regulating uterine progesterone responsiveness and endometrial functions. The Structural Equation Model (SEM) is a statistical modeling approach for studying of complex cause-effect hypotheses in a closed system. SEM has been widely used in various </w:t>
      </w:r>
      <w:r w:rsidRPr="00C8133E">
        <w:rPr>
          <w:sz w:val="24"/>
          <w:szCs w:val="24"/>
        </w:rPr>
        <w:lastRenderedPageBreak/>
        <w:t xml:space="preserve">fields with involving perturbations and measurable outcomes. Upon successfully establishing a framework in R (an open source program), we extended a previous model and leveraged the SEM features to examine broader systems involving regulators and their endpoints. In addition, a user-friendly R Shiny app was developed to infer the activity of human reproductive regulators based on the mouse gene expression profiles in an automated fashion. We started from an </w:t>
      </w:r>
      <w:r w:rsidRPr="00C8133E">
        <w:rPr>
          <w:i/>
          <w:iCs/>
          <w:sz w:val="24"/>
          <w:szCs w:val="24"/>
        </w:rPr>
        <w:t>in vitro</w:t>
      </w:r>
      <w:r w:rsidRPr="00C8133E">
        <w:rPr>
          <w:sz w:val="24"/>
          <w:szCs w:val="24"/>
        </w:rPr>
        <w:t xml:space="preserve"> alteration of latent gene interactions that disrupted the progesterone receptor pathway in the uterus of pregnant mice and then projected to a human reproduction system via an </w:t>
      </w:r>
      <w:proofErr w:type="gramStart"/>
      <w:r w:rsidRPr="00C8133E">
        <w:rPr>
          <w:i/>
          <w:iCs/>
          <w:sz w:val="24"/>
          <w:szCs w:val="24"/>
        </w:rPr>
        <w:t>in silico</w:t>
      </w:r>
      <w:proofErr w:type="gramEnd"/>
      <w:r w:rsidRPr="00C8133E">
        <w:rPr>
          <w:sz w:val="24"/>
          <w:szCs w:val="24"/>
        </w:rPr>
        <w:t xml:space="preserve"> route. The results eventually revealed a regulatory network in human that has the potential to facilitate human infertility study. In conclusion, by leveraging the features in the SEM framework, we established a translational framework that revealed a functional network system in a human reproduction system from a laboratory established mouse-model. In the future, we plan to extend this framework to other complex systems for in-depth elucidation of biological networks and hidden regulatory relationships.</w:t>
      </w:r>
    </w:p>
    <w:p w:rsidR="00C8133E" w:rsidRPr="00C8133E" w:rsidRDefault="00C8133E" w:rsidP="00C8133E">
      <w:pPr>
        <w:spacing w:line="480" w:lineRule="auto"/>
        <w:rPr>
          <w:b/>
          <w:sz w:val="24"/>
          <w:szCs w:val="24"/>
        </w:rPr>
      </w:pPr>
      <w:r>
        <w:rPr>
          <w:b/>
          <w:sz w:val="24"/>
          <w:szCs w:val="24"/>
        </w:rPr>
        <w:t>Introduction/rationale</w:t>
      </w:r>
    </w:p>
    <w:p w:rsidR="00C8133E" w:rsidRDefault="00C8133E" w:rsidP="00C8133E">
      <w:pPr>
        <w:spacing w:line="480" w:lineRule="auto"/>
        <w:rPr>
          <w:sz w:val="24"/>
          <w:szCs w:val="24"/>
        </w:rPr>
      </w:pPr>
      <w:r w:rsidRPr="00C8133E">
        <w:rPr>
          <w:sz w:val="24"/>
          <w:szCs w:val="24"/>
        </w:rPr>
        <w:t xml:space="preserve">Successful pregnancy requires the endometrium, the inner lining of the uterine, to prepare for receiving and supporting the embryos. This process is controlled by the pregnancy hormone progesterone and its cognate receptor PGR. Dysfunctional progesterone signaling often leads to pregnancy failure. </w:t>
      </w:r>
      <w:r w:rsidRPr="00C8133E">
        <w:rPr>
          <w:i/>
          <w:iCs/>
          <w:sz w:val="24"/>
          <w:szCs w:val="24"/>
        </w:rPr>
        <w:t xml:space="preserve">In vivo </w:t>
      </w:r>
      <w:r w:rsidRPr="00C8133E">
        <w:rPr>
          <w:sz w:val="24"/>
          <w:szCs w:val="24"/>
        </w:rPr>
        <w:t xml:space="preserve">research model established in mouse model revealed that PGR and GATA2 transcription factors work together to mediate the progesterone signaling (Rubel, Wu et al. 2016).  This progesterone responsive genetic network is conserved between human and mouse as indicated by the Path Analysis using the M-Plus algorithm (Rubel, Wu et al. 2016).  The present study aims to extend the Path Analysis framework to test additional candidate </w:t>
      </w:r>
      <w:r w:rsidRPr="00C8133E">
        <w:rPr>
          <w:sz w:val="24"/>
          <w:szCs w:val="24"/>
        </w:rPr>
        <w:lastRenderedPageBreak/>
        <w:t xml:space="preserve">factors and potential endpoints to further investigate this causal-responsive network. We established such platform with an open source R language and </w:t>
      </w:r>
      <w:proofErr w:type="spellStart"/>
      <w:r w:rsidRPr="00C8133E">
        <w:rPr>
          <w:sz w:val="24"/>
          <w:szCs w:val="24"/>
        </w:rPr>
        <w:t>lavaan</w:t>
      </w:r>
      <w:proofErr w:type="spellEnd"/>
      <w:r w:rsidRPr="00C8133E">
        <w:rPr>
          <w:sz w:val="24"/>
          <w:szCs w:val="24"/>
        </w:rPr>
        <w:t xml:space="preserve"> package developed by Yves </w:t>
      </w:r>
      <w:proofErr w:type="spellStart"/>
      <w:r w:rsidRPr="00C8133E">
        <w:rPr>
          <w:sz w:val="24"/>
          <w:szCs w:val="24"/>
        </w:rPr>
        <w:t>Rossel</w:t>
      </w:r>
      <w:proofErr w:type="spellEnd"/>
      <w:r w:rsidRPr="00C8133E">
        <w:rPr>
          <w:sz w:val="24"/>
          <w:szCs w:val="24"/>
        </w:rPr>
        <w:t xml:space="preserve"> in Belgium (</w:t>
      </w:r>
      <w:proofErr w:type="spellStart"/>
      <w:r w:rsidRPr="00C8133E">
        <w:rPr>
          <w:sz w:val="24"/>
          <w:szCs w:val="24"/>
        </w:rPr>
        <w:t>Oberski</w:t>
      </w:r>
      <w:proofErr w:type="spellEnd"/>
      <w:r w:rsidRPr="00C8133E">
        <w:rPr>
          <w:sz w:val="24"/>
          <w:szCs w:val="24"/>
        </w:rPr>
        <w:t xml:space="preserve"> 2014) and tested it with two established gene candidate lists: one is a clinical testing panel for human infertility (Diaz-</w:t>
      </w:r>
      <w:proofErr w:type="spellStart"/>
      <w:r w:rsidRPr="00C8133E">
        <w:rPr>
          <w:sz w:val="24"/>
          <w:szCs w:val="24"/>
        </w:rPr>
        <w:t>Gimeno</w:t>
      </w:r>
      <w:proofErr w:type="spellEnd"/>
      <w:r w:rsidRPr="00C8133E">
        <w:rPr>
          <w:sz w:val="24"/>
          <w:szCs w:val="24"/>
        </w:rPr>
        <w:t xml:space="preserve">, </w:t>
      </w:r>
      <w:proofErr w:type="spellStart"/>
      <w:r w:rsidRPr="00C8133E">
        <w:rPr>
          <w:sz w:val="24"/>
          <w:szCs w:val="24"/>
        </w:rPr>
        <w:t>Horcajadas</w:t>
      </w:r>
      <w:proofErr w:type="spellEnd"/>
      <w:r w:rsidRPr="00C8133E">
        <w:rPr>
          <w:sz w:val="24"/>
          <w:szCs w:val="24"/>
        </w:rPr>
        <w:t xml:space="preserve"> et al. 2011) and one intrinsic list (personal communication with Wu, S). We also established a non-parametric testing strategy to provide statistical significance metrics on the testing procedures.  In summary, we have shown the applicability and great potential of such a well-established framework in the genetic and molecular biology research. With the flexibility of open source environment, such framework can be integrated into analytical pipelines for streamlining and automated processes.</w:t>
      </w:r>
    </w:p>
    <w:p w:rsidR="00C27B49" w:rsidRPr="00C8133E" w:rsidRDefault="00C27B49" w:rsidP="00C27B49">
      <w:pPr>
        <w:spacing w:line="480" w:lineRule="auto"/>
        <w:rPr>
          <w:b/>
          <w:sz w:val="24"/>
          <w:szCs w:val="24"/>
        </w:rPr>
      </w:pPr>
      <w:r>
        <w:rPr>
          <w:b/>
          <w:sz w:val="24"/>
          <w:szCs w:val="24"/>
        </w:rPr>
        <w:t>Methods</w:t>
      </w:r>
    </w:p>
    <w:p w:rsidR="00F1122B" w:rsidRPr="00F1122B" w:rsidRDefault="00F1122B" w:rsidP="00F1122B">
      <w:pPr>
        <w:spacing w:line="480" w:lineRule="auto"/>
        <w:rPr>
          <w:sz w:val="24"/>
          <w:szCs w:val="24"/>
        </w:rPr>
      </w:pPr>
      <w:r w:rsidRPr="00F1122B">
        <w:rPr>
          <w:b/>
          <w:bCs/>
          <w:sz w:val="24"/>
          <w:szCs w:val="24"/>
        </w:rPr>
        <w:t>PGR, P4, and GATA2 signatures identification</w:t>
      </w:r>
      <w:r>
        <w:rPr>
          <w:b/>
          <w:bCs/>
          <w:sz w:val="24"/>
          <w:szCs w:val="24"/>
        </w:rPr>
        <w:t xml:space="preserve"> </w:t>
      </w:r>
      <w:r w:rsidRPr="00F1122B">
        <w:rPr>
          <w:sz w:val="24"/>
          <w:szCs w:val="24"/>
        </w:rPr>
        <w:t xml:space="preserve">The </w:t>
      </w:r>
      <w:proofErr w:type="spellStart"/>
      <w:r w:rsidRPr="00F1122B">
        <w:rPr>
          <w:sz w:val="24"/>
          <w:szCs w:val="24"/>
        </w:rPr>
        <w:t>Partek</w:t>
      </w:r>
      <w:proofErr w:type="spellEnd"/>
      <w:r w:rsidRPr="00F1122B">
        <w:rPr>
          <w:sz w:val="24"/>
          <w:szCs w:val="24"/>
        </w:rPr>
        <w:t xml:space="preserve"> Genomics Suite 7.17 software (</w:t>
      </w:r>
      <w:proofErr w:type="spellStart"/>
      <w:r w:rsidRPr="00F1122B">
        <w:rPr>
          <w:sz w:val="24"/>
          <w:szCs w:val="24"/>
        </w:rPr>
        <w:t>Partek</w:t>
      </w:r>
      <w:proofErr w:type="spellEnd"/>
      <w:r w:rsidRPr="00F1122B">
        <w:rPr>
          <w:sz w:val="24"/>
          <w:szCs w:val="24"/>
        </w:rPr>
        <w:t xml:space="preserve"> Inc., St. Louis, MO) was utilized to process raw data from CEL files. The Robust Multichip Analysis (RMA) algorithm with quantile for normalization and log2 transformation was applied to generate signal values of all samples. The one-way ANOVA model was used to compare expression profiles from different groups. Differentially expressed genes (DGE) were defined using the filters of ANOVA unadjusted p value &lt; 0.01 and absolute fold change &gt;1.3.  </w:t>
      </w:r>
    </w:p>
    <w:p w:rsidR="00F1122B" w:rsidRPr="00F1122B" w:rsidRDefault="00F1122B" w:rsidP="00F1122B">
      <w:pPr>
        <w:spacing w:line="480" w:lineRule="auto"/>
        <w:rPr>
          <w:sz w:val="24"/>
          <w:szCs w:val="24"/>
        </w:rPr>
      </w:pPr>
      <w:r w:rsidRPr="00F1122B">
        <w:rPr>
          <w:i/>
          <w:iCs/>
          <w:sz w:val="24"/>
          <w:szCs w:val="24"/>
        </w:rPr>
        <w:t xml:space="preserve">DEGs identified: GATA2 (1,913), PGR (211), and P4 (129) </w:t>
      </w:r>
    </w:p>
    <w:p w:rsidR="00F1122B" w:rsidRPr="00F1122B" w:rsidRDefault="00F1122B" w:rsidP="00F1122B">
      <w:pPr>
        <w:spacing w:line="480" w:lineRule="auto"/>
        <w:rPr>
          <w:sz w:val="24"/>
          <w:szCs w:val="24"/>
        </w:rPr>
      </w:pPr>
      <w:r w:rsidRPr="00F1122B">
        <w:rPr>
          <w:b/>
          <w:bCs/>
          <w:sz w:val="24"/>
          <w:szCs w:val="24"/>
        </w:rPr>
        <w:t>GATA2, PGR, and P4 activities in human dataset (GSE58144)</w:t>
      </w:r>
      <w:r>
        <w:rPr>
          <w:b/>
          <w:bCs/>
          <w:sz w:val="24"/>
          <w:szCs w:val="24"/>
        </w:rPr>
        <w:t xml:space="preserve"> </w:t>
      </w:r>
      <w:r w:rsidRPr="00F1122B">
        <w:rPr>
          <w:sz w:val="24"/>
          <w:szCs w:val="24"/>
        </w:rPr>
        <w:t>The publicly available human recurrent implantation failure (RIF) array dataset GSE58144 was scored for manifestation of the mouse model-derived GATA2, PGR, and P4</w:t>
      </w:r>
      <w:r w:rsidRPr="00F1122B">
        <w:rPr>
          <w:b/>
          <w:bCs/>
          <w:sz w:val="24"/>
          <w:szCs w:val="24"/>
        </w:rPr>
        <w:t xml:space="preserve"> </w:t>
      </w:r>
      <w:r w:rsidRPr="00F1122B">
        <w:rPr>
          <w:sz w:val="24"/>
          <w:szCs w:val="24"/>
        </w:rPr>
        <w:t xml:space="preserve">signature, using published methods (Qin et al., </w:t>
      </w:r>
      <w:r w:rsidRPr="00F1122B">
        <w:rPr>
          <w:sz w:val="24"/>
          <w:szCs w:val="24"/>
        </w:rPr>
        <w:lastRenderedPageBreak/>
        <w:t xml:space="preserve">2013). When multiple probes in GSE58144 were used for the same gene, the probe with the highest variation was chosen to represent the gene. For each gene, the profiles were centered to the median across samples. </w:t>
      </w:r>
    </w:p>
    <w:p w:rsidR="00F1122B" w:rsidRPr="00F1122B" w:rsidRDefault="00F1122B" w:rsidP="00F1122B">
      <w:pPr>
        <w:spacing w:line="480" w:lineRule="auto"/>
        <w:rPr>
          <w:sz w:val="24"/>
          <w:szCs w:val="24"/>
        </w:rPr>
      </w:pPr>
      <w:r w:rsidRPr="00F1122B">
        <w:rPr>
          <w:b/>
          <w:bCs/>
          <w:sz w:val="24"/>
          <w:szCs w:val="24"/>
        </w:rPr>
        <w:t>Path analysis for biological network</w:t>
      </w:r>
      <w:r>
        <w:rPr>
          <w:b/>
          <w:bCs/>
          <w:sz w:val="24"/>
          <w:szCs w:val="24"/>
        </w:rPr>
        <w:t xml:space="preserve"> </w:t>
      </w:r>
      <w:proofErr w:type="gramStart"/>
      <w:r w:rsidRPr="00F1122B">
        <w:rPr>
          <w:sz w:val="24"/>
          <w:szCs w:val="24"/>
        </w:rPr>
        <w:t>The</w:t>
      </w:r>
      <w:proofErr w:type="gramEnd"/>
      <w:r w:rsidRPr="00F1122B">
        <w:rPr>
          <w:sz w:val="24"/>
          <w:szCs w:val="24"/>
        </w:rPr>
        <w:t xml:space="preserve"> hypothesized network was derived from previous study on the functional relationship</w:t>
      </w:r>
      <w:r>
        <w:rPr>
          <w:sz w:val="24"/>
          <w:szCs w:val="24"/>
        </w:rPr>
        <w:t xml:space="preserve"> </w:t>
      </w:r>
      <w:r w:rsidRPr="00F1122B">
        <w:rPr>
          <w:sz w:val="24"/>
          <w:szCs w:val="24"/>
        </w:rPr>
        <w:t>among GATA2, PGR, and other important genes in the system with various end points signature. These components were placed in the structural model as either exogenous or endogenous variable. The normalized gene expression or functional component activities</w:t>
      </w:r>
      <w:r>
        <w:rPr>
          <w:sz w:val="24"/>
          <w:szCs w:val="24"/>
        </w:rPr>
        <w:t xml:space="preserve"> </w:t>
      </w:r>
      <w:r w:rsidRPr="00F1122B">
        <w:rPr>
          <w:sz w:val="24"/>
          <w:szCs w:val="24"/>
        </w:rPr>
        <w:t xml:space="preserve">were used in the SEM model. </w:t>
      </w:r>
      <w:r>
        <w:rPr>
          <w:sz w:val="24"/>
          <w:szCs w:val="24"/>
        </w:rPr>
        <w:t xml:space="preserve"> </w:t>
      </w:r>
      <w:r w:rsidRPr="00F1122B">
        <w:rPr>
          <w:sz w:val="24"/>
          <w:szCs w:val="24"/>
        </w:rPr>
        <w:t xml:space="preserve">All SEM models were implemented in R with </w:t>
      </w:r>
      <w:proofErr w:type="spellStart"/>
      <w:r w:rsidRPr="00F1122B">
        <w:rPr>
          <w:sz w:val="24"/>
          <w:szCs w:val="24"/>
        </w:rPr>
        <w:t>lavaan</w:t>
      </w:r>
      <w:proofErr w:type="spellEnd"/>
      <w:r w:rsidRPr="00F1122B">
        <w:rPr>
          <w:sz w:val="24"/>
          <w:szCs w:val="24"/>
        </w:rPr>
        <w:t xml:space="preserve"> package (</w:t>
      </w:r>
      <w:proofErr w:type="spellStart"/>
      <w:r w:rsidRPr="00F1122B">
        <w:rPr>
          <w:sz w:val="24"/>
          <w:szCs w:val="24"/>
        </w:rPr>
        <w:t>Oberski</w:t>
      </w:r>
      <w:proofErr w:type="spellEnd"/>
      <w:r w:rsidRPr="00F1122B">
        <w:rPr>
          <w:sz w:val="24"/>
          <w:szCs w:val="24"/>
        </w:rPr>
        <w:t xml:space="preserve"> 2014), after initial</w:t>
      </w:r>
      <w:r>
        <w:rPr>
          <w:sz w:val="24"/>
          <w:szCs w:val="24"/>
        </w:rPr>
        <w:t xml:space="preserve"> </w:t>
      </w:r>
      <w:r w:rsidRPr="00F1122B">
        <w:rPr>
          <w:sz w:val="24"/>
          <w:szCs w:val="24"/>
        </w:rPr>
        <w:t>validation with the commercial software M-Plus. SEM model was fitted in each proposed Model and tested with chi-square. The fit was evaluated with different indices including Tucker-Lewis Index, Comparative Fit Index, RMSE, etc.</w:t>
      </w:r>
    </w:p>
    <w:p w:rsidR="00F1122B" w:rsidRDefault="00F1122B" w:rsidP="00F1122B">
      <w:pPr>
        <w:spacing w:line="480" w:lineRule="auto"/>
        <w:rPr>
          <w:sz w:val="24"/>
          <w:szCs w:val="24"/>
        </w:rPr>
      </w:pPr>
      <w:r w:rsidRPr="00F1122B">
        <w:rPr>
          <w:b/>
          <w:bCs/>
          <w:sz w:val="24"/>
          <w:szCs w:val="24"/>
        </w:rPr>
        <w:t>Significance assessment</w:t>
      </w:r>
      <w:r>
        <w:rPr>
          <w:b/>
          <w:bCs/>
          <w:sz w:val="24"/>
          <w:szCs w:val="24"/>
        </w:rPr>
        <w:t xml:space="preserve"> </w:t>
      </w:r>
      <w:proofErr w:type="gramStart"/>
      <w:r w:rsidRPr="00F1122B">
        <w:rPr>
          <w:sz w:val="24"/>
          <w:szCs w:val="24"/>
        </w:rPr>
        <w:t>In</w:t>
      </w:r>
      <w:proofErr w:type="gramEnd"/>
      <w:r w:rsidRPr="00F1122B">
        <w:rPr>
          <w:sz w:val="24"/>
          <w:szCs w:val="24"/>
        </w:rPr>
        <w:t xml:space="preserve"> this research, we tested our framework on a genomic diagnostic transcriptomic panel – 238 genes (Diaz-</w:t>
      </w:r>
      <w:proofErr w:type="spellStart"/>
      <w:r w:rsidRPr="00F1122B">
        <w:rPr>
          <w:sz w:val="24"/>
          <w:szCs w:val="24"/>
        </w:rPr>
        <w:t>Gimeno</w:t>
      </w:r>
      <w:proofErr w:type="spellEnd"/>
      <w:r w:rsidRPr="00F1122B">
        <w:rPr>
          <w:sz w:val="24"/>
          <w:szCs w:val="24"/>
        </w:rPr>
        <w:t xml:space="preserve">, </w:t>
      </w:r>
      <w:proofErr w:type="spellStart"/>
      <w:r w:rsidRPr="00F1122B">
        <w:rPr>
          <w:sz w:val="24"/>
          <w:szCs w:val="24"/>
        </w:rPr>
        <w:t>Horcajadas</w:t>
      </w:r>
      <w:proofErr w:type="spellEnd"/>
      <w:r w:rsidRPr="00F1122B">
        <w:rPr>
          <w:sz w:val="24"/>
          <w:szCs w:val="24"/>
        </w:rPr>
        <w:t xml:space="preserve"> et al. 2011). To test for potential significance, we implemented a non-parametric testing. </w:t>
      </w:r>
      <w:proofErr w:type="gramStart"/>
      <w:r w:rsidRPr="00F1122B">
        <w:rPr>
          <w:sz w:val="24"/>
          <w:szCs w:val="24"/>
        </w:rPr>
        <w:t>Through  repeating</w:t>
      </w:r>
      <w:proofErr w:type="gramEnd"/>
      <w:r w:rsidRPr="00F1122B">
        <w:rPr>
          <w:sz w:val="24"/>
          <w:szCs w:val="24"/>
        </w:rPr>
        <w:t>1000 processes, for each process, random select a same size of gene panel and fit the SEM model, a summary statistic was recorded. The empirical distribution of the summary statistics served as the null distribution to assess the significance for a predefined realization panel.</w:t>
      </w:r>
    </w:p>
    <w:p w:rsidR="00F1122B" w:rsidRPr="00F1122B" w:rsidRDefault="00F1122B" w:rsidP="00F1122B">
      <w:pPr>
        <w:spacing w:line="480" w:lineRule="auto"/>
        <w:rPr>
          <w:sz w:val="24"/>
          <w:szCs w:val="24"/>
        </w:rPr>
      </w:pPr>
      <w:proofErr w:type="spellStart"/>
      <w:r>
        <w:rPr>
          <w:b/>
          <w:bCs/>
          <w:sz w:val="24"/>
          <w:szCs w:val="24"/>
        </w:rPr>
        <w:t>Datesets</w:t>
      </w:r>
      <w:proofErr w:type="spellEnd"/>
      <w:r>
        <w:rPr>
          <w:b/>
          <w:bCs/>
          <w:sz w:val="24"/>
          <w:szCs w:val="24"/>
        </w:rPr>
        <w:t xml:space="preserve"> </w:t>
      </w:r>
      <w:r w:rsidRPr="00F1122B">
        <w:t>Mouse: Genome-wide profiling of progesterone receptor and GATA2 binding in the mouse uterus (GSE34902. Affymetrix Mouse Genome 430 2.0 Array)</w:t>
      </w:r>
      <w:r>
        <w:t xml:space="preserve">.  </w:t>
      </w:r>
      <w:r w:rsidRPr="00F1122B">
        <w:rPr>
          <w:sz w:val="24"/>
          <w:szCs w:val="24"/>
        </w:rPr>
        <w:t xml:space="preserve">Mouse: Identification of murine uterine genes regulated in a ligand-dependent manner by the progesterone receptor </w:t>
      </w:r>
      <w:r w:rsidRPr="00F1122B">
        <w:rPr>
          <w:sz w:val="24"/>
          <w:szCs w:val="24"/>
        </w:rPr>
        <w:lastRenderedPageBreak/>
        <w:t xml:space="preserve">(GSE39920. Affymetrix Murine Genome U74A Version 2 Array) </w:t>
      </w:r>
      <w:r>
        <w:rPr>
          <w:sz w:val="24"/>
          <w:szCs w:val="24"/>
        </w:rPr>
        <w:t>.</w:t>
      </w:r>
      <w:r w:rsidRPr="00F1122B">
        <w:rPr>
          <w:sz w:val="24"/>
          <w:szCs w:val="24"/>
        </w:rPr>
        <w:t>Human: The endometrial gene expression signature of recurrent implantation failure after IVF  (GSE58144. A-UMCU-HS44K-2.0)</w:t>
      </w:r>
    </w:p>
    <w:p w:rsidR="00F1122B" w:rsidRPr="00F1122B" w:rsidRDefault="00F1122B" w:rsidP="00F1122B">
      <w:pPr>
        <w:spacing w:line="480" w:lineRule="auto"/>
        <w:rPr>
          <w:sz w:val="24"/>
          <w:szCs w:val="24"/>
        </w:rPr>
      </w:pPr>
    </w:p>
    <w:sectPr w:rsidR="00F1122B" w:rsidRPr="00F1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406A"/>
    <w:multiLevelType w:val="hybridMultilevel"/>
    <w:tmpl w:val="A160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31EF"/>
    <w:multiLevelType w:val="hybridMultilevel"/>
    <w:tmpl w:val="87682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39"/>
    <w:rsid w:val="00165909"/>
    <w:rsid w:val="00190C5E"/>
    <w:rsid w:val="00222F39"/>
    <w:rsid w:val="002B546B"/>
    <w:rsid w:val="00352F55"/>
    <w:rsid w:val="007220F6"/>
    <w:rsid w:val="00725084"/>
    <w:rsid w:val="007C1290"/>
    <w:rsid w:val="008F553A"/>
    <w:rsid w:val="00C27B49"/>
    <w:rsid w:val="00C8133E"/>
    <w:rsid w:val="00CE7456"/>
    <w:rsid w:val="00E90C9B"/>
    <w:rsid w:val="00F1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6506"/>
  <w15:chartTrackingRefBased/>
  <w15:docId w15:val="{C8032B40-B728-4DCB-A887-589616A8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39"/>
    <w:pPr>
      <w:ind w:left="720"/>
      <w:contextualSpacing/>
    </w:pPr>
  </w:style>
  <w:style w:type="character" w:styleId="Hyperlink">
    <w:name w:val="Hyperlink"/>
    <w:basedOn w:val="DefaultParagraphFont"/>
    <w:uiPriority w:val="99"/>
    <w:semiHidden/>
    <w:unhideWhenUsed/>
    <w:rsid w:val="007220F6"/>
    <w:rPr>
      <w:color w:val="0000FF"/>
      <w:u w:val="single"/>
    </w:rPr>
  </w:style>
  <w:style w:type="character" w:styleId="FollowedHyperlink">
    <w:name w:val="FollowedHyperlink"/>
    <w:basedOn w:val="DefaultParagraphFont"/>
    <w:uiPriority w:val="99"/>
    <w:semiHidden/>
    <w:unhideWhenUsed/>
    <w:rsid w:val="00C8133E"/>
    <w:rPr>
      <w:color w:val="954F72" w:themeColor="followedHyperlink"/>
      <w:u w:val="single"/>
    </w:rPr>
  </w:style>
  <w:style w:type="paragraph" w:styleId="NormalWeb">
    <w:name w:val="Normal (Web)"/>
    <w:basedOn w:val="Normal"/>
    <w:uiPriority w:val="99"/>
    <w:semiHidden/>
    <w:unhideWhenUsed/>
    <w:rsid w:val="00F112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40466">
      <w:bodyDiv w:val="1"/>
      <w:marLeft w:val="0"/>
      <w:marRight w:val="0"/>
      <w:marTop w:val="0"/>
      <w:marBottom w:val="0"/>
      <w:divBdr>
        <w:top w:val="none" w:sz="0" w:space="0" w:color="auto"/>
        <w:left w:val="none" w:sz="0" w:space="0" w:color="auto"/>
        <w:bottom w:val="none" w:sz="0" w:space="0" w:color="auto"/>
        <w:right w:val="none" w:sz="0" w:space="0" w:color="auto"/>
      </w:divBdr>
    </w:div>
    <w:div w:id="20836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nuggets.com/2017/03/structural-equation-model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dcterms:created xsi:type="dcterms:W3CDTF">2019-06-04T14:32:00Z</dcterms:created>
  <dcterms:modified xsi:type="dcterms:W3CDTF">2019-11-13T13:37:00Z</dcterms:modified>
</cp:coreProperties>
</file>