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TC 10 -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Selección de género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Desaprobado, no tiene mas de dos opciones en la eleccion de sexo/genero.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Samsung A14 5G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 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 tiene mas de dos opciones en la eleccion de sexo/genero. 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Sugerencia: Podria encontrarse no se identifica con ningun sexo mensionados.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Pasos 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botón Registrar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05050" cy="426243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cuenta para registrarse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80098" cy="5947614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594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Direcciona a la primera pag del form: “Objetivos”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58088" cy="6433389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088" cy="643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siguiente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3363" cy="11619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nivel de actividad.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05118" cy="558641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118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 siguiente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3363" cy="1161963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1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sexo, edad, país de residencia. 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1763" cy="587497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63" cy="587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