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4263">
      <w:pPr>
        <w:spacing w:line="360" w:lineRule="auto"/>
        <w:jc w:val="center"/>
        <w:textAlignment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11404600</wp:posOffset>
            </wp:positionV>
            <wp:extent cx="419100" cy="279400"/>
            <wp:effectExtent l="0" t="0" r="0" b="635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11036300</wp:posOffset>
            </wp:positionV>
            <wp:extent cx="495300" cy="279400"/>
            <wp:effectExtent l="0" t="0" r="0" b="6350"/>
            <wp:wrapNone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2026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年普通高中学业水平选择性考试（河北卷）</w:t>
      </w:r>
    </w:p>
    <w:p w14:paraId="3C51565A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生物学</w:t>
      </w:r>
    </w:p>
    <w:p w14:paraId="01DD5345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 w14:paraId="153F317D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13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 w14:paraId="6A7F3CAA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同一个生物分子可先后出现于两个细胞结构，下列选项与此描述不符的是（</w:t>
      </w:r>
      <w:r>
        <w:rPr>
          <w:rFonts w:ascii="Times New Roman" w:hAnsi="Times New Roman" w:eastAsia="Times New Roman" w:cs="Times New Roman"/>
          <w:color w:val="auto"/>
        </w:rPr>
        <w:t xml:space="preserve">     </w:t>
      </w:r>
      <w:r>
        <w:rPr>
          <w:rFonts w:ascii="宋体" w:hAnsi="宋体" w:eastAsia="宋体" w:cs="宋体"/>
          <w:color w:val="auto"/>
        </w:rPr>
        <w:t>）</w:t>
      </w:r>
    </w:p>
    <w:p w14:paraId="179C410F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ATP</w:t>
      </w:r>
      <w:r>
        <w:rPr>
          <w:rFonts w:ascii="宋体" w:hAnsi="宋体" w:eastAsia="宋体" w:cs="宋体"/>
          <w:color w:val="auto"/>
        </w:rPr>
        <w:t>：线粒体→溶酶体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mRNA</w:t>
      </w:r>
      <w:r>
        <w:rPr>
          <w:rFonts w:ascii="宋体" w:hAnsi="宋体" w:eastAsia="宋体" w:cs="宋体"/>
          <w:color w:val="auto"/>
        </w:rPr>
        <w:t>：细胞核→核糖体</w:t>
      </w:r>
    </w:p>
    <w:p w14:paraId="601A8A0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淀粉：叶绿体→线粒体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磷脂：内质网→高尔基体</w:t>
      </w:r>
    </w:p>
    <w:p w14:paraId="6D19C1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某种动物的体细胞增殖过程中不同阶段的示意图如下，其中错误的是（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0F3A8BE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676275" cy="6572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771525" cy="7334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638175" cy="6572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609600" cy="647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1D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洋葱表皮细胞的质膜紧贴细胞壁。为在荧光显微镜下辨别某荧光标记蛋白是否定位于表皮细胞的质膜，可使细胞质壁分离后再观察。下列分析正确的是（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7C5E32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质壁分离过程中，细胞液的渗透压逐渐减小</w:t>
      </w:r>
    </w:p>
    <w:p w14:paraId="3770EB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原生质层比细胞壁的伸缩性小是质壁分离的原因之一</w:t>
      </w:r>
    </w:p>
    <w:p w14:paraId="217B50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紫色洋葱鳞片叶的内表皮不可作为该实验的实验材料</w:t>
      </w:r>
    </w:p>
    <w:p w14:paraId="72712F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除质壁分离外，也可利用纤维素酶和果胶酶制备原生质体后再观察</w:t>
      </w:r>
    </w:p>
    <w:p w14:paraId="6921EC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病毒为侵染动物细胞的逆转录病毒，其衣壳外有来自宿主细胞膜的脂质包膜。下列分析错误的是（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1FEFE6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该病毒逆转录时，沿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模板链的</w:t>
      </w:r>
      <w:r>
        <w:rPr>
          <w:color w:val="000000"/>
        </w:rPr>
        <w:t>3'→5' </w:t>
      </w:r>
      <w:r>
        <w:rPr>
          <w:rFonts w:ascii="宋体" w:hAnsi="宋体" w:eastAsia="宋体" w:cs="宋体"/>
          <w:color w:val="000000"/>
        </w:rPr>
        <w:t>方向合成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链</w:t>
      </w:r>
    </w:p>
    <w:p w14:paraId="1DB07B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逆转录形成的</w:t>
      </w:r>
      <w:r>
        <w:rPr>
          <w:rFonts w:ascii="Times New Roman" w:hAnsi="Times New Roman" w:eastAsia="Times New Roman" w:cs="Times New Roman"/>
          <w:color w:val="000000"/>
        </w:rPr>
        <w:t>RNA/DNA</w:t>
      </w:r>
      <w:r>
        <w:rPr>
          <w:rFonts w:ascii="宋体" w:hAnsi="宋体" w:eastAsia="宋体" w:cs="宋体"/>
          <w:color w:val="000000"/>
        </w:rPr>
        <w:t>双链中碱基数量符合</w:t>
      </w:r>
      <w:r>
        <w:rPr>
          <w:rFonts w:ascii="Times New Roman" w:hAnsi="Times New Roman" w:eastAsia="Times New Roman" w:cs="Times New Roman"/>
          <w:color w:val="000000"/>
        </w:rPr>
        <w:t>U+C=A+G</w:t>
      </w:r>
    </w:p>
    <w:p w14:paraId="37FC48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该病毒衣壳蛋白的合成需借助宿主细胞的</w:t>
      </w:r>
      <w:r>
        <w:rPr>
          <w:rFonts w:ascii="Times New Roman" w:hAnsi="Times New Roman" w:eastAsia="Times New Roman" w:cs="Times New Roman"/>
          <w:color w:val="000000"/>
        </w:rPr>
        <w:t>tRNA</w:t>
      </w:r>
    </w:p>
    <w:p w14:paraId="152431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该病毒的脂质包膜中含有胆固醇</w:t>
      </w:r>
    </w:p>
    <w:p w14:paraId="6963A71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酶与无机催化剂催化的两类反应中能量变化如图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3585C2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21551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B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所示反应中酶与无机催化剂降低活化能的差值为</w:t>
      </w:r>
      <w:r>
        <w:rPr>
          <w:rFonts w:ascii="Times New Roman" w:hAnsi="Times New Roman" w:eastAsia="Times New Roman" w:cs="Times New Roman"/>
          <w:color w:val="000000"/>
        </w:rPr>
        <w:t>e</w:t>
      </w:r>
    </w:p>
    <w:p w14:paraId="28B1BA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所示为放能反应，图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所示为吸能反应</w:t>
      </w:r>
    </w:p>
    <w:p w14:paraId="029603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与①反应相比，②反应所需的条件一般较温和</w:t>
      </w:r>
    </w:p>
    <w:p w14:paraId="58FE45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所示反应中酶促反应的活化能为</w:t>
      </w:r>
      <w:r>
        <w:rPr>
          <w:rFonts w:ascii="Times New Roman" w:hAnsi="Times New Roman" w:eastAsia="Times New Roman" w:cs="Times New Roman"/>
          <w:color w:val="000000"/>
        </w:rPr>
        <w:t>f</w:t>
      </w:r>
    </w:p>
    <w:p w14:paraId="63D136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染色体上基因排列顺序为</w:t>
      </w:r>
      <w:r>
        <w:rPr>
          <w:rFonts w:ascii="Times New Roman" w:hAnsi="Times New Roman" w:eastAsia="Times New Roman" w:cs="Times New Roman"/>
          <w:color w:val="000000"/>
        </w:rPr>
        <w:t>a-b-c-d-e</w:t>
      </w:r>
      <w:r>
        <w:rPr>
          <w:rFonts w:ascii="宋体" w:hAnsi="宋体" w:eastAsia="宋体" w:cs="宋体"/>
          <w:color w:val="000000"/>
        </w:rPr>
        <w:t>的隐性纯合突变体雌果蝇与经射线照射后的野生型雄蝇杂交，子代中出现一只由染色体片段缺失导致的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隐性表型的雌蝇甲。已知缺失纯合体致死，不考虑其他突变和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染色体同源区段，下列分析正确的是（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0BBEBF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由于缺失纯合体致死，因此该变异不能为进化提供原材料</w:t>
      </w:r>
    </w:p>
    <w:p w14:paraId="5FFC7C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雌蝇甲与正常野生型雄蝇杂交，子代中雌雄的数量比为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6FF55E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雌蝇甲的减数分裂过程中，每对同源染色体均能通过联会形成正常四分体</w:t>
      </w:r>
    </w:p>
    <w:p w14:paraId="62E0F8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雌蝇甲与正常野生型雄蝇杂交，子代雄蝇中可出现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基因控制的显性表型</w:t>
      </w:r>
    </w:p>
    <w:p w14:paraId="363C06F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在雄性大角鹿求偶争斗的过程中，鹿角较大的个体更易获胜，能繁殖更多的后代，从而使雄鹿中鹿角较大的个体占比逐代增高。然而鹿角大的雄鹿更易被捕食，致使大角鹿种群不断衰退。下列分析错误的是（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18D9B5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大角鹿在求偶选择中的不适应特征导致其种群衰退</w:t>
      </w:r>
    </w:p>
    <w:p w14:paraId="76610D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生物种群繁殖能力和生存能力的减弱均会造成种群衰退</w:t>
      </w:r>
    </w:p>
    <w:p w14:paraId="11739F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在一定的选择作用下，可遗传的有利变异会使某些个体具有相对优势</w:t>
      </w:r>
    </w:p>
    <w:p w14:paraId="13BB9C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生物面临不同选择压力时，某些适应性特征反而会使其表现为不适应</w:t>
      </w:r>
    </w:p>
    <w:p w14:paraId="6AABF0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马拉松比赛时，运动员耗氧量显著增加，同时产生大量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697784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机体代谢产生与排出的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基本相等是稳态调节的结果</w:t>
      </w:r>
    </w:p>
    <w:p w14:paraId="792474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机体摄入的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通过与内环境中的血红蛋白结合进行运输</w:t>
      </w:r>
    </w:p>
    <w:p w14:paraId="7AFB5A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比赛过程中，</w:t>
      </w:r>
      <w:r>
        <w:rPr>
          <w:rFonts w:ascii="Times New Roman" w:hAnsi="Times New Roman" w:eastAsia="Times New Roman" w:cs="Times New Roman"/>
          <w:color w:val="000000"/>
        </w:rPr>
        <w:t>HCO</w:t>
      </w:r>
      <w:r>
        <w:rPr>
          <w:color w:val="000000"/>
          <w:vertAlign w:val="subscript"/>
        </w:rPr>
        <w:t>3</w:t>
      </w:r>
      <w:r>
        <w:rPr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/H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可缓冲乳酸导致的血浆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降低</w:t>
      </w:r>
    </w:p>
    <w:p w14:paraId="02BAC6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运动时，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可通过神经系统对呼吸运动进行调节，以提高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供给</w:t>
      </w:r>
    </w:p>
    <w:p w14:paraId="77CA877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抗利尿激素（</w:t>
      </w:r>
      <w:r>
        <w:rPr>
          <w:rFonts w:ascii="Times New Roman" w:hAnsi="Times New Roman" w:eastAsia="Times New Roman" w:cs="Times New Roman"/>
          <w:color w:val="000000"/>
        </w:rPr>
        <w:t>ADH</w:t>
      </w:r>
      <w:r>
        <w:rPr>
          <w:rFonts w:ascii="宋体" w:hAnsi="宋体" w:eastAsia="宋体" w:cs="宋体"/>
          <w:color w:val="000000"/>
        </w:rPr>
        <w:t>）分泌异常增加可导致大量的水积聚在脑细胞，造成脑细胞水肿，严重的脑细胞水肿可由静脉输入高浓度盐水治疗。下列分析错误的是（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2BD2B8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下丘脑分泌的</w:t>
      </w:r>
      <w:r>
        <w:rPr>
          <w:rFonts w:ascii="Times New Roman" w:hAnsi="Times New Roman" w:eastAsia="Times New Roman" w:cs="Times New Roman"/>
          <w:color w:val="000000"/>
        </w:rPr>
        <w:t>ADH</w:t>
      </w:r>
      <w:r>
        <w:rPr>
          <w:rFonts w:ascii="宋体" w:hAnsi="宋体" w:eastAsia="宋体" w:cs="宋体"/>
          <w:color w:val="000000"/>
        </w:rPr>
        <w:t>能促进肾小管和集合管对水的重吸收</w:t>
      </w:r>
    </w:p>
    <w:p w14:paraId="2BD234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ADH</w:t>
      </w:r>
      <w:r>
        <w:rPr>
          <w:rFonts w:ascii="宋体" w:hAnsi="宋体" w:eastAsia="宋体" w:cs="宋体"/>
          <w:color w:val="000000"/>
        </w:rPr>
        <w:t>异常增加可造成脑细胞外液渗透压降低，导致脑细胞水肿</w:t>
      </w:r>
    </w:p>
    <w:p w14:paraId="19FC39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输入高浓度盐水后，机体分泌的醛固酮增加，促进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的重吸收</w:t>
      </w:r>
    </w:p>
    <w:p w14:paraId="0F5A45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输入高浓度盐水后，脑细胞外液渗透压升高，可缓解脑细胞水肿</w:t>
      </w:r>
    </w:p>
    <w:p w14:paraId="2006FC1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为实现三七皂苷工厂化生产，研究者利用生长素类调节剂吲哚丁酸（</w:t>
      </w:r>
      <w:r>
        <w:rPr>
          <w:rFonts w:ascii="Times New Roman" w:hAnsi="Times New Roman" w:eastAsia="Times New Roman" w:cs="Times New Roman"/>
          <w:color w:val="000000"/>
        </w:rPr>
        <w:t>IBA</w:t>
      </w:r>
      <w:r>
        <w:rPr>
          <w:rFonts w:ascii="宋体" w:hAnsi="宋体" w:eastAsia="宋体" w:cs="宋体"/>
          <w:color w:val="000000"/>
        </w:rPr>
        <w:t>）和萘乙酸（</w:t>
      </w:r>
      <w:r>
        <w:rPr>
          <w:rFonts w:ascii="Times New Roman" w:hAnsi="Times New Roman" w:eastAsia="Times New Roman" w:cs="Times New Roman"/>
          <w:color w:val="000000"/>
        </w:rPr>
        <w:t>NAA</w:t>
      </w:r>
      <w:r>
        <w:rPr>
          <w:rFonts w:ascii="宋体" w:hAnsi="宋体" w:eastAsia="宋体" w:cs="宋体"/>
          <w:color w:val="000000"/>
        </w:rPr>
        <w:t>）对三七外植体进行不定根诱导，实验结果见表。下列分析错误的是（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73"/>
        <w:gridCol w:w="2366"/>
        <w:gridCol w:w="1104"/>
        <w:gridCol w:w="1500"/>
      </w:tblGrid>
      <w:tr w14:paraId="3532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37D76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IBA</w:t>
            </w:r>
            <w:r>
              <w:rPr>
                <w:rFonts w:ascii="宋体" w:hAnsi="宋体" w:eastAsia="宋体" w:cs="宋体"/>
                <w:color w:val="000000"/>
              </w:rPr>
              <w:t>浓度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mg</w:t>
            </w:r>
            <w:r>
              <w:rPr>
                <w:rFonts w:ascii="宋体" w:hAnsi="宋体" w:eastAsia="宋体" w:cs="宋体"/>
                <w:color w:val="000000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25649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NAA</w:t>
            </w:r>
            <w:r>
              <w:rPr>
                <w:rFonts w:ascii="宋体" w:hAnsi="宋体" w:eastAsia="宋体" w:cs="宋体"/>
                <w:color w:val="000000"/>
              </w:rPr>
              <w:t>浓度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mg</w:t>
            </w:r>
            <w:r>
              <w:rPr>
                <w:rFonts w:ascii="宋体" w:hAnsi="宋体" w:eastAsia="宋体" w:cs="宋体"/>
                <w:color w:val="000000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8959A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诱导率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28DD9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平均不定根数</w:t>
            </w:r>
          </w:p>
        </w:tc>
      </w:tr>
      <w:tr w14:paraId="2F87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850FD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86706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B7ED4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FC82D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7.1</w:t>
            </w:r>
          </w:p>
        </w:tc>
      </w:tr>
      <w:tr w14:paraId="0E73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C1C79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3EAF07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5947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43716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8.5</w:t>
            </w:r>
          </w:p>
        </w:tc>
      </w:tr>
      <w:tr w14:paraId="6FF9B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18408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51FAA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5EBE7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98A65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</w:tr>
      <w:tr w14:paraId="6775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73043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8BE04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DACBE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1574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11.6</w:t>
            </w:r>
          </w:p>
        </w:tc>
      </w:tr>
      <w:tr w14:paraId="33E2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99862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66C80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90F7C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780D9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5.9</w:t>
            </w:r>
          </w:p>
        </w:tc>
      </w:tr>
    </w:tbl>
    <w:p w14:paraId="6CA60510">
      <w:pPr>
        <w:spacing w:line="360" w:lineRule="auto"/>
        <w:jc w:val="both"/>
        <w:textAlignment w:val="center"/>
        <w:rPr>
          <w:color w:val="000000"/>
        </w:rPr>
      </w:pPr>
    </w:p>
    <w:p w14:paraId="29D811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不同浓度</w:t>
      </w:r>
      <w:r>
        <w:rPr>
          <w:rFonts w:ascii="Times New Roman" w:hAnsi="Times New Roman" w:eastAsia="Times New Roman" w:cs="Times New Roman"/>
          <w:color w:val="000000"/>
        </w:rPr>
        <w:t>IBA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NAA</w:t>
      </w:r>
      <w:r>
        <w:rPr>
          <w:rFonts w:ascii="宋体" w:hAnsi="宋体" w:eastAsia="宋体" w:cs="宋体"/>
          <w:color w:val="000000"/>
        </w:rPr>
        <w:t>的组合对不定根的诱导效果不同</w:t>
      </w:r>
    </w:p>
    <w:p w14:paraId="08E23F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NAA</w:t>
      </w:r>
      <w:r>
        <w:rPr>
          <w:rFonts w:ascii="宋体" w:hAnsi="宋体" w:eastAsia="宋体" w:cs="宋体"/>
          <w:color w:val="000000"/>
        </w:rPr>
        <w:t>浓度相同时，</w:t>
      </w:r>
      <w:r>
        <w:rPr>
          <w:rFonts w:ascii="Times New Roman" w:hAnsi="Times New Roman" w:eastAsia="Times New Roman" w:cs="Times New Roman"/>
          <w:color w:val="000000"/>
        </w:rPr>
        <w:t>IBA</w:t>
      </w:r>
      <w:r>
        <w:rPr>
          <w:rFonts w:ascii="宋体" w:hAnsi="宋体" w:eastAsia="宋体" w:cs="宋体"/>
          <w:color w:val="000000"/>
        </w:rPr>
        <w:t>浓度越高对不定根的诱导率越高</w:t>
      </w:r>
    </w:p>
    <w:p w14:paraId="60894C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植物生长调节剂的作用受植物生理状态和环境条件的影响</w:t>
      </w:r>
    </w:p>
    <w:p w14:paraId="4BC855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植物生长调节剂的生产、销售和使用必须遵守国家相关规定</w:t>
      </w:r>
    </w:p>
    <w:p w14:paraId="5E23E5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某城市在公园搭建“蚯蚓塔”，蚯蚓以塔内添加的落叶等有机物质为食，从而能更好地生长繁殖。下列分析错误的是（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01928A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蚯蚓的摄食等活动有助于加速生态系统的物质循环</w:t>
      </w:r>
    </w:p>
    <w:p w14:paraId="5649CE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蚯蚓数量的增加可提高各营养级间的能量传递效率</w:t>
      </w:r>
    </w:p>
    <w:p w14:paraId="06633A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蚯蚓塔的设置应考虑土壤动物趋暗和避高温的特性</w:t>
      </w:r>
    </w:p>
    <w:p w14:paraId="5B76BC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蚯蚓塔的建造应兼顾生态改良与人居生活</w:t>
      </w:r>
    </w:p>
    <w:p w14:paraId="02B5E07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当全球生态足迹总量大于生态承载力（地球提供资源的能力）总量时，地球会进入生态超载状态。下列举措不能减缓生态超载的是（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057D01C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开展植树造林，增加植物固碳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倡导绿色出行，降低能源消耗</w:t>
      </w:r>
    </w:p>
    <w:p w14:paraId="446D561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扩大采矿规模，提升资源供给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推行生物防治，减少农药使用</w:t>
      </w:r>
    </w:p>
    <w:p w14:paraId="2732C6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植物细胞工程技术可用于马铃薯育种，下列分析错误的是（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3B6FAF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将融合的原生质体在细胞壁形成前转到固体培养基上，以诱导愈伤组织</w:t>
      </w:r>
    </w:p>
    <w:p w14:paraId="0B5AC1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用优良栽培品种与抗青枯病野生种进行体细胞杂交，以获得抗病新材料</w:t>
      </w:r>
    </w:p>
    <w:p w14:paraId="3A7566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采集四倍体植株的花粉进行组织培养，以获得单倍体植株</w:t>
      </w:r>
    </w:p>
    <w:p w14:paraId="1E9E77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利用茎尖进行组织培养，以培育脱毒苗</w:t>
      </w:r>
    </w:p>
    <w:p w14:paraId="1893A3F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分。在每小题给出的四个选项中，有两个或两个以上选项符合题目要求，全部选对得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D0000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小立碗藓的叶绿体和线粒体都有为细胞质基质提供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的潜力。为探究两者对细胞质基质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水平的影响，对①、②和③组小立碗藓进行黑暗预处理后，检测其细胞质基质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对光的响应变化，结果如图所示。下列分析正确的是（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32C84D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95145"/>
            <wp:effectExtent l="0" t="0" r="0" b="1460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32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光合产物的缺乏和光反应受阻导致③在光照下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无显著变化</w:t>
      </w:r>
    </w:p>
    <w:p w14:paraId="6C2286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第一次光照时，①中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的增加与叶绿体、线粒体均有关</w:t>
      </w:r>
    </w:p>
    <w:p w14:paraId="722E24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光照时，叶绿体中的部分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用于暗反应中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  <w:vertAlign w:val="subscript"/>
        </w:rPr>
        <w:t>5</w:t>
      </w:r>
      <w:r>
        <w:rPr>
          <w:rFonts w:ascii="宋体" w:hAnsi="宋体" w:eastAsia="宋体" w:cs="宋体"/>
          <w:color w:val="000000"/>
        </w:rPr>
        <w:t>的结合</w:t>
      </w:r>
    </w:p>
    <w:p w14:paraId="082203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小立碗藓中的线粒体有助于维持细胞质基质中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的稳定供应</w:t>
      </w:r>
    </w:p>
    <w:p w14:paraId="4669086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某家禽（性别决定方式为</w:t>
      </w:r>
      <w:r>
        <w:rPr>
          <w:rFonts w:ascii="Times New Roman" w:hAnsi="Times New Roman" w:eastAsia="Times New Roman" w:cs="Times New Roman"/>
          <w:color w:val="000000"/>
        </w:rPr>
        <w:t>ZW</w:t>
      </w:r>
      <w:r>
        <w:rPr>
          <w:rFonts w:ascii="宋体" w:hAnsi="宋体" w:eastAsia="宋体" w:cs="宋体"/>
          <w:color w:val="000000"/>
        </w:rPr>
        <w:t>型）的黑羽和灰羽受一对等位基因控制。以黑羽和灰羽个体为亲本进行杂交，部分后代的遗传系谱图如图所示。不考虑突变等其他变异和性染色体同源区段，下列分析正确的是（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339F0AD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00575" cy="22955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93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黑羽不会由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染色体上的显性基因控制</w:t>
      </w:r>
    </w:p>
    <w:p w14:paraId="5A4439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若Ⅱ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rFonts w:ascii="宋体" w:hAnsi="宋体" w:eastAsia="宋体" w:cs="宋体"/>
          <w:color w:val="000000"/>
        </w:rPr>
        <w:t>和Ⅰ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rFonts w:ascii="宋体" w:hAnsi="宋体" w:eastAsia="宋体" w:cs="宋体"/>
          <w:color w:val="000000"/>
        </w:rPr>
        <w:t>杂交子代中黑羽个体占比为</w:t>
      </w:r>
      <w:r>
        <w:rPr>
          <w:color w:val="000000"/>
        </w:rPr>
        <w:t>1/2</w:t>
      </w:r>
      <w:r>
        <w:rPr>
          <w:rFonts w:ascii="宋体" w:hAnsi="宋体" w:eastAsia="宋体" w:cs="宋体"/>
          <w:color w:val="000000"/>
        </w:rPr>
        <w:t>，则黑羽为隐性性状</w:t>
      </w:r>
    </w:p>
    <w:p w14:paraId="551804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通过调查Ⅱ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rFonts w:ascii="宋体" w:hAnsi="宋体" w:eastAsia="宋体" w:cs="宋体"/>
          <w:color w:val="000000"/>
        </w:rPr>
        <w:t>与Ⅱ</w:t>
      </w:r>
      <w:r>
        <w:rPr>
          <w:rFonts w:ascii="Times New Roman" w:hAnsi="Times New Roman" w:eastAsia="Times New Roman" w:cs="Times New Roman"/>
          <w:color w:val="000000"/>
        </w:rPr>
        <w:t>-2</w:t>
      </w:r>
      <w:r>
        <w:rPr>
          <w:rFonts w:ascii="宋体" w:hAnsi="宋体" w:eastAsia="宋体" w:cs="宋体"/>
          <w:color w:val="000000"/>
        </w:rPr>
        <w:t>杂交子代的性状和占比，可确定该羽色的遗传方式</w:t>
      </w:r>
    </w:p>
    <w:p w14:paraId="7FD258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若黑羽由常染色体隐性基因控制，Ⅲ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rFonts w:ascii="宋体" w:hAnsi="宋体" w:eastAsia="宋体" w:cs="宋体"/>
          <w:color w:val="000000"/>
        </w:rPr>
        <w:t>与Ⅲ</w:t>
      </w:r>
      <w:r>
        <w:rPr>
          <w:rFonts w:ascii="Times New Roman" w:hAnsi="Times New Roman" w:eastAsia="Times New Roman" w:cs="Times New Roman"/>
          <w:color w:val="000000"/>
        </w:rPr>
        <w:t>-2</w:t>
      </w:r>
      <w:r>
        <w:rPr>
          <w:rFonts w:ascii="宋体" w:hAnsi="宋体" w:eastAsia="宋体" w:cs="宋体"/>
          <w:color w:val="000000"/>
        </w:rPr>
        <w:t>杂交子代中黑羽个体占比为1/4</w:t>
      </w:r>
    </w:p>
    <w:p w14:paraId="3C13D0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幽门螺杆菌（</w:t>
      </w:r>
      <w:r>
        <w:rPr>
          <w:rFonts w:ascii="Times New Roman" w:hAnsi="Times New Roman" w:eastAsia="Times New Roman" w:cs="Times New Roman"/>
          <w:color w:val="000000"/>
        </w:rPr>
        <w:t>HP</w:t>
      </w:r>
      <w:r>
        <w:rPr>
          <w:rFonts w:ascii="宋体" w:hAnsi="宋体" w:eastAsia="宋体" w:cs="宋体"/>
          <w:color w:val="000000"/>
        </w:rPr>
        <w:t>）释放的毒素可破坏胃黏膜，损伤巨噬细胞，抑制辅助性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细胞的活化，从而对机体造成危害。下列分析正确的是（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5F61EA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毒素会影响</w:t>
      </w:r>
      <w:r>
        <w:rPr>
          <w:rFonts w:ascii="Times New Roman" w:hAnsi="Times New Roman" w:eastAsia="Times New Roman" w:cs="Times New Roman"/>
          <w:color w:val="000000"/>
        </w:rPr>
        <w:t>HP</w:t>
      </w:r>
      <w:r>
        <w:rPr>
          <w:rFonts w:ascii="宋体" w:hAnsi="宋体" w:eastAsia="宋体" w:cs="宋体"/>
          <w:color w:val="000000"/>
        </w:rPr>
        <w:t>抗原信息的呈递</w:t>
      </w:r>
    </w:p>
    <w:p w14:paraId="0EB08B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HP</w:t>
      </w:r>
      <w:r>
        <w:rPr>
          <w:rFonts w:ascii="宋体" w:hAnsi="宋体" w:eastAsia="宋体" w:cs="宋体"/>
          <w:color w:val="000000"/>
        </w:rPr>
        <w:t>的感染会削弱机体的非特异性免疫</w:t>
      </w:r>
    </w:p>
    <w:p w14:paraId="38AF11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毒素可使患者辅助性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细胞释放的细胞因子减少</w:t>
      </w:r>
    </w:p>
    <w:p w14:paraId="070C2B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毒素作为抗原引发的免疫反应能产生与</w:t>
      </w:r>
      <w:r>
        <w:rPr>
          <w:rFonts w:ascii="Times New Roman" w:hAnsi="Times New Roman" w:eastAsia="Times New Roman" w:cs="Times New Roman"/>
          <w:color w:val="000000"/>
        </w:rPr>
        <w:t>HP</w:t>
      </w:r>
      <w:r>
        <w:rPr>
          <w:rFonts w:ascii="宋体" w:hAnsi="宋体" w:eastAsia="宋体" w:cs="宋体"/>
          <w:color w:val="000000"/>
        </w:rPr>
        <w:t>特异性结合的抗体</w:t>
      </w:r>
    </w:p>
    <w:p w14:paraId="3DF6986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河北衡水湖是水鸟迁徙的重要驿站。衡水湖西湖区域存在较大面积的鱼塘和农田，东湖长期保持相对稳定的湖泊水面。科研人员对相关区域涉禽类水鸟的多样性进行了研究，结果如图所示。下列分析正确的是（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6EC542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48075" cy="21240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7E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季节改变导致的涉禽物种组成变化属于次生演替</w:t>
      </w:r>
    </w:p>
    <w:p w14:paraId="6DBBEC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9—11</w:t>
      </w:r>
      <w:r>
        <w:rPr>
          <w:rFonts w:ascii="宋体" w:hAnsi="宋体" w:eastAsia="宋体" w:cs="宋体"/>
          <w:color w:val="000000"/>
        </w:rPr>
        <w:t>月调查区域中涉禽数量的减少主要是水鸟迁出所致</w:t>
      </w:r>
    </w:p>
    <w:p w14:paraId="04ED66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建立衡水湖自然保护区可对该地水鸟的物种多样性进行有效保护</w:t>
      </w:r>
    </w:p>
    <w:p w14:paraId="0D4919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生境差异是</w:t>
      </w:r>
      <w:r>
        <w:rPr>
          <w:rFonts w:ascii="Times New Roman" w:hAnsi="Times New Roman" w:eastAsia="Times New Roman" w:cs="Times New Roman"/>
          <w:color w:val="000000"/>
        </w:rPr>
        <w:t>3—7</w:t>
      </w:r>
      <w:r>
        <w:rPr>
          <w:rFonts w:ascii="宋体" w:hAnsi="宋体" w:eastAsia="宋体" w:cs="宋体"/>
          <w:color w:val="000000"/>
        </w:rPr>
        <w:t>月衡水湖东湖、西湖涉禽数量显著不同的重要原因</w:t>
      </w:r>
    </w:p>
    <w:p w14:paraId="70EE72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窖泥中的微生物是影响白酒风味的因素之一。现从某酒厂窖泥中分离筛选与白酒风味物质形成相关的己酸菌，下列分析错误的是（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7EFCBA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分离培养己酸菌时，需对培养基、培养皿和窖泥进行灭菌</w:t>
      </w:r>
    </w:p>
    <w:p w14:paraId="7A8EB3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通过稀释涂布平板法统计的菌落数一般比活菌的实际数偏多</w:t>
      </w:r>
    </w:p>
    <w:p w14:paraId="58A237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依据己酸菌的特异基因序列设计引物，可通过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对目的菌株进行鉴定</w:t>
      </w:r>
    </w:p>
    <w:p w14:paraId="49BBA8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获得的己酸菌优良菌种需扩大培养后再用于白酒的规模化生产</w:t>
      </w:r>
    </w:p>
    <w:p w14:paraId="036234A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59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86CE1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是植物线粒体膜上转运丙酮酸的蛋白。为探究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蛋白对植物镉耐受性的影响，科研人员利用拟南芥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基因缺失突变体进行了相关研究。</w:t>
      </w:r>
    </w:p>
    <w:p w14:paraId="456739A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3C8465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利用葡萄糖进行有氧呼吸时，丙酮酸是第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阶段的产物，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主要在第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阶段生成。</w:t>
      </w:r>
    </w:p>
    <w:p w14:paraId="7AB5DA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无镉胁迫时，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缺失突变体细胞质基质中丙酮酸的含量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野生型。受到镉胁迫时，拟南芥可通过主动运输将镉排出胞外以缓解毒害，推测此时野生型中有氧呼吸强度会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61AA5A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谷氨酸是植物合成谷胱甘肽的主要原料，在丙酮酸供应不足时也可用于维系有氧呼吸的正常运转，无镉胁迫时，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缺失突变体和野生型的根长无显著差异，而突变体谷胱甘肽含量显著低于野生型，推测造成此现象的原因是</w:t>
      </w:r>
      <w:r>
        <w:rPr>
          <w:color w:val="000000"/>
        </w:rPr>
        <w:t>________________________________________________________________________________________________________________________________________________________________</w:t>
      </w:r>
      <w:r>
        <w:rPr>
          <w:rFonts w:ascii="宋体" w:hAnsi="宋体" w:eastAsia="宋体" w:cs="宋体"/>
          <w:color w:val="000000"/>
        </w:rPr>
        <w:t>。</w:t>
      </w:r>
    </w:p>
    <w:p w14:paraId="409384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拟南芥还可通过谷胱甘肽结合镉以减轻毒害。镉胁迫时，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缺失突变体中谷胱甘肽含量显著高于野生型，结合下图根长数据分析，相较于野生型，此时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缺失突变体根细胞中的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生成量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，其原因是</w:t>
      </w:r>
      <w:r>
        <w:rPr>
          <w:color w:val="000000"/>
        </w:rPr>
        <w:t>__________________________________________________________________________________</w:t>
      </w:r>
      <w:r>
        <w:rPr>
          <w:rFonts w:ascii="宋体" w:hAnsi="宋体" w:eastAsia="宋体" w:cs="宋体"/>
          <w:color w:val="000000"/>
        </w:rPr>
        <w:t>。</w:t>
      </w:r>
    </w:p>
    <w:p w14:paraId="70A840B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43375" cy="29432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0B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土壤含盐量过高不利于植物生长。柽柳可明显改善盐碱地土壤微环境，对当地群落结构有重要影响。科研人员对某滨海盐碱地植物群落中柽柳的作用进行了相关研究。</w:t>
      </w:r>
    </w:p>
    <w:p w14:paraId="55E9977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6F65BC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采用样方法调查柽柳种群密度时，若柽柳个体数量较少，可采取的措施是</w:t>
      </w:r>
      <w:r>
        <w:rPr>
          <w:color w:val="000000"/>
        </w:rPr>
        <w:t>______________</w:t>
      </w:r>
      <w:r>
        <w:rPr>
          <w:rFonts w:ascii="宋体" w:hAnsi="宋体" w:eastAsia="宋体" w:cs="宋体"/>
          <w:color w:val="000000"/>
        </w:rPr>
        <w:t>。研究柽柳生态位时，除种群密度外，还应研究</w:t>
      </w:r>
      <w:r>
        <w:rPr>
          <w:color w:val="000000"/>
        </w:rPr>
        <w:t>_________________________________________</w:t>
      </w:r>
      <w:r>
        <w:rPr>
          <w:rFonts w:ascii="宋体" w:hAnsi="宋体" w:eastAsia="宋体" w:cs="宋体"/>
          <w:color w:val="000000"/>
        </w:rPr>
        <w:t>。（答出两点）</w:t>
      </w:r>
    </w:p>
    <w:p w14:paraId="66DE2D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通过栽种柽柳人工林对滨海盐碱地进行生态修复，可增加该地的物种多样性，从而提高生态系统的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稳定性，这体现了生物多样性的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价值。</w:t>
      </w:r>
    </w:p>
    <w:p w14:paraId="2F914D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选取地下水埋藏深度不同的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个区域</w:t>
      </w:r>
      <w:r>
        <w:rPr>
          <w:rFonts w:ascii="Times New Roman" w:hAnsi="Times New Roman" w:eastAsia="Times New Roman" w:cs="Times New Roman"/>
          <w:color w:val="000000"/>
        </w:rPr>
        <w:t>W1—W5</w:t>
      </w:r>
      <w:r>
        <w:rPr>
          <w:rFonts w:ascii="宋体" w:hAnsi="宋体" w:eastAsia="宋体" w:cs="宋体"/>
          <w:color w:val="000000"/>
        </w:rPr>
        <w:t>，对其土壤含盐量和植物的物种多样性进行调查，结果如图、表所示。随着地下水埋藏深度增加造成的土壤含盐量改变，该地植物的物种多样性变化是</w:t>
      </w:r>
      <w:r>
        <w:rPr>
          <w:color w:val="000000"/>
        </w:rPr>
        <w:t>__________________________</w:t>
      </w:r>
      <w:r>
        <w:rPr>
          <w:rFonts w:ascii="宋体" w:hAnsi="宋体" w:eastAsia="宋体" w:cs="宋体"/>
          <w:color w:val="000000"/>
        </w:rPr>
        <w:t>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9"/>
        <w:gridCol w:w="1401"/>
        <w:gridCol w:w="1401"/>
        <w:gridCol w:w="1401"/>
        <w:gridCol w:w="1401"/>
        <w:gridCol w:w="1402"/>
      </w:tblGrid>
      <w:tr w14:paraId="3DA1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4778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主要植物</w:t>
            </w:r>
          </w:p>
        </w:tc>
        <w:tc>
          <w:tcPr>
            <w:tcW w:w="225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88B1D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重要值</w:t>
            </w:r>
          </w:p>
        </w:tc>
      </w:tr>
      <w:tr w14:paraId="2BC2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C2275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种类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1C4DB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FAB91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B830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31CFA9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FC19F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W5</w:t>
            </w:r>
          </w:p>
        </w:tc>
      </w:tr>
      <w:tr w14:paraId="4EF6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6FD16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柽柳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2CA28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C2157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CEE2E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ED1F7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0.29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60FA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0.27</w:t>
            </w:r>
          </w:p>
        </w:tc>
      </w:tr>
      <w:tr w14:paraId="75AE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1CD12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盐地碱蓬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A3384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9944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D8F91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89FC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E4E26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0.29</w:t>
            </w:r>
          </w:p>
        </w:tc>
      </w:tr>
      <w:tr w14:paraId="023B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CB5C6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芦苇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269B6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1646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62FDB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CA1E0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5AD3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0.19</w:t>
            </w:r>
          </w:p>
        </w:tc>
      </w:tr>
      <w:tr w14:paraId="79A7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7DB959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白茅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3AA61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—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6C4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67942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24681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5AE9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0.07</w:t>
            </w:r>
          </w:p>
        </w:tc>
      </w:tr>
    </w:tbl>
    <w:p w14:paraId="006C205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注：重要值越大，物种越占优势。</w:t>
      </w:r>
    </w:p>
    <w:p w14:paraId="1A3D2D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33750" cy="2428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16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盐碱地中的柽柳可在其周围形成低盐、低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和高有机质的优化区域，对群落的物种多样性具有促进效应。结合图、表推测，</w:t>
      </w:r>
      <w:r>
        <w:rPr>
          <w:rFonts w:ascii="Times New Roman" w:hAnsi="Times New Roman" w:eastAsia="Times New Roman" w:cs="Times New Roman"/>
          <w:color w:val="000000"/>
        </w:rPr>
        <w:t>W4</w:t>
      </w:r>
      <w:r>
        <w:rPr>
          <w:rFonts w:ascii="宋体" w:hAnsi="宋体" w:eastAsia="宋体" w:cs="宋体"/>
          <w:color w:val="000000"/>
        </w:rPr>
        <w:t>区域中植物种类最多的原因是</w:t>
      </w:r>
      <w:r>
        <w:rPr>
          <w:color w:val="000000"/>
        </w:rPr>
        <w:t>____________________________________________________________________________________________________________________</w:t>
      </w:r>
      <w:r>
        <w:rPr>
          <w:rFonts w:ascii="宋体" w:hAnsi="宋体" w:eastAsia="宋体" w:cs="宋体"/>
          <w:color w:val="000000"/>
        </w:rPr>
        <w:t>。（答出两点）</w:t>
      </w:r>
    </w:p>
    <w:p w14:paraId="04AC350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咳嗽是一种反射性防御动作。机体通过咳嗽可清除呼吸道内的异物或分泌物，防止其阻塞呼吸道。回答下列问题：</w:t>
      </w:r>
    </w:p>
    <w:p w14:paraId="283CF9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相关感受器受刺激产生的兴奋传导至脑干咳嗽中枢，立即引发咳嗽，此过程属于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反射。人体也可由大脑皮层通过脑干控制咳嗽，这体现了神经系统的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调节。</w:t>
      </w:r>
    </w:p>
    <w:p w14:paraId="742CAE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花粉过敏能引发咳嗽。花粉过敏者再次吸入的花粉会与吸附在肥大细胞表面的相应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结合，使这些细胞释放组胺，引发咳嗽。如图所示，组胺释放可导致组织液中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因子的增加，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可激活</w:t>
      </w:r>
      <w:r>
        <w:rPr>
          <w:color w:val="000000"/>
        </w:rPr>
        <w:t>Ca</w:t>
      </w:r>
      <w:r>
        <w:rPr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通道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。分析图中的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引发咳嗽相关感受器兴奋的机制：</w:t>
      </w:r>
      <w:r>
        <w:rPr>
          <w:color w:val="000000"/>
        </w:rPr>
        <w:t>_________________________________________</w:t>
      </w:r>
      <w:r>
        <w:rPr>
          <w:rFonts w:ascii="宋体" w:hAnsi="宋体" w:eastAsia="宋体" w:cs="宋体"/>
          <w:color w:val="000000"/>
        </w:rPr>
        <w:t>。</w:t>
      </w:r>
    </w:p>
    <w:p w14:paraId="78A6F73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28900" cy="1971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E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科研人员研制出一种可镇咳的新药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，为探究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的药效是否优于常用镇咳药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，现以生理盐水、浓氨水（处理小鼠可引发咳嗽）、镇咳药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、镇咳药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为实验试剂，对健康小鼠进行分组实验。请完善下列分组处理方案：①生理盐水处理、②</w:t>
      </w:r>
      <w:r>
        <w:rPr>
          <w:color w:val="000000"/>
        </w:rPr>
        <w:t>_______________</w:t>
      </w:r>
      <w:r>
        <w:rPr>
          <w:rFonts w:ascii="宋体" w:hAnsi="宋体" w:eastAsia="宋体" w:cs="宋体"/>
          <w:color w:val="000000"/>
        </w:rPr>
        <w:t>、③</w:t>
      </w:r>
      <w:r>
        <w:rPr>
          <w:color w:val="000000"/>
        </w:rPr>
        <w:t>_______________</w:t>
      </w:r>
      <w:r>
        <w:rPr>
          <w:rFonts w:ascii="宋体" w:hAnsi="宋体" w:eastAsia="宋体" w:cs="宋体"/>
          <w:color w:val="000000"/>
        </w:rPr>
        <w:t>、④</w:t>
      </w:r>
      <w:r>
        <w:rPr>
          <w:color w:val="000000"/>
        </w:rPr>
        <w:t>__________________</w:t>
      </w:r>
      <w:r>
        <w:rPr>
          <w:rFonts w:ascii="宋体" w:hAnsi="宋体" w:eastAsia="宋体" w:cs="宋体"/>
          <w:color w:val="000000"/>
        </w:rPr>
        <w:t>。</w:t>
      </w:r>
    </w:p>
    <w:p w14:paraId="35C688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咳嗽患者伴有咳痰，痰液不易咳出时，需谨慎使用镇咳药，原因是</w:t>
      </w:r>
      <w:r>
        <w:rPr>
          <w:color w:val="000000"/>
        </w:rPr>
        <w:t>___________________________________________________________________________</w:t>
      </w:r>
      <w:r>
        <w:rPr>
          <w:rFonts w:ascii="宋体" w:hAnsi="宋体" w:eastAsia="宋体" w:cs="宋体"/>
          <w:color w:val="000000"/>
        </w:rPr>
        <w:t>。</w:t>
      </w:r>
    </w:p>
    <w:p w14:paraId="050E04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黑曲霉中的淀粉酶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能直接将不经高温处理的淀粉降解为葡萄糖。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基因的表达受</w:t>
      </w:r>
      <w:r>
        <w:rPr>
          <w:rFonts w:ascii="Times New Roman" w:hAnsi="Times New Roman" w:eastAsia="Times New Roman" w:cs="Times New Roman"/>
          <w:color w:val="000000"/>
        </w:rPr>
        <w:t>CreA</w:t>
      </w:r>
      <w:r>
        <w:rPr>
          <w:rFonts w:ascii="宋体" w:hAnsi="宋体" w:eastAsia="宋体" w:cs="宋体"/>
          <w:color w:val="000000"/>
        </w:rPr>
        <w:t>蛋白抑制。研究者利用基因工程手段，抑制了黑曲霉</w:t>
      </w:r>
      <w:r>
        <w:rPr>
          <w:rFonts w:ascii="Times New Roman" w:hAnsi="Times New Roman" w:eastAsia="Times New Roman" w:cs="Times New Roman"/>
          <w:color w:val="000000"/>
        </w:rPr>
        <w:t>CreA</w:t>
      </w:r>
      <w:r>
        <w:rPr>
          <w:rFonts w:ascii="宋体" w:hAnsi="宋体" w:eastAsia="宋体" w:cs="宋体"/>
          <w:color w:val="000000"/>
        </w:rPr>
        <w:t>基因的表达，并进行了相关检测。</w:t>
      </w:r>
    </w:p>
    <w:p w14:paraId="00A76B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63BD13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黑曲霉菌种的分离纯化应选用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（填“固体”或“液体”）培养基。</w:t>
      </w:r>
    </w:p>
    <w:p w14:paraId="20A9BD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细胞中具有特定结构的双链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可被相关酶识别并降解为小片段。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小片段可识别与自身序列互补的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，引导该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发生降解。如图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所示，为使含片段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的转录产物能按照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原则自身折叠形成双链，扩增</w:t>
      </w:r>
      <w:r>
        <w:rPr>
          <w:rFonts w:ascii="Times New Roman" w:hAnsi="Times New Roman" w:eastAsia="Times New Roman" w:cs="Times New Roman"/>
          <w:color w:val="000000"/>
        </w:rPr>
        <w:t>CreA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片段时，可在两个引物的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端分别添加两个限制酶识别序列。一部分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产物用限制酶</w:t>
      </w:r>
      <w:r>
        <w:rPr>
          <w:rFonts w:ascii="Times New Roman" w:hAnsi="Times New Roman" w:eastAsia="Times New Roman" w:cs="Times New Roman"/>
          <w:color w:val="000000"/>
        </w:rPr>
        <w:t>Kpn</w:t>
      </w:r>
      <w:r>
        <w:rPr>
          <w:rFonts w:ascii="宋体" w:hAnsi="宋体" w:eastAsia="宋体" w:cs="宋体"/>
          <w:color w:val="000000"/>
        </w:rPr>
        <w:t>Ⅰ和</w:t>
      </w:r>
      <w:r>
        <w:rPr>
          <w:rFonts w:ascii="Times New Roman" w:hAnsi="Times New Roman" w:eastAsia="Times New Roman" w:cs="Times New Roman"/>
          <w:color w:val="000000"/>
        </w:rPr>
        <w:t>Spe</w:t>
      </w:r>
      <w:r>
        <w:rPr>
          <w:rFonts w:ascii="宋体" w:hAnsi="宋体" w:eastAsia="宋体" w:cs="宋体"/>
          <w:color w:val="000000"/>
        </w:rPr>
        <w:t>Ⅰ酶切连接到载体中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所在的位置，另一部分再用限制酶①和②构建到载体中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所在的位置。因此可判断，限制酶①应该是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367777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9240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60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构建的基因表达载体除含有启动子、终止子和目的基因外，还需具有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基因，以使表达载体转入受体细胞后可利用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培养基筛选出转基因成功的菌株。</w:t>
      </w:r>
    </w:p>
    <w:p w14:paraId="7489D9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构建的表达载体转入菌株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获得</w:t>
      </w:r>
      <w:r>
        <w:rPr>
          <w:rFonts w:ascii="Times New Roman" w:hAnsi="Times New Roman" w:eastAsia="Times New Roman" w:cs="Times New Roman"/>
          <w:color w:val="000000"/>
        </w:rPr>
        <w:t>G1</w:t>
      </w:r>
      <w:r>
        <w:rPr>
          <w:rFonts w:ascii="宋体" w:hAnsi="宋体" w:eastAsia="宋体" w:cs="宋体"/>
          <w:color w:val="000000"/>
        </w:rPr>
        <w:t>，将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G1</w:t>
      </w:r>
      <w:r>
        <w:rPr>
          <w:rFonts w:ascii="宋体" w:hAnsi="宋体" w:eastAsia="宋体" w:cs="宋体"/>
          <w:color w:val="000000"/>
        </w:rPr>
        <w:t>在相同且适宜的条件下培养，对其生长状况和菌液的淀粉酶活力进行检测，实验结果（图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）表明</w:t>
      </w:r>
      <w:r>
        <w:rPr>
          <w:color w:val="000000"/>
        </w:rPr>
        <w:t>_______________________________________________________________</w:t>
      </w:r>
      <w:r>
        <w:rPr>
          <w:rFonts w:ascii="宋体" w:hAnsi="宋体" w:eastAsia="宋体" w:cs="宋体"/>
          <w:color w:val="000000"/>
        </w:rPr>
        <w:t>。（答出两点）</w:t>
      </w:r>
    </w:p>
    <w:p w14:paraId="2D135B8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71775" cy="2047875"/>
            <wp:effectExtent l="0" t="0" r="0" b="0"/>
            <wp:docPr id="1793212893" name="图片 179321289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2893" name="图片 179321289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20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传统工艺中需对淀粉进行高温糊化、淀粉酶液化和糖化酶糖化等处理，才可获得葡萄糖。相较于传统工艺，对淀粉酶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的研发利用所体现的优势是</w:t>
      </w:r>
      <w:r>
        <w:rPr>
          <w:color w:val="000000"/>
        </w:rPr>
        <w:t>________________________________________________</w:t>
      </w:r>
      <w:r>
        <w:rPr>
          <w:rFonts w:ascii="宋体" w:hAnsi="宋体" w:eastAsia="宋体" w:cs="宋体"/>
          <w:color w:val="000000"/>
        </w:rPr>
        <w:t>。（答出两点）</w:t>
      </w:r>
    </w:p>
    <w:p w14:paraId="3E92BD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根据开花的特点，辣椒植株的花型可分为单花、中花和多花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种类型。为探究该性状的遗传规律，研究者利用甲、乙和丙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种单花纯合体进行了杂交实验，结果见表。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3"/>
        <w:gridCol w:w="2073"/>
        <w:gridCol w:w="2106"/>
      </w:tblGrid>
      <w:tr w14:paraId="44BF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061B2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实验编号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C1150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杂交组合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C21AC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表型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D8F14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表型及比例</w:t>
            </w:r>
          </w:p>
        </w:tc>
      </w:tr>
      <w:tr w14:paraId="4897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D432E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9D24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×</w:t>
            </w:r>
            <w:r>
              <w:rPr>
                <w:rFonts w:ascii="宋体" w:hAnsi="宋体" w:eastAsia="宋体" w:cs="宋体"/>
                <w:color w:val="000000"/>
              </w:rPr>
              <w:t>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0E7A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多花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8C7207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多花∶单花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=9</w:t>
            </w:r>
            <w:r>
              <w:rPr>
                <w:rFonts w:ascii="宋体" w:hAnsi="宋体" w:eastAsia="宋体" w:cs="宋体"/>
                <w:color w:val="00000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</w:tr>
      <w:tr w14:paraId="76BC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458B9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AECF6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×</w:t>
            </w:r>
            <w:r>
              <w:rPr>
                <w:rFonts w:ascii="宋体" w:hAnsi="宋体" w:eastAsia="宋体" w:cs="宋体"/>
                <w:color w:val="000000"/>
              </w:rPr>
              <w:t>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C5259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多花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2F58E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多花∶单花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=9</w:t>
            </w:r>
            <w:r>
              <w:rPr>
                <w:rFonts w:ascii="宋体" w:hAnsi="宋体" w:eastAsia="宋体" w:cs="宋体"/>
                <w:color w:val="00000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</w:tr>
      <w:tr w14:paraId="24EA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CC2E0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C6A30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×</w:t>
            </w:r>
            <w:r>
              <w:rPr>
                <w:rFonts w:ascii="宋体" w:hAnsi="宋体" w:eastAsia="宋体" w:cs="宋体"/>
                <w:color w:val="000000"/>
              </w:rPr>
              <w:t>丙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9F832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中花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810EF6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中花∶单花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=9</w:t>
            </w:r>
            <w:r>
              <w:rPr>
                <w:rFonts w:ascii="宋体" w:hAnsi="宋体" w:eastAsia="宋体" w:cs="宋体"/>
                <w:color w:val="000000"/>
              </w:rPr>
              <w:t>∶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</w:tr>
    </w:tbl>
    <w:p w14:paraId="7DE6D53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158541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根据实验①结果推断，控制花型的基因遗传遵循</w:t>
      </w:r>
      <w:r>
        <w:rPr>
          <w:color w:val="000000"/>
        </w:rPr>
        <w:t>______________</w:t>
      </w:r>
      <w:r>
        <w:rPr>
          <w:rFonts w:ascii="宋体" w:hAnsi="宋体" w:eastAsia="宋体" w:cs="宋体"/>
          <w:color w:val="000000"/>
        </w:rPr>
        <w:t>定律。实验②的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单花个体中，纯合体占比为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。利用甲和实验②的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进行杂交，子代中多花占比为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61D453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根据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个杂交实验结果判断，控制花型的基因至少涉及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对。因此推测，上述实验中表现出多花的辣椒植株，必须具有甲中参与控制多花的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（填“显性”或“隐性”）基因，该等位基因用</w:t>
      </w:r>
      <w:r>
        <w:rPr>
          <w:rFonts w:ascii="Times New Roman" w:hAnsi="Times New Roman" w:eastAsia="Times New Roman" w:cs="Times New Roman"/>
          <w:color w:val="000000"/>
        </w:rPr>
        <w:t>A/a</w:t>
      </w:r>
      <w:r>
        <w:rPr>
          <w:rFonts w:ascii="宋体" w:hAnsi="宋体" w:eastAsia="宋体" w:cs="宋体"/>
          <w:color w:val="000000"/>
        </w:rPr>
        <w:t>表示。</w:t>
      </w:r>
    </w:p>
    <w:p w14:paraId="7A5EEA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现将实验①的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和丙杂交，对其子代单株和甲、丙的</w:t>
      </w:r>
      <w:r>
        <w:rPr>
          <w:rFonts w:ascii="Times New Roman" w:hAnsi="Times New Roman" w:eastAsia="Times New Roman" w:cs="Times New Roman"/>
          <w:color w:val="000000"/>
        </w:rPr>
        <w:t>A/a</w:t>
      </w:r>
      <w:r>
        <w:rPr>
          <w:rFonts w:ascii="宋体" w:hAnsi="宋体" w:eastAsia="宋体" w:cs="宋体"/>
          <w:color w:val="000000"/>
        </w:rPr>
        <w:t>基因进行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扩增，产物经酶切后电泳结果的带型如图所示。若（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）中的推测正确，在图中将多花和中花植株检测结果对应位置的条带涂黑，杂交子代中，电泳结果与亲本丙相同的个体理论上占比为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2F0E13A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71825" cy="12287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E4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现有多株基因型相同的中花辣椒植株，从亲本甲、乙和丙中选择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与该类植株杂交，根据子一代表型及比例即可确定其基因型。</w:t>
      </w:r>
      <w:r>
        <w:rPr>
          <w:color w:val="000000"/>
        </w:rPr>
        <w:br w:type="page"/>
      </w:r>
    </w:p>
    <w:p w14:paraId="025A30BC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2026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年普通高中学业水平选择性考试（河北卷）</w:t>
      </w:r>
    </w:p>
    <w:p w14:paraId="08AAECCD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生物学</w:t>
      </w:r>
    </w:p>
    <w:p w14:paraId="0EDCBC2C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分钟。</w:t>
      </w:r>
    </w:p>
    <w:p w14:paraId="7AFB5D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 w14:paraId="5FF832C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3A01947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BE77EE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268FD4B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DE7233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47FC6D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F230D1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477C326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E55F08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5287BA4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9FA3F3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153CCB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C3337E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2F9384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02D0D8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6A8D9DB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AEB0ED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6BF5DA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8D4C86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101195C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D25032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387B362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AB0277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7D325AB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6ACD55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647BFB9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D568C3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分。在每小题给出的四个选项中，有两个或两个以上选项符合题目要求，全部选对得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0443FF6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732E77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 w14:paraId="334F8A8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7CE5A5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22A98E3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5DE6A0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567791C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1A8B3C2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6B51544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3FC020A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4B52D42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59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093CAB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32FC80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一    ②. 三    </w:t>
      </w:r>
    </w:p>
    <w:p w14:paraId="7C08266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高于    ②. 增强    </w:t>
      </w:r>
    </w:p>
    <w:p w14:paraId="5DE2CB9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M缺失突变体中丙酮酸进入线粒体受阻，有氧呼吸丙酮酸供应不足，谷氨酸更多用于维系有氧呼吸的正常运转，用于合成谷胱甘肽的谷氨酸减少，因此谷胱甘肽含量显著低于野生型；而有氧呼吸的能量供应未受明显影响，根长无显著差异    </w:t>
      </w:r>
    </w:p>
    <w:p w14:paraId="4883328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减少    ②. M缺失突变体中丙酮酸进入线粒体受阻，有氧呼吸减弱，ATP生成减少；同时合成更多谷胱甘肽消耗了大量谷氨酸，可用于维系有氧呼吸的谷氨酸减少，进一步降低有氧呼吸强度，ATP生成量减少，根生长受抑制更明显</w:t>
      </w:r>
    </w:p>
    <w:p w14:paraId="2E6787B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13053D8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适当扩大样方面积    ②. 柽柳在该区域出现的频率、植株高度等特征，以及它与其他物种的关系等    </w:t>
      </w:r>
    </w:p>
    <w:p w14:paraId="1B81A32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抵抗力    ②. 间接    （3）先增加后减少    </w:t>
      </w:r>
    </w:p>
    <w:p w14:paraId="27E52C8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（4）柽柳在W4区域占优势，改善了土壤微环境，形成低盐、低pH和高有机质的优化区域，利于多种植物生长；W4区域土壤含盐量适宜，有利于多种植物生长</w:t>
      </w:r>
    </w:p>
    <w:p w14:paraId="74A42AF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 w14:paraId="0C8DE73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非条件    ②. 分级    </w:t>
      </w:r>
    </w:p>
    <w:p w14:paraId="623379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    ①. 抗体    ②. A因子激活Ca</w:t>
      </w:r>
      <w:r>
        <w:rPr>
          <w:color w:val="000000"/>
          <w:vertAlign w:val="superscript"/>
        </w:rPr>
        <w:t>2+</w:t>
      </w:r>
      <w:r>
        <w:rPr>
          <w:color w:val="000000"/>
        </w:rPr>
        <w:t>通道T，Ca</w:t>
      </w:r>
      <w:r>
        <w:rPr>
          <w:color w:val="000000"/>
          <w:vertAlign w:val="superscript"/>
        </w:rPr>
        <w:t>2+</w:t>
      </w:r>
      <w:r>
        <w:rPr>
          <w:color w:val="000000"/>
        </w:rPr>
        <w:t>内流；Ca</w:t>
      </w:r>
      <w:r>
        <w:rPr>
          <w:color w:val="000000"/>
          <w:vertAlign w:val="superscript"/>
        </w:rPr>
        <w:t>2+</w:t>
      </w:r>
      <w:r>
        <w:rPr>
          <w:color w:val="000000"/>
        </w:rPr>
        <w:t>进一步激活Na</w:t>
      </w:r>
      <w:r>
        <w:rPr>
          <w:color w:val="000000"/>
          <w:vertAlign w:val="superscript"/>
        </w:rPr>
        <w:t>+</w:t>
      </w:r>
      <w:r>
        <w:rPr>
          <w:color w:val="000000"/>
        </w:rPr>
        <w:t>通道，Na</w:t>
      </w:r>
      <w:r>
        <w:rPr>
          <w:color w:val="000000"/>
          <w:vertAlign w:val="superscript"/>
        </w:rPr>
        <w:t>+</w:t>
      </w:r>
      <w:r>
        <w:rPr>
          <w:color w:val="000000"/>
        </w:rPr>
        <w:t xml:space="preserve">大量内流，感受器产生动作电位，引发兴奋    </w:t>
      </w:r>
    </w:p>
    <w:p w14:paraId="51D19BF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适量镇咳药C处理+适量浓氨水    ②. 适量镇咳药D处理+适量浓氨水    ③. 适量浓氨水刺激    </w:t>
      </w:r>
    </w:p>
    <w:p w14:paraId="0081A7C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（4）镇咳药抑制咳嗽反射，痰液无法及时排出，堵塞呼吸道，还易滋生细菌，加重呼吸道感染，加重病情</w:t>
      </w:r>
    </w:p>
    <w:p w14:paraId="532F162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 w14:paraId="38BC36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（1）固体     （2）    ①. 碱基互补配对    ②. 5′    ③. </w:t>
      </w:r>
      <w:r>
        <w:rPr>
          <w:i/>
          <w:color w:val="000000"/>
        </w:rPr>
        <w:t xml:space="preserve">Sac </w:t>
      </w:r>
      <w:r>
        <w:rPr>
          <w:color w:val="000000"/>
        </w:rPr>
        <w:t xml:space="preserve">Ⅰ     </w:t>
      </w:r>
    </w:p>
    <w:p w14:paraId="34F441F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标记    ②. 选择    </w:t>
      </w:r>
    </w:p>
    <w:p w14:paraId="3329551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（4）①抑制</w:t>
      </w:r>
      <w:r>
        <w:rPr>
          <w:i/>
          <w:color w:val="000000"/>
        </w:rPr>
        <w:t>CreA</w:t>
      </w:r>
      <w:r>
        <w:rPr>
          <w:color w:val="000000"/>
        </w:rPr>
        <w:t>基因的表达对黑曲霉的生长（生物量）无显著影响；②抑制</w:t>
      </w:r>
      <w:r>
        <w:rPr>
          <w:i/>
          <w:color w:val="000000"/>
        </w:rPr>
        <w:t>CreA</w:t>
      </w:r>
      <w:r>
        <w:rPr>
          <w:color w:val="000000"/>
        </w:rPr>
        <w:t xml:space="preserve">基因的表达可显著提高黑曲霉的淀粉酶活力    </w:t>
      </w:r>
    </w:p>
    <w:p w14:paraId="73A843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（5）①省去高温糊化、液化步骤，节约能源，简化工艺流程，降低生产成本；②酶促反应条件温和，副产物少，产物纯度更高</w:t>
      </w:r>
    </w:p>
    <w:p w14:paraId="18C597F3">
      <w:pPr>
        <w:spacing w:line="360" w:lineRule="auto"/>
        <w:jc w:val="left"/>
        <w:textAlignment w:val="center"/>
        <w:rPr>
          <w:color w:val="000000"/>
        </w:rPr>
      </w:pPr>
    </w:p>
    <w:p w14:paraId="4ACB665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 w14:paraId="51CEC9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基因的自由组合（分离定律和自由组合）    ②. 3/7    ③. 1/2##50%    </w:t>
      </w:r>
    </w:p>
    <w:p w14:paraId="22F7D87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（2）3##三    （3）    ①. 显性</w:t>
      </w:r>
    </w:p>
    <w:p w14:paraId="530F93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0400" cy="12287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1/2##50%    （4）乙和丙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E9DD44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26E072EE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928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13</Pages>
  <Words>2184</Words>
  <Characters>2379</Characters>
  <Lines>0</Lines>
  <Paragraphs>0</Paragraphs>
  <TotalTime>5</TotalTime>
  <ScaleCrop>false</ScaleCrop>
  <LinksUpToDate>false</LinksUpToDate>
  <CharactersWithSpaces>2524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2026-06-21T16:00:00Z</dcterms:created>
  <dc:creator>学科网试题生产平台</dc:creator>
  <dc:description>4016740014433280</dc:description>
  <cp:lastModifiedBy>微信用户</cp:lastModifiedBy>
  <dcterms:modified xsi:type="dcterms:W3CDTF">2026-06-22T05:58:00Z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{"ContentPropagator":"XKW","Label":"2","ProduceID":"4016740014433280","PropagateID":"58422066","ContentProducer":"XKW"}</vt:lpwstr>
  </property>
  <property fmtid="{D5CDD505-2E9C-101B-9397-08002B2CF9AE}" pid="3" name="album">
    <vt:lpwstr>rbm.xkw.com</vt:lpwstr>
  </property>
  <property fmtid="{D5CDD505-2E9C-101B-9397-08002B2CF9AE}" pid="4" name="author">
    <vt:lpwstr>rbm.xkw.com</vt:lpwstr>
  </property>
  <property fmtid="{D5CDD505-2E9C-101B-9397-08002B2CF9AE}" pid="5" name="company">
    <vt:lpwstr>学科网</vt:lpwstr>
  </property>
  <property fmtid="{D5CDD505-2E9C-101B-9397-08002B2CF9AE}" pid="6" name="copyright">
    <vt:lpwstr>学科网版权所有</vt:lpwstr>
  </property>
  <property fmtid="{D5CDD505-2E9C-101B-9397-08002B2CF9AE}" pid="7" name="KSOTemplateDocerSaveRecord">
    <vt:lpwstr>eyJoZGlkIjoiNDM3YTJmZTE4YTYyYjc2ZGUwMDMxN2RjNTRhYTE2ZjQiLCJ1c2VySWQiOiIxMjk1OTkwODkxIn0=</vt:lpwstr>
  </property>
  <property fmtid="{D5CDD505-2E9C-101B-9397-08002B2CF9AE}" pid="8" name="KSOProductBuildVer">
    <vt:lpwstr>2052-12.1.0.26895</vt:lpwstr>
  </property>
  <property fmtid="{D5CDD505-2E9C-101B-9397-08002B2CF9AE}" pid="9" name="ICV">
    <vt:lpwstr>E3135B907A084986B18D30FFCAB899F6_12</vt:lpwstr>
  </property>
</Properties>
</file>