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맑은 고딕" w:cs="맑은 고딕" w:eastAsia="맑은 고딕" w:hAnsi="맑은 고딕"/>
          <w:b/>
          <w:bCs/>
          <w:sz w:val="32"/>
          <w:szCs w:val="32"/>
        </w:rPr>
        <w:t xml:space="preserve">초기창업패키지 vs 예비창업패키지 — mo,on 드라이런 비교</w:t>
      </w:r>
    </w:p>
    <w:p>
      <w:pPr>
        <w:spacing w:after="300" w:before="0"/>
      </w:pPr>
      <w:r>
        <w:rPr>
          <w:rFonts w:ascii="맑은 고딕" w:cs="맑은 고딕" w:eastAsia="맑은 고딕" w:hAnsi="맑은 고딕"/>
          <w:b w:val="false"/>
          <w:bCs w:val="false"/>
          <w:i/>
          <w:iCs/>
          <w:color w:val="555555"/>
          <w:sz w:val="18"/>
          <w:szCs w:val="18"/>
        </w:rPr>
        <w:t xml:space="preserve">작성일: 2026-07-19 · 대상: mo,on(모온) · 이 문서는 실제 제출본이 아니라 두 프로그램의 실제 공고 기준 시뮬레이션 결과입니다.</w:t>
      </w:r>
    </w:p>
    <w:p>
      <w:pPr>
        <w:pStyle w:val="Heading1"/>
        <w:spacing w:after="150" w:before="300"/>
      </w:pPr>
      <w:r>
        <w:rPr>
          <w:rFonts w:ascii="맑은 고딕" w:cs="맑은 고딕" w:eastAsia="맑은 고딕" w:hAnsi="맑은 고딕"/>
          <w:b/>
          <w:bCs/>
        </w:rPr>
        <w:t xml:space="preserve">1. 핵심 비교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4472C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항목</w:t>
            </w:r>
          </w:p>
        </w:tc>
        <w:tc>
          <w:tcPr>
            <w:tcW w:type="dxa" w:w="3600"/>
            <w:shd w:fill="4472C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예비창업패키지</w:t>
            </w:r>
          </w:p>
        </w:tc>
        <w:tc>
          <w:tcPr>
            <w:tcW w:type="dxa" w:w="3600"/>
            <w:shd w:fill="4472C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초기창업패키지(일반형)</w:t>
            </w:r>
          </w:p>
        </w:tc>
      </w:tr>
      <w:tr>
        <w:tc>
          <w:tcPr>
            <w:tcW w:type="dxa" w:w="1800"/>
            <w:shd w:fill="F2F2F2" w:val="clear"/>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신청자격</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미창업 상태(사업자등록증·법인대표권 없음)</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창업 후 3년 이내(개인·법인 무관)</w:t>
            </w:r>
          </w:p>
        </w:tc>
      </w:tr>
      <w:tr>
        <w:tc>
          <w:tcPr>
            <w:tcW w:type="dxa" w:w="1800"/>
            <w:shd w:fill="F2F2F2" w:val="clear"/>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지원금</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평균 4천만원 (1단계 2천만원 고정 + 2단계 심사 통과 시 추가, 최대 1억원)</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평균 5천만원 (최대 1억원, 신청액 범위 내 차등)</w:t>
            </w:r>
          </w:p>
        </w:tc>
      </w:tr>
      <w:tr>
        <w:tc>
          <w:tcPr>
            <w:tcW w:type="dxa" w:w="1800"/>
            <w:shd w:fill="F2F2F2" w:val="clear"/>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자기부담금</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없음 — 정부지원금 100%</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있음 — 지역별 차등(진주시는 목록에 없어 '일반지역 25%'로 추정, 확정 아님)</w:t>
            </w:r>
          </w:p>
        </w:tc>
      </w:tr>
      <w:tr>
        <w:tc>
          <w:tcPr>
            <w:tcW w:type="dxa" w:w="1800"/>
            <w:shd w:fill="F2F2F2" w:val="clear"/>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협약기간</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8개월 ('26.6월~'27.1월 예정)</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10개월 ('26.4월~'27.1월 예정)</w:t>
            </w:r>
          </w:p>
        </w:tc>
      </w:tr>
      <w:tr>
        <w:tc>
          <w:tcPr>
            <w:tcW w:type="dxa" w:w="1800"/>
            <w:shd w:fill="F2F2F2" w:val="clear"/>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통과 커트라인</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단계별 취득점수 70점 미만이면 탈락</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단계별 취득점수 60점 미만이면 탈락 (예비창업패키지보다 완화)</w:t>
            </w:r>
          </w:p>
        </w:tc>
      </w:tr>
      <w:tr>
        <w:tc>
          <w:tcPr>
            <w:tcW w:type="dxa" w:w="1800"/>
            <w:shd w:fill="F2F2F2" w:val="clear"/>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선정규모</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총 300명 (일반110 / 여성70 / 소셜벤처70 / 사내벤처50)</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총 400개사</w:t>
            </w:r>
          </w:p>
        </w:tc>
      </w:tr>
      <w:tr>
        <w:tc>
          <w:tcPr>
            <w:tcW w:type="dxa" w:w="1800"/>
            <w:shd w:fill="F2F2F2" w:val="clear"/>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평가단계</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서류 → 사전 인큐베이팅 → 발표(3단계)</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서류 → 심층인터뷰(30분) → 발표(30분, 대면)(3단계)</w:t>
            </w:r>
          </w:p>
        </w:tc>
      </w:tr>
      <w:tr>
        <w:tc>
          <w:tcPr>
            <w:tcW w:type="dxa" w:w="1800"/>
            <w:shd w:fill="F2F2F2" w:val="clear"/>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담당 주관기관(진주 기준)</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지역: 경남창조경제혁신센터(055-291-9395) / 여성특화: 한국여성벤처협회(02-3440-7464, 전국단위, 중복지원 불가·택1)</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영산대학교(경남, 동부권 — 2026년 설명회가 경상국립대 칠암캠퍼스(진주)에서도 열림)</w:t>
            </w:r>
          </w:p>
        </w:tc>
      </w:tr>
      <w:tr>
        <w:tc>
          <w:tcPr>
            <w:tcW w:type="dxa" w:w="1800"/>
            <w:shd w:fill="F2F2F2" w:val="clear"/>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다음 사이클 예상</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2027년 2~3월 (2026년: 3.6~3.24 접수)</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2027년 1~2월 (2026년: 1.23~2.13 접수)</w:t>
            </w:r>
          </w:p>
        </w:tc>
      </w:tr>
    </w:tbl>
    <w:p>
      <w:pPr>
        <w:pBdr>
          <w:left w:val="single" w:color="C00000" w:sz="24"/>
        </w:pBdr>
        <w:shd w:fill="FFF2F2" w:val="clear"/>
        <w:spacing w:after="200" w:before="200"/>
      </w:pPr>
      <w:r>
        <w:rPr>
          <w:rFonts w:ascii="맑은 고딕" w:cs="맑은 고딕" w:eastAsia="맑은 고딕" w:hAnsi="맑은 고딕"/>
          <w:b/>
          <w:bCs/>
          <w:color w:val="C00000"/>
          <w:sz w:val="21"/>
          <w:szCs w:val="21"/>
        </w:rPr>
        <w:t xml:space="preserve">⚠ 중요: 두 사업은 '생애 1회' 상호 배타 관계입니다. 둘 중 하나에 선정·협약하면 다른 하나는 앞으로 영구히 신청할 수 없습니다(정부 공고 [붙임2] 제외사업 목록에 서로 포함되어 있음). 반드시 둘 중 하나만 선택해야 합니다.</w:t>
      </w:r>
    </w:p>
    <w:p>
      <w:pPr>
        <w:pStyle w:val="Heading1"/>
        <w:spacing w:after="150" w:before="300"/>
      </w:pPr>
      <w:r>
        <w:rPr>
          <w:rFonts w:ascii="맑은 고딕" w:cs="맑은 고딕" w:eastAsia="맑은 고딕" w:hAnsi="맑은 고딕"/>
          <w:b/>
          <w:bCs/>
        </w:rPr>
        <w:t xml:space="preserve">2. 드라이런 결과 — 예비창업패키지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4472C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항목</w:t>
            </w:r>
          </w:p>
        </w:tc>
        <w:tc>
          <w:tcPr>
            <w:tcW w:type="dxa" w:w="6000"/>
            <w:shd w:fill="4472C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예비창업패키지</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종합 판정(lock_state)</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DRAFT (사람 검토 필요 상태)</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신뢰도 점수</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0.35 / 통과기준 0.85</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홍재우(9번째 심사위원) 판정</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잘 보완됨 — 위반 0건</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8인 심사위원 경고</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1건 / 8명 중</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PSST — 문제인식</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pass</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PSST — 해결방안</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pass</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PSST — 서류(증빙)</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fail ← 미창업 상태라 서류 3종 미비</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PSST — 성과목표</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pass</w:t>
            </w:r>
          </w:p>
        </w:tc>
      </w:tr>
    </w:tbl>
    <w:p>
      <w:r>
        <w:br/>
        <w:t xml:space="preserve"/>
      </w:r>
    </w:p>
    <w:p>
      <w:pPr>
        <w:pStyle w:val="Heading1"/>
        <w:spacing w:after="150" w:before="300"/>
      </w:pPr>
      <w:r>
        <w:rPr>
          <w:rFonts w:ascii="맑은 고딕" w:cs="맑은 고딕" w:eastAsia="맑은 고딕" w:hAnsi="맑은 고딕"/>
          <w:b/>
          <w:bCs/>
        </w:rPr>
        <w:t xml:space="preserve">3. 드라이런 결과 — 초기창업패키지(일반형)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4472C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항목</w:t>
            </w:r>
          </w:p>
        </w:tc>
        <w:tc>
          <w:tcPr>
            <w:tcW w:type="dxa" w:w="6000"/>
            <w:shd w:fill="4472C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초기창업패키지(일반형)</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종합 판정(lock_state)</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DRAFT (사람 검토 필요 상태)</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신뢰도 점수</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0.35 / 통과기준 0.85</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홍재우(9번째 심사위원) 판정</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잘 보완됨 — 위반 0건</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8인 심사위원 경고</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1건 / 8명 중</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PSST — 문제인식</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pass</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PSST — 해결방안</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pass</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PSST — 서류(증빙)</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fail ← 미창업 상태라 서류 3종 미비</w:t>
            </w:r>
          </w:p>
        </w:tc>
      </w:tr>
      <w:tr>
        <w:tc>
          <w:tcPr>
            <w:tcW w:type="dxa" w:w="3000"/>
            <w:shd w:fill="F2F2F2" w:val="clear"/>
            <w:tcMar>
              <w:top w:type="dxa" w:w="80"/>
              <w:left w:type="dxa" w:w="100"/>
              <w:bottom w:type="dxa" w:w="80"/>
              <w:right w:type="dxa" w:w="100"/>
            </w:tcMar>
          </w:tcPr>
          <w:p>
            <w:r>
              <w:rPr>
                <w:rFonts w:ascii="맑은 고딕" w:cs="맑은 고딕" w:eastAsia="맑은 고딕" w:hAnsi="맑은 고딕"/>
                <w:b/>
                <w:bCs/>
                <w:sz w:val="18"/>
                <w:szCs w:val="18"/>
              </w:rPr>
              <w:t xml:space="preserve">PSST — 성과목표</w:t>
            </w:r>
          </w:p>
        </w:tc>
        <w:tc>
          <w:tcPr>
            <w:tcW w:type="dxa" w:w="6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pass</w:t>
            </w:r>
          </w:p>
        </w:tc>
      </w:tr>
    </w:tbl>
    <w:p>
      <w:pPr>
        <w:spacing w:after="300" w:before="150"/>
      </w:pPr>
      <w:r>
        <w:rPr>
          <w:rFonts w:ascii="맑은 고딕" w:cs="맑은 고딕" w:eastAsia="맑은 고딕" w:hAnsi="맑은 고딕"/>
          <w:b w:val="false"/>
          <w:bCs w:val="false"/>
          <w:i/>
          <w:iCs/>
          <w:color w:val="555555"/>
          <w:sz w:val="18"/>
          <w:szCs w:val="18"/>
        </w:rPr>
        <w:t xml:space="preserve">※ 두 프로그램 모두 동일한 사업 내용(mo,on 프로필)을 넣고 실행했기 때문에 내용 판정 결과가 같습니다 — 차이는 예산·서류 요건 등 프로그램 자체의 조건에서만 발생합니다.</w:t>
      </w:r>
    </w:p>
    <w:p>
      <w:pPr>
        <w:pStyle w:val="Heading1"/>
        <w:spacing w:after="150" w:before="300"/>
      </w:pPr>
      <w:r>
        <w:rPr>
          <w:rFonts w:ascii="맑은 고딕" w:cs="맑은 고딕" w:eastAsia="맑은 고딕" w:hAnsi="맑은 고딕"/>
          <w:b/>
          <w:bCs/>
        </w:rPr>
        <w:t xml:space="preserve">4. 신청서 초안 내용 (두 프로그램 공통)</w:t>
      </w:r>
    </w:p>
    <w:p>
      <w:pPr>
        <w:spacing w:after="200" w:before="0"/>
      </w:pPr>
      <w:r>
        <w:rPr>
          <w:rFonts w:ascii="맑은 고딕" w:cs="맑은 고딕" w:eastAsia="맑은 고딕" w:hAnsi="맑은 고딕"/>
          <w:b w:val="false"/>
          <w:bCs w:val="false"/>
          <w:i/>
          <w:iCs/>
          <w:color w:val="555555"/>
          <w:sz w:val="18"/>
          <w:szCs w:val="18"/>
        </w:rPr>
        <w:t xml:space="preserve">아래는 현재 mo,on 사업 프로필을 정부지원 스킬 엔진에 넣어 자동 생성한 초안입니다. [확인 필요]로 남은 부분은 아직 사업자등록을 하지 않아 채울 수 없는 항목입니다 — 실제 제출 시에는 정부 지정 양식([별첨1])에 옮겨 담아야 합니다.</w:t>
      </w:r>
    </w:p>
    <w:p>
      <w:pPr>
        <w:spacing w:after="60" w:before="200"/>
      </w:pPr>
      <w:r>
        <w:rPr>
          <w:rFonts w:ascii="맑은 고딕" w:cs="맑은 고딕" w:eastAsia="맑은 고딕" w:hAnsi="맑은 고딕"/>
          <w:b/>
          <w:bCs/>
          <w:i w:val="false"/>
          <w:iCs w:val="false"/>
          <w:color w:val="1F4E78"/>
          <w:sz w:val="21"/>
          <w:szCs w:val="21"/>
        </w:rPr>
        <w:t xml:space="preserve">1. 사업개요</w:t>
      </w:r>
    </w:p>
    <w:p>
      <w:pPr>
        <w:spacing w:after="200" w:before="0"/>
      </w:pPr>
      <w:r>
        <w:rPr>
          <w:rFonts w:ascii="맑은 고딕" w:cs="맑은 고딕" w:eastAsia="맑은 고딕" w:hAnsi="맑은 고딕"/>
          <w:b w:val="false"/>
          <w:bCs w:val="false"/>
          <w:i w:val="false"/>
          <w:iCs w:val="false"/>
          <w:sz w:val="21"/>
          <w:szCs w:val="21"/>
        </w:rPr>
        <w:t xml:space="preserve">○ 업력 및 형태 : 신청기업은 [업종 확인 필요] 분야에서 [확인 필요]년간 사업을 영위해온 [기업형태 확인 필요]입니다.
○ 소재지 규모 : 소재지는 [확인 필요]이며, 상시근로자 [확인 필요]명 규모입니다.</w:t>
      </w:r>
    </w:p>
    <w:p>
      <w:pPr>
        <w:spacing w:after="60" w:before="200"/>
      </w:pPr>
      <w:r>
        <w:rPr>
          <w:rFonts w:ascii="맑은 고딕" w:cs="맑은 고딕" w:eastAsia="맑은 고딕" w:hAnsi="맑은 고딕"/>
          <w:b/>
          <w:bCs/>
          <w:i w:val="false"/>
          <w:iCs w:val="false"/>
          <w:color w:val="1F4E78"/>
          <w:sz w:val="21"/>
          <w:szCs w:val="21"/>
        </w:rPr>
        <w:t xml:space="preserve">2. 신청동기 및 필요성</w:t>
      </w:r>
    </w:p>
    <w:p>
      <w:pPr>
        <w:spacing w:after="200" w:before="0"/>
      </w:pPr>
      <w:r>
        <w:rPr>
          <w:rFonts w:ascii="맑은 고딕" w:cs="맑은 고딕" w:eastAsia="맑은 고딕" w:hAnsi="맑은 고딕"/>
          <w:b w:val="false"/>
          <w:bCs w:val="false"/>
          <w:i w:val="false"/>
          <w:iCs w:val="false"/>
          <w:sz w:val="21"/>
          <w:szCs w:val="21"/>
        </w:rPr>
        <w:t xml:space="preserve">○ 신청 동기 : 브랜드명: mo,on(모온) (엄마의 온기) 사업 아이템: 회복 기록 데이터를 기반으로 한 출장형 산모 회복 컨디셔닝 서비스 mo,on(모온)은 산후조리원 퇴소 후 2주부터 3개월 사이의 회복 공백을 대상으로, 산모의 회복 상태를 기록하고 회차별 변화를 관리하는 가정방문형 회복 컨디셔닝 서비스이다. 체형분석 체크리스트와 회복 기록 데이터를 기반으로 4단계 프로그램을 운영하며, 의료적 진단·치료가 아닌 비의료적 회복 관리 범위에서 산모의 일상 회복을 지원한다. 타겟 고객: 진주 및 인근 지역의 산후조리원 퇴소 후 2주~3개월 산모, 외부 이동이 어려운 출산 초기 가정, 회복 상태를 체계적으로 관리받고 싶은 산모 핵심 문제의식: 출산 직후 산후조리원 이용 이후부터 일반 운동 서비스 이용 전까지의 회복 공백 구간에서 산모의 골반균형, 복부코어근육, 부종순환, 통증불편, 수면상태를 회차별로 관리하는 방문형 서비스가 부족하다. 프로그램 구성: 1단계 순환회복관리 -&gt; 2단계 골반안정화관리 -&gt; 3단계 체형회복관리 -&gt; 4단계 생활관리교육 측정/관리 항목: 골반균형, 복부코어근육, 부종순환, 통증불편, 수면상태 차별점: 체형분석 체크리스트 기반 초기 상태 파악; 회차별 회복 기록 누적; 단계별 회복 프로그램 운영; 고객별 회복 이력 DB 축적; 기록 디지털화 및 표준 프로그램화 확장 가능 본 측정 항목은 의료적 진단이 아닌 회복 관리 목적의 상태 파악 기준이며, 비의료적 회복 컨디셔닝 서비스 범위 내에서 운영된다. 초기 고객 확보 채널: 산부인과·산후조리원 연계, 산모교실, 문화센터, 지역 육아 커뮤니티, 후기·소개 기반 고객 확보</w:t>
      </w:r>
    </w:p>
    <w:p>
      <w:pPr>
        <w:spacing w:after="60" w:before="200"/>
      </w:pPr>
      <w:r>
        <w:rPr>
          <w:rFonts w:ascii="맑은 고딕" w:cs="맑은 고딕" w:eastAsia="맑은 고딕" w:hAnsi="맑은 고딕"/>
          <w:b/>
          <w:bCs/>
          <w:i w:val="false"/>
          <w:iCs w:val="false"/>
          <w:color w:val="1F4E78"/>
          <w:sz w:val="21"/>
          <w:szCs w:val="21"/>
        </w:rPr>
        <w:t xml:space="preserve">3. 사업화 계획</w:t>
      </w:r>
    </w:p>
    <w:p>
      <w:pPr>
        <w:spacing w:after="200" w:before="0"/>
      </w:pPr>
      <w:r>
        <w:rPr>
          <w:rFonts w:ascii="맑은 고딕" w:cs="맑은 고딕" w:eastAsia="맑은 고딕" w:hAnsi="맑은 고딕"/>
          <w:b w:val="false"/>
          <w:bCs w:val="false"/>
          <w:i w:val="false"/>
          <w:iCs w:val="false"/>
          <w:sz w:val="21"/>
          <w:szCs w:val="21"/>
        </w:rPr>
        <w:t xml:space="preserve">○ 예산 상한 : 100,000,000원(자기부담률 0.25) 기준 내에서 사업화를 추진합니다.
○ 사업 아이템 : 브랜드명: mo,on(모온) (엄마의 온기) 사업 아이템: 회복 기록 데이터를 기반으로 한 출장형 산모 회복 컨디셔닝 서비스 mo,on(모온)은 산후조리원 퇴소 후 2주부터 3개월 사이의 회복 공백을 대상으로, 산모의 회복 상태를 기록하고 회차별 변화를 관리하는 가정방문형 회복 컨디셔닝 서비스이다. 체형분석 체크리스트와 회복 기록 데이터를 기반으로 4단계 프로그램을 운영하며, 의료적 진단·치료가 아닌 비의료적 회복 관리 범위에서 산모의 일상 회복을 지원한다. 타겟 고객: 진주 및 인근 지역의 산후조리원 퇴소 후 2주~3개월 산모, 외부 이동이 어려운 출산 초기 가정, 회복 상태를 체계적으로 관리받고 싶은 산모 핵심 문제의식: 출산 직후 산후조리원 이용 이후부터 일반 운동 서비스 이용 전까지의 회복 공백 구간에서 산모의 골반균형, 복부코어근육, 부종순환, 통증불편, 수면상태를 회차별로 관리하는 방문형 서비스가 부족하다. 프로그램 구성: 1단계 순환회복관리 -&gt; 2단계 골반안정화관리 -&gt; 3단계 체형회복관리 -&gt; 4단계 생활관리교육 측정/관리 항목: 골반균형, 복부코어근육, 부종순환, 통증불편, 수면상태 차별점: 체형분석 체크리스트 기반 초기 상태 파악; 회차별 회복 기록 누적; 단계별 회복 프로그램 운영; 고객별 회복 이력 DB 축적; 기록 디지털화 및 표준 프로그램화 확장 가능 본 측정 항목은 의료적 진단이 아닌 회복 관리 목적의 상태 파악 기준이며, 비의료적 회복 컨디셔닝 서비스 범위 내에서 운영된다. 초기 고객 확보 채널: 산부인과·산후조리원 연계, 산모교실, 문화센터, 지역 육아 커뮤니티, 후기·소개 기반 고객 확보
○ 예산 집행계획 : 예산은 서비스 검증, 기록관리 표준화, 고객 확보, 프로그램 매뉴얼화에 직접 연결되는 항목 중심으로 편성한다. 1단계: 파일럿 운영 및 기본 운영 체계 구축 (소계 20,000,000원): 외주용역비-파일럿 세미나 운영 기획·진행·자료 제작 4,000,000원; 외주용역비-4단계 프로그램 매뉴얼 디자인·편집 3,000,000원; 재료비-산모 관리용 오일 및 기본 관리 도구 구입 2,500,000원; 재료비-체형분석·회복 기록 양식 인쇄 및 소모품 500,000원; 지급수수료-파일럿 세미나 장소 대관 및 운영비 2,000,000원; 광고선전비-브랜드 홍보 웹페이지 제작 3,500,000원; 광고선전비-SNS 채널 구축 및 홍보 콘텐츠 제작 3,000,000원; 기계장치/비품-산모 체형분석 측정 도구 구입 1,500,000원 2단계: 기록관리 고도화 및 서비스 확장 검증 (소계 20,000,000원): 외주용역비-산모 회복 이력 기록 디지털화 MVP 개발 6,000,000원; 외주용역비-산모 회복 프로그램 전문가 자문 2,000,000원; 외주용역비-체형분석 보조 기능 도입 검토 자문 3,000,000원; 광고선전비-브랜드 홍보 영상 제작 및 마케팅 집행 4,000,000원; 지급수수료-산부인과·조리원 협력 연계 세미나·박람회 참가비 2,000,000원; 인건비-시범 운영 보조 인력 2,000,000원; 재료비-서비스 관리 도구 추가 구입 1,000,000원 총 예산 40,000,000원</w:t>
      </w:r>
    </w:p>
    <w:p>
      <w:pPr>
        <w:spacing w:after="60" w:before="200"/>
      </w:pPr>
      <w:r>
        <w:rPr>
          <w:rFonts w:ascii="맑은 고딕" w:cs="맑은 고딕" w:eastAsia="맑은 고딕" w:hAnsi="맑은 고딕"/>
          <w:b/>
          <w:bCs/>
          <w:i w:val="false"/>
          <w:iCs w:val="false"/>
          <w:color w:val="1F4E78"/>
          <w:sz w:val="21"/>
          <w:szCs w:val="21"/>
        </w:rPr>
        <w:t xml:space="preserve">4. 팀 역량</w:t>
      </w:r>
    </w:p>
    <w:p>
      <w:pPr>
        <w:spacing w:after="200" w:before="0"/>
      </w:pPr>
      <w:r>
        <w:rPr>
          <w:rFonts w:ascii="맑은 고딕" w:cs="맑은 고딕" w:eastAsia="맑은 고딕" w:hAnsi="맑은 고딕"/>
          <w:b w:val="false"/>
          <w:bCs w:val="false"/>
          <w:i w:val="false"/>
          <w:iCs w:val="false"/>
          <w:sz w:val="21"/>
          <w:szCs w:val="21"/>
        </w:rPr>
        <w:t xml:space="preserve">○ 대표자 연령 : 대표자는 [확인 필요]이며, 보유 인증: 없음.
○ 팀 역량 : 대표자(대표 / 서비스 기획·운영·고객 관리): 출산 이후 산후조리원 퇴소 후 회복 공백을 직접 경험한 창업자로, 피부관리 실무와 산모 대상 직접 서비스 경험을 바탕으로 방문형 산모 회복 컨디셔닝 서비스를 기획·운영한다. 보유 자격/교육: 미용사(피부) 국가자격증 보유; RTS 재활트레이닝 교육 이수 중 또는 이수 기반 프로그램 설계 역량 보완; 산모 회복 컨디셔닝 관련 체형분석·회복기록 양식 사전 설계 경험 실무 경력: 피부관리 실무 경험; 산모 대상 직접 서비스 경험; 공공기관 근무 기반 고객 응대·기록관리·운영 업무 경험; 지역 육아 커뮤니티 기반 수요 인터뷰 및 초기 고객 니즈 확인 실행 역량: 산후 회복 공백 문제를 직접 경험한 당사자성; 방문형 서비스 운영에 필요한 고객 응대 및 현장 운영 경험; 회복 기록 양식과 고객 DB 구조를 사전에 정리한 실행 준비도; 비의료 서비스 범위 안에서 측정·평가·관리·교육 중심으로 운영하는 경계 인식 채용/확보 예정 인력: 현장 운영 인력(조건부·단계별 확보 예정): 산모 회복 컨디셔닝 동반 운영, 회차별 기록 보조, 고객 상태 변화 기록 지원 / 운영 지원 인력(수요 검증 이후 단계적 확보 예정): 고객 상담, 예약 관리, DB 입력, 지역 연계 프로그램 운영 지원 파트너/자문: 전문가 자문(협약 후 확보 예정): 산모 회복 프로그램 운영 기준, 비의료 서비스 경계, 기록 항목의 적정성 검토 / 지역 연계 채널(초기 협의 및 확보 예정): 산부인과·조리원·산모교실·문화센터·육아 커뮤니티를 통한 초기 경험 확보, 후기 축적, 수요 검증</w:t>
      </w:r>
    </w:p>
    <w:p>
      <w:pPr>
        <w:spacing w:after="60" w:before="200"/>
      </w:pPr>
      <w:r>
        <w:rPr>
          <w:rFonts w:ascii="맑은 고딕" w:cs="맑은 고딕" w:eastAsia="맑은 고딕" w:hAnsi="맑은 고딕"/>
          <w:b/>
          <w:bCs/>
          <w:i w:val="false"/>
          <w:iCs w:val="false"/>
          <w:color w:val="1F4E78"/>
          <w:sz w:val="21"/>
          <w:szCs w:val="21"/>
        </w:rPr>
        <w:t xml:space="preserve">5. 예산 계획</w:t>
      </w:r>
    </w:p>
    <w:p>
      <w:pPr>
        <w:spacing w:after="200" w:before="0"/>
      </w:pPr>
      <w:r>
        <w:rPr>
          <w:rFonts w:ascii="맑은 고딕" w:cs="맑은 고딕" w:eastAsia="맑은 고딕" w:hAnsi="맑은 고딕"/>
          <w:b w:val="false"/>
          <w:bCs w:val="false"/>
          <w:i w:val="false"/>
          <w:iCs w:val="false"/>
          <w:sz w:val="21"/>
          <w:szCs w:val="21"/>
        </w:rPr>
        <w:t xml:space="preserve">○ 세부 예산 : 예산은 서비스 검증, 기록관리 표준화, 고객 확보, 프로그램 매뉴얼화에 직접 연결되는 항목 중심으로 편성한다. 1단계: 파일럿 운영 및 기본 운영 체계 구축 (소계 20,000,000원): 외주용역비-파일럿 세미나 운영 기획·진행·자료 제작 4,000,000원; 외주용역비-4단계 프로그램 매뉴얼 디자인·편집 3,000,000원; 재료비-산모 관리용 오일 및 기본 관리 도구 구입 2,500,000원; 재료비-체형분석·회복 기록 양식 인쇄 및 소모품 500,000원; 지급수수료-파일럿 세미나 장소 대관 및 운영비 2,000,000원; 광고선전비-브랜드 홍보 웹페이지 제작 3,500,000원; 광고선전비-SNS 채널 구축 및 홍보 콘텐츠 제작 3,000,000원; 기계장치/비품-산모 체형분석 측정 도구 구입 1,500,000원 2단계: 기록관리 고도화 및 서비스 확장 검증 (소계 20,000,000원): 외주용역비-산모 회복 이력 기록 디지털화 MVP 개발 6,000,000원; 외주용역비-산모 회복 프로그램 전문가 자문 2,000,000원; 외주용역비-체형분석 보조 기능 도입 검토 자문 3,000,000원; 광고선전비-브랜드 홍보 영상 제작 및 마케팅 집행 4,000,000원; 지급수수료-산부인과·조리원 협력 연계 세미나·박람회 참가비 2,000,000원; 인건비-시범 운영 보조 인력 2,000,000원; 재료비-서비스 관리 도구 추가 구입 1,000,000원 총 예산 40,000,000원.</w:t>
      </w:r>
    </w:p>
    <w:p>
      <w:pPr>
        <w:spacing w:after="60" w:before="200"/>
      </w:pPr>
      <w:r>
        <w:rPr>
          <w:rFonts w:ascii="맑은 고딕" w:cs="맑은 고딕" w:eastAsia="맑은 고딕" w:hAnsi="맑은 고딕"/>
          <w:b/>
          <w:bCs/>
          <w:i w:val="false"/>
          <w:iCs w:val="false"/>
          <w:color w:val="1F4E78"/>
          <w:sz w:val="21"/>
          <w:szCs w:val="21"/>
        </w:rPr>
        <w:t xml:space="preserve">6. 기대효과</w:t>
      </w:r>
    </w:p>
    <w:p>
      <w:pPr>
        <w:spacing w:after="200" w:before="0"/>
      </w:pPr>
      <w:r>
        <w:rPr>
          <w:rFonts w:ascii="맑은 고딕" w:cs="맑은 고딕" w:eastAsia="맑은 고딕" w:hAnsi="맑은 고딕"/>
          <w:b w:val="false"/>
          <w:bCs w:val="false"/>
          <w:i w:val="false"/>
          <w:iCs w:val="false"/>
          <w:sz w:val="21"/>
          <w:szCs w:val="21"/>
        </w:rPr>
        <w:t xml:space="preserve">○ 기대효과 : 산출물: 산모 회복 컨디셔닝 4단계 프로그램 매뉴얼 1종, 체형분석 체크리스트 및 회복 기록 양식 세트, 고객 기본정보 및 회차별 회복 기록 DB 구조, 고객별 회복 이력 통합관리 DB 구조, 예약 일정 및 운영 메모 관리 DB 구조, 브랜드 웹페이지 1식, SNS 운영 채널 1식, 홍보 콘텐츠 10건 시장검증 목표: 파일럿 세미나를 통한 초기 고객 경험 확보, 시범 서비스 운영을 통한 초기 케이스 축적, 회차별 회복 기록 누적을 통한 프로그램 보완, 산부인과·조리원·문화센터·육아 커뮤니티 기반 고객 유입 채널 검증 매출 목표: 주력상품 10회 패키지, 단가 1,400,000원, 목표고객 30~40명, 예상매출 42,000,000~56,000,000원, 산출근거: 30~40명 × 10회 패키지 1,400,000원 사회적 가치: 출산 초기 산모의 회복 공백을 메우는 지역 연계형 회복관리 서비스 구축; 출산 경험이 있는 경력단절 여성의 전문 일자리 모델로 확장 가능; 방문형 탄력 근무 구조를 통한 육아와 경제활동 병행 가능성 제시; 지역 산모 대상 회복관리 정보 접근성 향상 장기 성과: 회복 기록 데이터 기반 서비스 표준화, 기록관리 MVP 고도화, 산모 회복 관리사 교육 프로그램 확장, 콘텐츠·온라인 교육 사업으로 확장</w:t>
      </w:r>
    </w:p>
    <w:p>
      <w:pPr>
        <w:pStyle w:val="Heading1"/>
        <w:spacing w:after="150" w:before="300"/>
      </w:pPr>
      <w:r>
        <w:rPr>
          <w:rFonts w:ascii="맑은 고딕" w:cs="맑은 고딕" w:eastAsia="맑은 고딕" w:hAnsi="맑은 고딕"/>
          <w:b/>
          <w:bCs/>
        </w:rPr>
        <w:t xml:space="preserve">5. 남은 판단(참고용 — 확정 조언 아님)</w:t>
      </w:r>
    </w:p>
    <w:p>
      <w:pPr>
        <w:spacing w:after="150" w:before="0"/>
      </w:pPr>
      <w:r>
        <w:rPr>
          <w:rFonts w:ascii="맑은 고딕" w:cs="맑은 고딕" w:eastAsia="맑은 고딕" w:hAnsi="맑은 고딕"/>
          <w:b w:val="false"/>
          <w:bCs w:val="false"/>
          <w:i w:val="false"/>
          <w:iCs w:val="false"/>
          <w:sz w:val="21"/>
          <w:szCs w:val="21"/>
        </w:rPr>
        <w:t xml:space="preserve">예비창업패키지: 자기부담금이 없고 지금(미창업 상태) 바로 신청 가능하다는 장점이 있지만, 통과 커트라인이 더 엄격(70점)하고 1단계 확정 지원금은 2천만원부터 시작합니다.</w:t>
      </w:r>
    </w:p>
    <w:p>
      <w:pPr>
        <w:spacing w:after="150" w:before="0"/>
      </w:pPr>
      <w:r>
        <w:rPr>
          <w:rFonts w:ascii="맑은 고딕" w:cs="맑은 고딕" w:eastAsia="맑은 고딕" w:hAnsi="맑은 고딕"/>
          <w:b w:val="false"/>
          <w:bCs w:val="false"/>
          <w:i w:val="false"/>
          <w:iCs w:val="false"/>
          <w:sz w:val="21"/>
          <w:szCs w:val="21"/>
        </w:rPr>
        <w:t xml:space="preserve">초기창업패키지: 평균 지원액이 조금 더 크고 커트라인이 완화(60점)되어 있지만, 먼저 사업자등록을 마쳐야 하고 자기부담금(추정 25%)이 필요합니다.</w:t>
      </w:r>
    </w:p>
    <w:p>
      <w:pPr>
        <w:spacing w:after="150" w:before="0"/>
      </w:pPr>
      <w:r>
        <w:rPr>
          <w:rFonts w:ascii="맑은 고딕" w:cs="맑은 고딕" w:eastAsia="맑은 고딕" w:hAnsi="맑은 고딕"/>
          <w:b w:val="false"/>
          <w:bCs w:val="false"/>
          <w:i w:val="false"/>
          <w:iCs w:val="false"/>
          <w:sz w:val="21"/>
          <w:szCs w:val="21"/>
        </w:rPr>
        <w:t xml:space="preserve">결정은 자금 여유·창업 시점 계획에 달려 있어 이 문서는 선택하지 않았습니다. 필요하면 세무사·창업 컨설턴트 상담을 권합니다.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2026-07-19T14:37:50.850Z</dcterms:created>
  <dcterms:modified xsi:type="dcterms:W3CDTF">2026-07-19T14:37:50.900Z</dcterms:modified>
</cp:coreProperties>
</file>

<file path=docProps/custom.xml><?xml version="1.0" encoding="utf-8"?>
<Properties xmlns="http://schemas.openxmlformats.org/officeDocument/2006/custom-properties" xmlns:vt="http://schemas.openxmlformats.org/officeDocument/2006/docPropsVTypes"/>
</file>