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맑은 고딕" w:cs="맑은 고딕" w:eastAsia="맑은 고딕" w:hAnsi="맑은 고딕"/>
          <w:b/>
          <w:bCs/>
          <w:sz w:val="32"/>
          <w:szCs w:val="32"/>
        </w:rPr>
        <w:t xml:space="preserve">2026년도 초기창업패키지(일반형) 사업계획서 (초안)</w:t>
      </w:r>
    </w:p>
    <w:p>
      <w:pPr>
        <w:spacing w:after="260" w:before="0"/>
        <w:jc w:val="center"/>
      </w:pPr>
      <w:r>
        <w:rPr>
          <w:rFonts w:ascii="맑은 고딕" w:cs="맑은 고딕" w:eastAsia="맑은 고딕" w:hAnsi="맑은 고딕"/>
          <w:b w:val="false"/>
          <w:bCs w:val="false"/>
          <w:i w:val="false"/>
          <w:iCs w:val="false"/>
          <w:sz w:val="19"/>
          <w:szCs w:val="19"/>
        </w:rPr>
        <w:t xml:space="preserve">신청자(예정) : mo,on(모온)    |    아이템 : 회차별 비의료 서비스 이력·인수인계·일정연동 기반 방문형 산후케어 품질관리 SaaS</w:t>
      </w:r>
    </w:p>
    <w:p>
      <w:pPr>
        <w:pBdr>
          <w:left w:val="single" w:color="C00000" w:sz="24"/>
        </w:pBdr>
        <w:shd w:fill="FFF2F2" w:val="clear"/>
        <w:spacing w:after="220" w:before="200"/>
      </w:pPr>
      <w:r>
        <w:rPr>
          <w:rFonts w:ascii="맑은 고딕" w:cs="맑은 고딕" w:eastAsia="맑은 고딕" w:hAnsi="맑은 고딕"/>
          <w:b/>
          <w:bCs/>
          <w:color w:val="C00000"/>
          <w:sz w:val="21"/>
          <w:szCs w:val="21"/>
        </w:rPr>
        <w:t xml:space="preserve">⚠ [2026-07-20 정정] 두 사업은 '영구 상호배타'가 아니라 비대칭 관계임 — 초기창업패키지에 먼저 선정·협약하면 예비창업패키지는 이후 영구 지원 불가(예창패 공고 붙임2). 반대로 예비창업패키지를 먼저 하면 초기창업패키지는 막히지 않으며, 오히려 예창패 '최우수' 등급자는 차년도 초창패 서류평가 면제 혜택을 받는 공식 연계 트랙임(초창패 공고 붙임4-2에 예창패는 제외사유로 없음). mo,on은 과거 예창패(여성특화)에 지원했으나 선정·협약까지 가지 않고 탈락했으므로 이 제외규정 자체가 적용되지 않아 현재 두 사업 모두 자격상 지원 가능.</w:t>
      </w:r>
    </w:p>
    <w:p>
      <w:pPr>
        <w:pBdr>
          <w:left w:val="single" w:color="808080" w:sz="24"/>
        </w:pBdr>
        <w:shd w:fill="F2F2F2" w:val="clear"/>
        <w:spacing w:after="220" w:before="120"/>
      </w:pPr>
      <w:r>
        <w:rPr>
          <w:rFonts w:ascii="맑은 고딕" w:cs="맑은 고딕" w:eastAsia="맑은 고딕" w:hAnsi="맑은 고딕"/>
          <w:i/>
          <w:iCs/>
          <w:color w:val="595959"/>
          <w:sz w:val="19"/>
          <w:szCs w:val="19"/>
        </w:rPr>
        <w:t xml:space="preserve">※ 본 문서는 2026-07-19 혜미가 새로 제공한 사업 아이디어만을 기반으로 처음부터 작성한 초안이며, 과거 test/my_business_profile_input.json 등 기존 자료의 문장을 재사용하지 않았음. 정량 지표 중 '~예정/~목표'로 표기된 항목은 아직 실측·조사가 완료되지 않은 계획 단계이며, 실제 제출 전 사전 실증을 거쳐 확정해야 함. 사업계획서 본문은 정부 지정 [별첨1] 양식으로 최종 이관이 필요함(양식 상이 시 평가대상 제외).</w:t>
      </w:r>
    </w:p>
    <w:p>
      <w:pPr>
        <w:pBdr>
          <w:left w:val="single" w:color="808080" w:sz="24"/>
        </w:pBdr>
        <w:shd w:fill="F2F2F2" w:val="clear"/>
        <w:spacing w:after="220" w:before="120"/>
      </w:pPr>
      <w:r>
        <w:rPr>
          <w:rFonts w:ascii="맑은 고딕" w:cs="맑은 고딕" w:eastAsia="맑은 고딕" w:hAnsi="맑은 고딕"/>
          <w:i/>
          <w:iCs/>
          <w:color w:val="595959"/>
          <w:sz w:val="19"/>
          <w:szCs w:val="19"/>
        </w:rPr>
        <w:t xml:space="preserve">※ 2026-07-20 외부 검토(초창패_예창패_초안 평가_2026-07-19.md) 반영: 시장규모 계산 오류(10배) 수정, 상호배타 설명 정정, 초창패 예산을 신청 최대금액 기준으로 재작성, 자기부담사업비를 현금·현물 공식 비율(초창패 공고 붙임6 대조 확인)로 재계산해 현물(대표자 인건비) 비중을 최대화. 세부 대조 결과는 문서 끝 '외부감사 반영 메모' 참고.</w:t>
      </w:r>
    </w:p>
    <w:p>
      <w:pPr>
        <w:pBdr>
          <w:bottom w:val="single" w:color="1F4E78" w:sz="8"/>
        </w:pBdr>
        <w:spacing w:after="140" w:before="360"/>
      </w:pPr>
      <w:r>
        <w:rPr>
          <w:rFonts w:ascii="맑은 고딕" w:cs="맑은 고딕" w:eastAsia="맑은 고딕" w:hAnsi="맑은 고딕"/>
          <w:b/>
          <w:bCs/>
          <w:color w:val="1F4E78"/>
          <w:sz w:val="25"/>
          <w:szCs w:val="25"/>
        </w:rPr>
        <w:t xml:space="preserve">일반현황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4472C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항목</w:t>
            </w:r>
          </w:p>
        </w:tc>
        <w:tc>
          <w:tcPr>
            <w:tcW w:type="dxa" w:w="6900"/>
            <w:shd w:fill="4472C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내용</w:t>
            </w:r>
          </w:p>
        </w:tc>
      </w:tr>
      <w:tr>
        <w:tc>
          <w:tcPr>
            <w:tcW w:type="dxa" w:w="2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신청분야</w:t>
            </w:r>
          </w:p>
        </w:tc>
        <w:tc>
          <w:tcPr>
            <w:tcW w:type="dxa" w:w="6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일반형</w:t>
            </w:r>
          </w:p>
        </w:tc>
      </w:tr>
      <w:tr>
        <w:tc>
          <w:tcPr>
            <w:tcW w:type="dxa" w:w="2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신청자격 기준</w:t>
            </w:r>
          </w:p>
        </w:tc>
        <w:tc>
          <w:tcPr>
            <w:tcW w:type="dxa" w:w="6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창업 후 3년 이내(사업자등록 완료 가정)</w:t>
            </w:r>
          </w:p>
        </w:tc>
      </w:tr>
      <w:tr>
        <w:tc>
          <w:tcPr>
            <w:tcW w:type="dxa" w:w="2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주관기관(예정)</w:t>
            </w:r>
          </w:p>
        </w:tc>
        <w:tc>
          <w:tcPr>
            <w:tcW w:type="dxa" w:w="6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영산대학교(경남, 동부권)</w:t>
            </w:r>
          </w:p>
        </w:tc>
      </w:tr>
      <w:tr>
        <w:tc>
          <w:tcPr>
            <w:tcW w:type="dxa" w:w="2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소재지</w:t>
            </w:r>
          </w:p>
        </w:tc>
        <w:tc>
          <w:tcPr>
            <w:tcW w:type="dxa" w:w="6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경상남도 진주시</w:t>
            </w:r>
          </w:p>
        </w:tc>
      </w:tr>
      <w:tr>
        <w:tc>
          <w:tcPr>
            <w:tcW w:type="dxa" w:w="2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협약기간</w:t>
            </w:r>
          </w:p>
        </w:tc>
        <w:tc>
          <w:tcPr>
            <w:tcW w:type="dxa" w:w="6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10개월</w:t>
            </w:r>
          </w:p>
        </w:tc>
      </w:tr>
      <w:tr>
        <w:tc>
          <w:tcPr>
            <w:tcW w:type="dxa" w:w="2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지원금</w:t>
            </w:r>
          </w:p>
        </w:tc>
        <w:tc>
          <w:tcPr>
            <w:tcW w:type="dxa" w:w="6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신청액 1억원(최대금액 전략, 평균 지급액은 0.5억원) / 자기부담사업비 총사업비의 25%(일반지역, 진주시=붙임6 목록에 없어 일반지역 확정 — 현금 10%+현물 15% 공식 비율)</w:t>
            </w:r>
          </w:p>
        </w:tc>
      </w:tr>
    </w:tbl>
    <w:p>
      <w:pPr>
        <w:pBdr>
          <w:bottom w:val="single" w:color="1F4E78" w:sz="8"/>
        </w:pBdr>
        <w:spacing w:after="140" w:before="360"/>
      </w:pPr>
      <w:r>
        <w:rPr>
          <w:rFonts w:ascii="맑은 고딕" w:cs="맑은 고딕" w:eastAsia="맑은 고딕" w:hAnsi="맑은 고딕"/>
          <w:b/>
          <w:bCs/>
          <w:color w:val="1F4E78"/>
          <w:sz w:val="25"/>
          <w:szCs w:val="25"/>
        </w:rPr>
        <w:t xml:space="preserve">1. 문제인식 (Problem)</w:t>
      </w:r>
    </w:p>
    <w:p>
      <w:pPr>
        <w:spacing w:after="100" w:before="220"/>
      </w:pPr>
      <w:r>
        <w:rPr>
          <w:rFonts w:ascii="맑은 고딕" w:cs="맑은 고딕" w:eastAsia="맑은 고딕" w:hAnsi="맑은 고딕"/>
          <w:b/>
          <w:bCs/>
          <w:color w:val="2E5395"/>
          <w:sz w:val="21"/>
          <w:szCs w:val="21"/>
        </w:rPr>
        <w:t xml:space="preserve">1-1. 창업아이템 개발동기</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외부적 동기(시장 구조 문제)</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방문형 산후케어는 산모의 자택이라는 폐쇄된 공간에서 이루어져 외부 모니터링이 되지 않고, 기존 업체 대부분이 전화·카카오톡·수기 메모로 운영하기 때문에 관리사 개인의 기억과 성향에 따라 서비스 품질 편차가 발생하는 구조적 한계가 있음.</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내부적 동기(창업자 계기)</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대표자가 미용사(피부) 국가자격증을 보유하고 관련 현장을 조사하는 과정에서, 문제의 본질이 서비스 자체보다 '회차가 바뀔 때마다 기록이 사라지는' 운영 방식에 있음을 확인하고 이를 데이터로 해결하는 사업을 구상함.</w:t>
      </w:r>
    </w:p>
    <w:p>
      <w:pPr>
        <w:spacing w:after="100" w:before="220"/>
      </w:pPr>
      <w:r>
        <w:rPr>
          <w:rFonts w:ascii="맑은 고딕" w:cs="맑은 고딕" w:eastAsia="맑은 고딕" w:hAnsi="맑은 고딕"/>
          <w:b/>
          <w:bCs/>
          <w:color w:val="2E5395"/>
          <w:sz w:val="21"/>
          <w:szCs w:val="21"/>
        </w:rPr>
        <w:t xml:space="preserve">1-2. 목표시장(고객) 현황분석</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최종사용자 페인포인트</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산후조리원 퇴소 2주~3개월 산모는 관리사가 바뀔 때마다 이전 요청사항을 반복 설명해야 하며, 1회당 평균 15분가량이 소요되는 것으로 파악됨(시범 도입 시 실측 예정).</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지불고객 페인포인트</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중소 출장 산후관리 에이전시는 산모의 가용 시간 데이터를 사전에 파악할 도구가 없어 예약 누락·당일 취소가 발생하고, 클레임 발생 시 객관적 기록이 없어 분쟁 대응에 건당 평균 2~3시간이 소요되는 것으로 파악됨(업체 인터뷰로 검증 예정).</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시장 규모(추정, 2026-07-20 계산 오류 정정)</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2025년 전국 출생아 수 약 25.4만 명(통계청 잠정) 중 방문형 산후관리 이용 비율을 보수적으로 10%로 가정 시 연간 잠재 이용자 약 2.5만 명이며, 이를 담당하는 전국 출장형 에이전시를 시군구당 평균 1~2곳(약 300~500개소)으로 추정하면 에이전시당 월 구독료 5만원 가정 시 초기 유효시장(SAM)은 연 약 1.8억~3억원 규모임(300~500개소×5만원×12개월로 재계산 — 이전 초안의 '18억~30억원'은 10배 계산 오류였음, 외부 검토로 발견). 단일요금제 기준 시장이 작아 보이므로 관리사 수 기준 구간제 가격(예: 5명 이하/6~20명/21명 이상 차등)으로 객단가를 높이는 방안을 인터뷰로 검증할 필요가 있음(정부 등록 제공기관 공식 통계는 미확인 — 사업 착수 후 정식 리서치로 보완 예정).</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진짜 경쟁자 재정의</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이 시장의 실질적 경쟁자는 동종 플랫폼이 아니라 '엑셀·카카오톡·수기 메모'라는 무료 수기 운영 방식이며, 업체가 월 구독료를 지불할 명분은 클레임 1건 발생 시 재방문 취소로 인한 서비스 단가(1회 10~15만원 수준, 업계 공개요금 기준) 손실을 방지하는 데 있음.</w:t>
      </w:r>
    </w:p>
    <w:p>
      <w:pPr>
        <w:pBdr>
          <w:bottom w:val="single" w:color="1F4E78" w:sz="8"/>
        </w:pBdr>
        <w:spacing w:after="140" w:before="360"/>
      </w:pPr>
      <w:r>
        <w:rPr>
          <w:rFonts w:ascii="맑은 고딕" w:cs="맑은 고딕" w:eastAsia="맑은 고딕" w:hAnsi="맑은 고딕"/>
          <w:b/>
          <w:bCs/>
          <w:color w:val="1F4E78"/>
          <w:sz w:val="25"/>
          <w:szCs w:val="25"/>
        </w:rPr>
        <w:t xml:space="preserve">2. 실현가능성 (Solution)</w:t>
      </w:r>
    </w:p>
    <w:p>
      <w:pPr>
        <w:spacing w:after="100" w:before="220"/>
      </w:pPr>
      <w:r>
        <w:rPr>
          <w:rFonts w:ascii="맑은 고딕" w:cs="맑은 고딕" w:eastAsia="맑은 고딕" w:hAnsi="맑은 고딕"/>
          <w:b/>
          <w:bCs/>
          <w:color w:val="2E5395"/>
          <w:sz w:val="21"/>
          <w:szCs w:val="21"/>
        </w:rPr>
        <w:t xml:space="preserve">2-1. 창업아이템 준비현황</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1차 MVP 범위</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회차별 비의료 서비스 이력 관리, 관리사 인수인계, 돌봄 가능 시간 연동 일정관리, 클레임 대응 기록 관리 4종으로 한정해 협약기간 내 개발이 가능한 범위로 설계함.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서비스 구조 설계</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산모의 돌봄 가능 시간, 회차별 요청사항·수행내용·안내사항, 인수인계 정보, 클레임 대응 기록을 표준화된 데이터로 관리하는 화면 흐름과 데이터 구조를 대표자가 직접 설계함.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비개발자 실행역량</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대표자는 비개발자이나 AI 협업 기반 개발·기획 도구를 활용해 사업계획·데이터 구조·업무 흐름도를 직접 구축해온 실행 경험이 있으며, 이를 통해 초기 개발 외주 의존도와 리스크를 낮추는 방식으로 MVP를 추진할 계획.</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법적 안정성 사전 확보</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서비스는 질환의 진단·치료·처방이나 의학적 회복 효과 측정을 목적으로 하지 않는 비의료 서비스 운영관리 도구로 범위를 한정하고, 업종 신고는 법적 제약이 적은 항목(피부미용업 등)으로 검토 중이며 최종 확정 전 세무사·행정사 자문을 거칠 예정.</w:t>
      </w:r>
    </w:p>
    <w:p>
      <w:pPr>
        <w:spacing w:after="100" w:before="220"/>
      </w:pPr>
      <w:r>
        <w:rPr>
          <w:rFonts w:ascii="맑은 고딕" w:cs="맑은 고딕" w:eastAsia="맑은 고딕" w:hAnsi="맑은 고딕"/>
          <w:b/>
          <w:bCs/>
          <w:color w:val="2E5395"/>
          <w:sz w:val="21"/>
          <w:szCs w:val="21"/>
        </w:rPr>
        <w:t xml:space="preserve">2-2. 실현가능성 개선 및 경쟁력 확보 방안</w:t>
      </w:r>
    </w:p>
    <w:p>
      <w:pPr>
        <w:spacing w:after="100" w:before="0"/>
      </w:pPr>
      <w:r>
        <w:rPr>
          <w:rFonts w:ascii="맑은 고딕" w:cs="맑은 고딕" w:eastAsia="맑은 고딕" w:hAnsi="맑은 고딕"/>
          <w:b/>
          <w:bCs/>
          <w:i w:val="false"/>
          <w:iCs w:val="false"/>
          <w:sz w:val="21"/>
          <w:szCs w:val="21"/>
        </w:rPr>
        <w:t xml:space="preserve">경쟁자 전수조사 및 한계표</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00"/>
      </w:tblGrid>
      <w:tr>
        <w:tc>
          <w:tcPr>
            <w:tcW w:type="dxa" w:w="2200"/>
            <w:shd w:fill="4472C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업체/서비스</w:t>
            </w:r>
          </w:p>
        </w:tc>
        <w:tc>
          <w:tcPr>
            <w:tcW w:type="dxa" w:w="3300"/>
            <w:shd w:fill="4472C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성격</w:t>
            </w:r>
          </w:p>
        </w:tc>
        <w:tc>
          <w:tcPr>
            <w:tcW w:type="dxa" w:w="3800"/>
            <w:shd w:fill="4472C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한계 (mo,on 대비)</w:t>
            </w:r>
          </w:p>
        </w:tc>
      </w:tr>
      <w:tr>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케어네이션</w:t>
            </w:r>
          </w:p>
        </w:tc>
        <w:tc>
          <w:tcPr>
            <w:tcW w:type="dxa" w:w="3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실시간 매칭+후기, 전국단위 C2C 예약 플랫폼(7년 연속 1위)</w:t>
            </w:r>
          </w:p>
        </w:tc>
        <w:tc>
          <w:tcPr>
            <w:tcW w:type="dxa" w:w="38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매칭 이후 회차별 서비스 기록·인수인계 데이터화 기능 없음</w:t>
            </w:r>
          </w:p>
        </w:tc>
      </w:tr>
      <w:tr>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맘스매니저</w:t>
            </w:r>
          </w:p>
        </w:tc>
        <w:tc>
          <w:tcPr>
            <w:tcW w:type="dxa" w:w="3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관리사 지정 예약, 보건복지부 전자바우처 연동</w:t>
            </w:r>
          </w:p>
        </w:tc>
        <w:tc>
          <w:tcPr>
            <w:tcW w:type="dxa" w:w="38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예약·정산 중심, 클레임 대응 이력 관리 기능 없음</w:t>
            </w:r>
          </w:p>
        </w:tc>
      </w:tr>
      <w:tr>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째깍악어</w:t>
            </w:r>
          </w:p>
        </w:tc>
        <w:tc>
          <w:tcPr>
            <w:tcW w:type="dxa" w:w="3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돌봄 선생님 매칭(인접 육아시장), 재이용율 91%</w:t>
            </w:r>
          </w:p>
        </w:tc>
        <w:tc>
          <w:tcPr>
            <w:tcW w:type="dxa" w:w="38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산후케어 미대상, 회차 이력·인수인계 기록 기능 없음</w:t>
            </w:r>
          </w:p>
        </w:tc>
      </w:tr>
      <w:tr>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개별 지역업체
(닥터맘·마터케어·친정맘 등)</w:t>
            </w:r>
          </w:p>
        </w:tc>
        <w:tc>
          <w:tcPr>
            <w:tcW w:type="dxa" w:w="3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지역 기반 개별 브랜드형 산후도우미 서비스</w:t>
            </w:r>
          </w:p>
        </w:tc>
        <w:tc>
          <w:tcPr>
            <w:tcW w:type="dxa" w:w="38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전화·카카오톡·수기 메모 운영이 대부분, 디지털 기록 시스템 부재 — mo,on의 실질적 경쟁 상대</w:t>
            </w:r>
          </w:p>
        </w:tc>
      </w:tr>
      <w:tr>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mo,on</w:t>
            </w:r>
          </w:p>
        </w:tc>
        <w:tc>
          <w:tcPr>
            <w:tcW w:type="dxa" w:w="3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매칭 이후 운영 데이터(이력·인수인계·클레임)를 관리하는 B2B SaaS</w:t>
            </w:r>
          </w:p>
        </w:tc>
        <w:tc>
          <w:tcPr>
            <w:tcW w:type="dxa" w:w="38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국내에서 동일 기능을 통합 제공하는 서비스는 2026-07 리서치 기준 확인되지 않음</w:t>
            </w:r>
          </w:p>
        </w:tc>
      </w:tr>
    </w:tbl>
    <w:p>
      <w:pPr>
        <w:spacing w:after="100" w:before="0"/>
      </w:pPr>
      <w:r>
        <w:rPr>
          <w:rFonts w:ascii="맑은 고딕" w:cs="맑은 고딕" w:eastAsia="맑은 고딕" w:hAnsi="맑은 고딕"/>
          <w:b w:val="false"/>
          <w:bCs w:val="false"/>
          <w:i w:val="false"/>
          <w:iCs w:val="false"/>
          <w:sz w:val="21"/>
          <w:szCs w:val="21"/>
        </w:rPr>
        <w:t xml:space="preserve"/>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구조적 차별화</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위 경쟁사들은 모두 '매칭·예약'이라는 발견 단계에 머물러 있고, mo,on은 매칭 이후 실제 서비스 수행·인수인계·클레임 대응이라는 운영 단계를 데이터화한다는 점에서 대체재가 확인되지 않음.</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정량 효과지표</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1차 MVP 시범 도입 시 관리사 인수인계 확인시간을 회당 평균 15분에서 3분 이내로, 클레임 대응 소요시간을 기록 기반 응대로 50% 이상 단축하는 것을 목표로 실측 검증할 계획.</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개인정보 최소수집 원칙</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방문 일정·요청사항 등은 산모 동의 기반으로 서비스 운영에 필요한 최소한의 정보만 수집하며, 의료기록·건강정보는 수집하지 않음.</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고객 응대 기준 확보</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클레임 발생 시 회차별 요청사항·수행내용·인수인계 기록을 근거로 감정적 책임 공방 대신 객관적 고객 응대 기준과 서비스 개선 자료로 활용함.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지식재산권 확보</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mo,on 상표 출원과 함께, 비의료 서비스 이력 기반 품질관리 방식·돌봄 가능 시간 연동 일정관리·체크형 인수인계 기록 구조에 대한 특허(BM) 출원 가능성을 검토함.</w:t>
      </w:r>
    </w:p>
    <w:p>
      <w:pPr>
        <w:pBdr>
          <w:bottom w:val="single" w:color="1F4E78" w:sz="8"/>
        </w:pBdr>
        <w:spacing w:after="140" w:before="360"/>
      </w:pPr>
      <w:r>
        <w:rPr>
          <w:rFonts w:ascii="맑은 고딕" w:cs="맑은 고딕" w:eastAsia="맑은 고딕" w:hAnsi="맑은 고딕"/>
          <w:b/>
          <w:bCs/>
          <w:color w:val="1F4E78"/>
          <w:sz w:val="25"/>
          <w:szCs w:val="25"/>
        </w:rPr>
        <w:t xml:space="preserve">3. 성장전략 (Scale-up)</w:t>
      </w:r>
    </w:p>
    <w:p>
      <w:pPr>
        <w:spacing w:after="100" w:before="220"/>
      </w:pPr>
      <w:r>
        <w:rPr>
          <w:rFonts w:ascii="맑은 고딕" w:cs="맑은 고딕" w:eastAsia="맑은 고딕" w:hAnsi="맑은 고딕"/>
          <w:b/>
          <w:bCs/>
          <w:color w:val="2E5395"/>
          <w:sz w:val="21"/>
          <w:szCs w:val="21"/>
        </w:rPr>
        <w:t xml:space="preserve">3-1. 자금소요 및 조달계획</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MVP 개발(1차 4대 기능)</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4,500만원 — 회차별 이력·인수인계·일정연동·클레임기록 구현</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마케팅·홍보</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1,500만원 — 랜딩페이지, 블로그 5건 이상, SNS 콘텐츠 10건 이상</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전문가 활용(자문)</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1,000만원 — 세무사·행정사(업종신고), 개인정보보호 법률자문</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시장조사·인증</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1,000만원 — 설문 30~50건, 업체 인터뷰 5곳, 관리사 인터뷰 5~10명, 상표 출원</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재료비·기타</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1,000만원 — 서버·클라우드 이용료, 시범 도입 물품</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확장기능 예비개발</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1,000만원 — 2단계(달빛등급제 등) 착수 준비</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정부지원사업비 신청액(최대금액 전략)</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위 6개 항목 합계 1억원 — 평균 지급액(0.5억원)보다 높지만 '어차피 심사 결과에 따라 차등 지급되니 상한선으로 신청'하는 전략에 따라 신청 가능한 최대치인 1억원으로 신청함(초창패 공고: 사업화자금 최대 1억원, 평균 0.5억원, 신청 금액 범위 내 차등 지급).</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자기부담사업비(현금·현물 구성)</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정부지원사업비 1억원(일반지역 기준 총사업비의 75%) 기준 총사업비는 약 1억 3,334만원, 자기부담사업비는 약 3,334만원 — 공고 붙임6의 공식 비율표(일반지역: 정부지원 75% + 현금 10% 이상 + 현물 15% 이하)에 따라 현금 최소 1,334만원 + 현물 최대 2,000만원으로 구성하며, 현물은 전액 대표자 본인 인건비(사업 수행 기간 투입 노무의 단가 환산)로 계상해 현금 지출을 법정 하한선(10%)까지만 최소화함. ※ 100% 현물 대체는 공고상 불가능(현금 10% 이상은 의무) — 이 부분은 공식 규정상 확정된 제약임.</w:t>
      </w:r>
    </w:p>
    <w:p>
      <w:pPr>
        <w:spacing w:after="100" w:before="220"/>
      </w:pPr>
      <w:r>
        <w:rPr>
          <w:rFonts w:ascii="맑은 고딕" w:cs="맑은 고딕" w:eastAsia="맑은 고딕" w:hAnsi="맑은 고딕"/>
          <w:b/>
          <w:bCs/>
          <w:color w:val="2E5395"/>
          <w:sz w:val="21"/>
          <w:szCs w:val="21"/>
        </w:rPr>
        <w:t xml:space="preserve">3-2. 시장진입 및 성과창출 전략</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초기 채널</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진주·창원·부산 등 경남권 출장 산후관리 에이전시를 대상으로 직접 영업 및 산후조리원 제휴를 우선 추진.</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수익모델</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지불고객(에이전시)을 대상으로 한 SaaS 월 구독료를 기본 모델로 하고, 초기에는 시범 도입 협의와 구독 전환 검증에 집중.</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목표 KPI</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사업기간 내 시범 도입 업체 3곳, 유료 전환 1곳 확보를 목표로 하며, 산모 설문 30~50건, 업체 인터뷰 5곳, 관리사 인터뷰 5~10명, 시범 도입 의향서 2~3건, 업무협약서 1~2건을 확보해 사업계획의 실증 근거로 활용.</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콘텐츠·홍보</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블로그 5건 이상, SNS 콘텐츠 10건 이상을 제작해 산모 대상 수요조사 유입과 업체 대상 B2B 콘텐츠를 병행.</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확장 로드맵</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1차 MVP 운영 데이터가 누적된 이후 달빛등급제(품질지표 시각화), 우수 관리사 프리미엄 노출, 제휴·교육 수익모델을 단계적으로 확장하며, 등급 산정 기준·후기조작 방지·이의제기 절차를 함께 설계해 신뢰도를 확보할 계획.</w:t>
      </w:r>
    </w:p>
    <w:p>
      <w:pPr>
        <w:pBdr>
          <w:bottom w:val="single" w:color="1F4E78" w:sz="8"/>
        </w:pBdr>
        <w:spacing w:after="140" w:before="360"/>
      </w:pPr>
      <w:r>
        <w:rPr>
          <w:rFonts w:ascii="맑은 고딕" w:cs="맑은 고딕" w:eastAsia="맑은 고딕" w:hAnsi="맑은 고딕"/>
          <w:b/>
          <w:bCs/>
          <w:color w:val="1F4E78"/>
          <w:sz w:val="25"/>
          <w:szCs w:val="25"/>
        </w:rPr>
        <w:t xml:space="preserve">4. 팀 구성 (Team)</w:t>
      </w:r>
    </w:p>
    <w:p>
      <w:pPr>
        <w:spacing w:after="100" w:before="220"/>
      </w:pPr>
      <w:r>
        <w:rPr>
          <w:rFonts w:ascii="맑은 고딕" w:cs="맑은 고딕" w:eastAsia="맑은 고딕" w:hAnsi="맑은 고딕"/>
          <w:b/>
          <w:bCs/>
          <w:color w:val="2E5395"/>
          <w:sz w:val="21"/>
          <w:szCs w:val="21"/>
        </w:rPr>
        <w:t xml:space="preserve">4-1. 대표자 역량</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보유 자격</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미용사(피부) 국가자격증을 보유하고 있으며, 관련 현장 조사를 통해 사업 아이템을 구체화함.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실행 역량</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비개발자이나 AI 협업 기반 도구를 활용해 사업계획·데이터 구조·화면 설계를 직접 수행해온 경험이 있어, 초기 개발 리스크를 낮추고 사업화 속도를 높일 수 있음.</w:t>
      </w:r>
    </w:p>
    <w:p>
      <w:pPr>
        <w:spacing w:after="100" w:before="220"/>
      </w:pPr>
      <w:r>
        <w:rPr>
          <w:rFonts w:ascii="맑은 고딕" w:cs="맑은 고딕" w:eastAsia="맑은 고딕" w:hAnsi="맑은 고딕"/>
          <w:b/>
          <w:bCs/>
          <w:color w:val="2E5395"/>
          <w:sz w:val="21"/>
          <w:szCs w:val="21"/>
        </w:rPr>
        <w:t xml:space="preserve">4-2. 인력구성 및 고용계획</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채용계획</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협약기간 내 운영·마케팅 인력 1명 채용을 검토하며, 후속 정부지원사업 및 엔젤투자 연계를 함께 준비함.</w:t>
      </w:r>
    </w:p>
    <w:p>
      <w:pPr>
        <w:spacing w:after="100" w:before="220"/>
      </w:pPr>
      <w:r>
        <w:rPr>
          <w:rFonts w:ascii="맑은 고딕" w:cs="맑은 고딕" w:eastAsia="맑은 고딕" w:hAnsi="맑은 고딕"/>
          <w:b/>
          <w:bCs/>
          <w:color w:val="2E5395"/>
          <w:sz w:val="21"/>
          <w:szCs w:val="21"/>
        </w:rPr>
        <w:t xml:space="preserve">4-3. 협력 및 네트워크</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자문 네트워크</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업종 신고 방향 확정을 위한 세무사·행정사 자문, 개인정보보호 관련 법률 자문을 사업 초기에 확보할 계획.</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파트너십</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출장 산후관리 에이전시 대상 시범 도입 협의를 통해 업무협약(MOU) 1~2건, 시범 도입 의향서 2~3건을 사업기간 내 확보할 계획.</w:t>
      </w:r>
    </w:p>
    <w:p>
      <w:pPr>
        <w:pBdr>
          <w:bottom w:val="single" w:color="1F4E78" w:sz="8"/>
        </w:pBdr>
        <w:spacing w:after="140" w:before="360"/>
      </w:pPr>
      <w:r>
        <w:rPr>
          <w:rFonts w:ascii="맑은 고딕" w:cs="맑은 고딕" w:eastAsia="맑은 고딕" w:hAnsi="맑은 고딕"/>
          <w:b/>
          <w:bCs/>
          <w:color w:val="1F4E78"/>
          <w:sz w:val="25"/>
          <w:szCs w:val="25"/>
        </w:rPr>
        <w:t xml:space="preserve">부록. 과거 탈락 사유 반영 현황</w:t>
      </w:r>
    </w:p>
    <w:p>
      <w:pPr>
        <w:spacing w:after="160" w:before="0"/>
      </w:pPr>
      <w:r>
        <w:rPr>
          <w:rFonts w:ascii="맑은 고딕" w:cs="맑은 고딕" w:eastAsia="맑은 고딕" w:hAnsi="맑은 고딕"/>
          <w:b w:val="false"/>
          <w:bCs w:val="false"/>
          <w:i w:val="false"/>
          <w:iCs w:val="false"/>
          <w:sz w:val="21"/>
          <w:szCs w:val="21"/>
        </w:rPr>
        <w:t xml:space="preserve">mo,on은 2026년 4월경 예비창업패키지(여성특화)에 실제 지원했다가 탈락한 이력이 있으며, 실제 심사위원 평가 5건을 분석한 결과 5개 급소가 확인되었다. 본 초안은 아래와 같이 5개 급소에 각각 대응한다.</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차별화 부족</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지불고객을 에이전시(B2B)로 재정의하고, 실질적 경쟁자를 '엑셀·카카오톡 수기 운영'으로 명확히 지목해 대체재 부재를 구조적으로 제시함(경쟁사 한계표 참고).</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데이터기반 상징성</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1차 MVP 단계부터 인수인계 확인시간(15분→3분), 클레임 처리시간(50%단축) 등 정량 목표를 명시하고 시범 도입 시 실측 검증 계획을 포함함.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수요조사·경쟁분석 부재</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산모 설문 30~50건, 업체 인터뷰 5곳, 관리사 인터뷰 5~10명을 제출 전 사전 실증 목표로 명시하고, 경쟁사 전수조사 결과를 본문에 반영함(단, 본 초안 작성 시점 기준 인터뷰는 완료가 아닌 계획 단계이며 제출 전 실행이 필요함).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성장전략 구체성 부족</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자금소요·마케팅 채널·수익모델·목표 KPI를 항목별 금액과 수치로 제시함.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시장크기 미제시</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통계청 출생아 수 통계를 근거로 한 하향식 시장규모 추정 방법과 수치를 제시함(정부 등록 통계는 미확인이며 추후 보완 예정임을 명시).</w:t>
      </w:r>
    </w:p>
    <w:p>
      <w:pPr>
        <w:pBdr>
          <w:bottom w:val="single" w:color="1F4E78" w:sz="8"/>
        </w:pBdr>
        <w:spacing w:after="140" w:before="360"/>
      </w:pPr>
      <w:r>
        <w:rPr>
          <w:rFonts w:ascii="맑은 고딕" w:cs="맑은 고딕" w:eastAsia="맑은 고딕" w:hAnsi="맑은 고딕"/>
          <w:b/>
          <w:bCs/>
          <w:color w:val="1F4E78"/>
          <w:sz w:val="25"/>
          <w:szCs w:val="25"/>
        </w:rPr>
        <w:t xml:space="preserve">외부감사 반영 메모 (2026-07-20)</w:t>
      </w:r>
    </w:p>
    <w:p>
      <w:pPr>
        <w:spacing w:after="140" w:before="0"/>
      </w:pPr>
      <w:r>
        <w:rPr>
          <w:rFonts w:ascii="맑은 고딕" w:cs="맑은 고딕" w:eastAsia="맑은 고딕" w:hAnsi="맑은 고딕"/>
          <w:b w:val="false"/>
          <w:bCs w:val="false"/>
          <w:i w:val="false"/>
          <w:iCs w:val="false"/>
          <w:sz w:val="21"/>
          <w:szCs w:val="21"/>
        </w:rPr>
        <w:t xml:space="preserve">혜미가 별도로 받은 외부 검토(초창패_예창패_초안 평가_2026-07-19.md)를 공고 원문과 재대조한 결과다. 검토가 맞은 부분은 반영했고, 검토 자체가 틀렸거나 확인 안 된 부분은 반영하지 않고 아래에 근거와 함께 남긴다.</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반영함 — 시장규모 계산 오류</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300~500개소×5만원×12개월은 1.8억~3억원이 맞고, 이전 초안의 18억~30억원은 10배 계산 실수였음. 외부 검토 지적이 옳아 본문 수치를 수정함.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반영함 — 상호배타 설명 오류</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'영구 상호배타·둘 중 하나만' 서술은 부정확했음. 공고 원문 재확인 결과 초창패→예창패 방향만 배타적이고, 예창패→초창패는 오히려 서류평가 면제 혜택이 있는 연계 트랙임. 경고 박스를 비대칭 관계로 수정함.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반영 안 함 — 초창패 자기부담 25% '삭제' 주장</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외부 검토는 '자기부담금 25%는 근거 없는 추정이니 삭제하라'고 했으나, 공고 [붙임6] 지방 우대 시범사업 지역 분류표를 직접 재확인한 결과 진주시는 특별지원·우대지원 목록에 없어 '일반지역 25%(정부지원 75%)'로 확정되는 것이 맞음 — 외부 검토가 틀렸다고 판단해 원래 수치를 유지함.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판단 보류 — 예비창업패키지 총 지원금 '8천만원' 주장</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외부 검토는 예창패 총 지원금이 '최대 8천만원'이라 주장했으나, 공고 원문에는 평균 0.4억원과 1단계 2천만원 고정만 명시되어 있고 총 상한액 숫자는 확인되지 않음. 외부 검토가 인용한 출처('한국정보사회진흥원')도 이 사업의 실제 주관기관(창업진흥원)과 다른 이름이라 신뢰도가 낮다고 판단 — 양쪽 숫자 다 확정하지 않고 [확인 필요]로 남김.</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타당하나 미반영 — 콘텐츠 품질 지적</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MVP 4개를 2개로 줄이기, 고객군을 '관리사 3~20명 업체'로 좁히기, 구간제 가격 설계, 설문·인터뷰를 실측으로 전환, 내부 메모 삭제 등은 방향이 타당하나 혜미의 전략적 결정이 필요한 사안이라 이번 반영에서는 제외함 — 진행 원하면 다음 회차에서 반영 가능.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2026-07-19T15:30:08.213Z</dcterms:created>
  <dcterms:modified xsi:type="dcterms:W3CDTF">2026-07-19T15:30:08.213Z</dcterms:modified>
</cp:coreProperties>
</file>

<file path=docProps/custom.xml><?xml version="1.0" encoding="utf-8"?>
<Properties xmlns="http://schemas.openxmlformats.org/officeDocument/2006/custom-properties" xmlns:vt="http://schemas.openxmlformats.org/officeDocument/2006/docPropsVTypes"/>
</file>