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맑은 고딕" w:hAnsi="맑은 고딕" w:eastAsia="맑은 고딕"/>
          <w:b/>
          <w:color w:val="1B8A8F"/>
          <w:sz w:val="18"/>
        </w:rPr>
        <w:t>사업 기획서 초안  |  DRAFT</w:t>
      </w:r>
    </w:p>
    <w:p>
      <w:pPr>
        <w:spacing w:before="120"/>
      </w:pPr>
      <w:r>
        <w:rPr>
          <w:rFonts w:ascii="맑은 고딕" w:hAnsi="맑은 고딕" w:eastAsia="맑은 고딕"/>
          <w:b/>
          <w:color w:val="0F4C5C"/>
          <w:sz w:val="52"/>
        </w:rPr>
        <w:t>시니어 가정간편식(HMR)</w:t>
      </w:r>
    </w:p>
    <w:p>
      <w:pPr>
        <w:spacing w:after="360"/>
      </w:pPr>
      <w:r>
        <w:rPr>
          <w:rFonts w:ascii="맑은 고딕" w:hAnsi="맑은 고딕" w:eastAsia="맑은 고딕"/>
          <w:color w:val="5A6B73"/>
          <w:sz w:val="30"/>
        </w:rPr>
        <w:t>한국 시니어 케어푸드 시장 시장 진입 기획</w:t>
      </w:r>
    </w:p>
    <w:tbl>
      <w:tblPr>
        <w:tblW w:type="auto" w:w="0"/>
        <w:tblLayout w:type="fixed"/>
        <w:tblLook w:firstColumn="1" w:firstRow="1" w:lastColumn="0" w:lastRow="0" w:noHBand="0" w:noVBand="1" w:val="04A0"/>
        <w:tblW w:type="dxa" w:w="9306"/>
        <w:tblLayout w:type="fixed"/>
      </w:tblPr>
      <w:tblGrid>
        <w:gridCol w:w="2200"/>
        <w:gridCol w:w="7106"/>
      </w:tblGrid>
      <w:tr>
        <w:tc>
          <w:tcPr>
            <w:tcW w:type="dxa" w:w="2200"/>
            <w:shd w:val="clear" w:color="auto" w:fill="E9F4F4"/>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b/>
                <w:color w:val="0F4C5C"/>
                <w:sz w:val="19"/>
              </w:rPr>
              <w:t>목표 시장</w:t>
            </w:r>
          </w:p>
        </w:tc>
        <w:tc>
          <w:tcPr>
            <w:tcW w:type="dxa" w:w="7106"/>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color w:val="222222"/>
                <w:sz w:val="19"/>
              </w:rPr>
              <w:t>한국 시니어 케어푸드 시장</w:t>
            </w:r>
          </w:p>
        </w:tc>
      </w:tr>
      <w:tr>
        <w:tc>
          <w:tcPr>
            <w:tcW w:type="dxa" w:w="2200"/>
            <w:shd w:val="clear" w:color="auto" w:fill="E9F4F4"/>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b/>
                <w:color w:val="0F4C5C"/>
                <w:sz w:val="19"/>
              </w:rPr>
              <w:t>작성일</w:t>
            </w:r>
          </w:p>
        </w:tc>
        <w:tc>
          <w:tcPr>
            <w:tcW w:type="dxa" w:w="7106"/>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color w:val="222222"/>
                <w:sz w:val="19"/>
              </w:rPr>
              <w:t>2026-07-28</w:t>
            </w:r>
          </w:p>
        </w:tc>
      </w:tr>
      <w:tr>
        <w:tc>
          <w:tcPr>
            <w:tcW w:type="dxa" w:w="2200"/>
            <w:shd w:val="clear" w:color="auto" w:fill="E9F4F4"/>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b/>
                <w:color w:val="0F4C5C"/>
                <w:sz w:val="19"/>
              </w:rPr>
              <w:t>작성</w:t>
            </w:r>
          </w:p>
        </w:tc>
        <w:tc>
          <w:tcPr>
            <w:tcW w:type="dxa" w:w="7106"/>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color w:val="222222"/>
                <w:sz w:val="19"/>
              </w:rPr>
              <w:t>AI 서비스 기획 보조 Multi-Agent — 자동 생성 초안, 사람 검수 필요</w:t>
            </w:r>
          </w:p>
        </w:tc>
      </w:tr>
      <w:tr>
        <w:tc>
          <w:tcPr>
            <w:tcW w:type="dxa" w:w="2200"/>
            <w:shd w:val="clear" w:color="auto" w:fill="E9F4F4"/>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b/>
                <w:color w:val="0F4C5C"/>
                <w:sz w:val="19"/>
              </w:rPr>
              <w:t>수정 차수</w:t>
            </w:r>
          </w:p>
        </w:tc>
        <w:tc>
          <w:tcPr>
            <w:tcW w:type="dxa" w:w="7106"/>
            <w:tcBorders>
              <w:top w:val="single" w:sz="4" w:color="C9DADB"/>
              <w:left w:val="nil"/>
              <w:bottom w:val="single" w:sz="4" w:color="C9DADB"/>
              <w:right w:val="nil"/>
            </w:tcBorders>
            <w:tcMar>
              <w:top w:w="72" w:type="dxa"/>
              <w:bottom w:w="72" w:type="dxa"/>
              <w:start w:w="115" w:type="dxa"/>
              <w:end w:w="115" w:type="dxa"/>
            </w:tcMar>
            <w:vAlign w:val="center"/>
          </w:tcPr>
          <w:p>
            <w:pPr>
              <w:spacing w:before="0" w:after="0"/>
            </w:pPr>
            <w:r>
              <w:rPr>
                <w:rFonts w:ascii="맑은 고딕" w:hAnsi="맑은 고딕" w:eastAsia="맑은 고딕"/>
                <w:color w:val="222222"/>
                <w:sz w:val="19"/>
              </w:rPr>
              <w:t>1차 수정본</w:t>
            </w:r>
          </w:p>
        </w:tc>
      </w:tr>
    </w:tbl>
    <w:p/>
    <w:p>
      <w:pPr>
        <w:pStyle w:val="Heading1"/>
        <w:pBdr>
          <w:bottom w:val="single" w:color="1B8A8F" w:sz="12" w:space="4"/>
        </w:pBdr>
        <w:spacing w:before="360" w:after="160"/>
      </w:pPr>
      <w:r>
        <w:rPr>
          <w:rFonts w:ascii="맑은 고딕" w:hAnsi="맑은 고딕" w:eastAsia="맑은 고딕"/>
          <w:b/>
          <w:color w:val="1B8A8F"/>
          <w:sz w:val="30"/>
        </w:rPr>
        <w:t xml:space="preserve">01  </w:t>
      </w:r>
      <w:r>
        <w:rPr>
          <w:rFonts w:ascii="맑은 고딕" w:hAnsi="맑은 고딕" w:eastAsia="맑은 고딕"/>
          <w:b/>
          <w:color w:val="0F4C5C"/>
          <w:sz w:val="30"/>
        </w:rPr>
        <w:t>개요 (Executive Summary)</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102"/>
        <w:gridCol w:w="3102"/>
        <w:gridCol w:w="3102"/>
      </w:tblGrid>
      <w:tr>
        <w:tc>
          <w:tcPr>
            <w:tcW w:type="dxa" w:w="3102"/>
            <w:shd w:val="clear" w:color="auto" w:fill="F5F8F8"/>
            <w:tcBorders>
              <w:top w:val="single" w:sz="16" w:color="1B8A8F"/>
              <w:left w:val="nil"/>
              <w:bottom w:val="single" w:sz="4" w:color="C9DADB"/>
              <w:right w:val="nil"/>
            </w:tcBorders>
            <w:tcMar>
              <w:top w:w="70" w:type="dxa"/>
              <w:bottom w:w="70" w:type="dxa"/>
              <w:start w:w="110" w:type="dxa"/>
              <w:end w:w="110" w:type="dxa"/>
            </w:tcMar>
            <w:vAlign w:val="top"/>
          </w:tcPr>
          <w:p>
            <w:pPr>
              <w:jc w:val="center"/>
            </w:pPr>
            <w:r>
              <w:rPr>
                <w:rFonts w:ascii="맑은 고딕" w:hAnsi="맑은 고딕" w:eastAsia="맑은 고딕"/>
                <w:b/>
                <w:color w:val="1B8A8F"/>
                <w:sz w:val="18"/>
              </w:rPr>
              <w:t>TAM</w:t>
            </w:r>
          </w:p>
          <w:p>
            <w:pPr>
              <w:jc w:val="center"/>
            </w:pPr>
            <w:r>
              <w:rPr>
                <w:rFonts w:ascii="맑은 고딕" w:hAnsi="맑은 고딕" w:eastAsia="맑은 고딕"/>
                <w:b/>
                <w:color w:val="0F4C5C"/>
                <w:sz w:val="30"/>
              </w:rPr>
              <w:t>$18.1억</w:t>
            </w:r>
          </w:p>
          <w:p>
            <w:pPr>
              <w:jc w:val="center"/>
            </w:pPr>
            <w:r>
              <w:rPr>
                <w:rFonts w:ascii="맑은 고딕" w:hAnsi="맑은 고딕" w:eastAsia="맑은 고딕"/>
                <w:color w:val="5A6B73"/>
                <w:sz w:val="15"/>
              </w:rPr>
              <w:t>2022년 시장 규모 기준 (Top-down)</w:t>
            </w:r>
          </w:p>
        </w:tc>
        <w:tc>
          <w:tcPr>
            <w:tcW w:type="dxa" w:w="3102"/>
            <w:shd w:val="clear" w:color="auto" w:fill="F5F8F8"/>
            <w:tcBorders>
              <w:top w:val="single" w:sz="16" w:color="1B8A8F"/>
              <w:left w:val="nil"/>
              <w:bottom w:val="single" w:sz="4" w:color="C9DADB"/>
              <w:right w:val="nil"/>
            </w:tcBorders>
            <w:tcMar>
              <w:top w:w="70" w:type="dxa"/>
              <w:bottom w:w="70" w:type="dxa"/>
              <w:start w:w="110" w:type="dxa"/>
              <w:end w:w="110" w:type="dxa"/>
            </w:tcMar>
            <w:vAlign w:val="top"/>
          </w:tcPr>
          <w:p>
            <w:pPr>
              <w:jc w:val="center"/>
            </w:pPr>
            <w:r>
              <w:rPr>
                <w:rFonts w:ascii="맑은 고딕" w:hAnsi="맑은 고딕" w:eastAsia="맑은 고딕"/>
                <w:b/>
                <w:color w:val="1B8A8F"/>
                <w:sz w:val="18"/>
              </w:rPr>
              <w:t>SAM</w:t>
            </w:r>
          </w:p>
          <w:p>
            <w:pPr>
              <w:jc w:val="center"/>
            </w:pPr>
            <w:r>
              <w:rPr>
                <w:rFonts w:ascii="맑은 고딕" w:hAnsi="맑은 고딕" w:eastAsia="맑은 고딕"/>
                <w:b/>
                <w:color w:val="0F4C5C"/>
                <w:sz w:val="30"/>
              </w:rPr>
              <w:t>$2.7억</w:t>
            </w:r>
          </w:p>
          <w:p>
            <w:pPr>
              <w:jc w:val="center"/>
            </w:pPr>
            <w:r>
              <w:rPr>
                <w:rFonts w:ascii="맑은 고딕" w:hAnsi="맑은 고딕" w:eastAsia="맑은 고딕"/>
                <w:color w:val="5A6B73"/>
                <w:sz w:val="15"/>
              </w:rPr>
              <w:t>TAM 중 유효 시장 세그먼트</w:t>
            </w:r>
          </w:p>
        </w:tc>
        <w:tc>
          <w:tcPr>
            <w:tcW w:type="dxa" w:w="3102"/>
            <w:shd w:val="clear" w:color="auto" w:fill="F5F8F8"/>
            <w:tcBorders>
              <w:top w:val="single" w:sz="16" w:color="1B8A8F"/>
              <w:left w:val="nil"/>
              <w:bottom w:val="single" w:sz="4" w:color="C9DADB"/>
              <w:right w:val="nil"/>
            </w:tcBorders>
            <w:tcMar>
              <w:top w:w="70" w:type="dxa"/>
              <w:bottom w:w="70" w:type="dxa"/>
              <w:start w:w="110" w:type="dxa"/>
              <w:end w:w="110" w:type="dxa"/>
            </w:tcMar>
            <w:vAlign w:val="top"/>
          </w:tcPr>
          <w:p>
            <w:pPr>
              <w:jc w:val="center"/>
            </w:pPr>
            <w:r>
              <w:rPr>
                <w:rFonts w:ascii="맑은 고딕" w:hAnsi="맑은 고딕" w:eastAsia="맑은 고딕"/>
                <w:b/>
                <w:color w:val="1B8A8F"/>
                <w:sz w:val="18"/>
              </w:rPr>
              <w:t>SOM</w:t>
            </w:r>
          </w:p>
          <w:p>
            <w:pPr>
              <w:jc w:val="center"/>
            </w:pPr>
            <w:r>
              <w:rPr>
                <w:rFonts w:ascii="맑은 고딕" w:hAnsi="맑은 고딕" w:eastAsia="맑은 고딕"/>
                <w:b/>
                <w:color w:val="0F4C5C"/>
                <w:sz w:val="30"/>
              </w:rPr>
              <w:t>$815만</w:t>
            </w:r>
          </w:p>
          <w:p>
            <w:pPr>
              <w:jc w:val="center"/>
            </w:pPr>
            <w:r>
              <w:rPr>
                <w:rFonts w:ascii="맑은 고딕" w:hAnsi="맑은 고딕" w:eastAsia="맑은 고딕"/>
                <w:color w:val="5A6B73"/>
                <w:sz w:val="15"/>
              </w:rPr>
              <w:t>초기 확보 가능 목표 (SAM 대비 비중)</w:t>
            </w:r>
          </w:p>
        </w:tc>
      </w:tr>
    </w:tbl>
    <w:p/>
    <w:p>
      <w:pPr>
        <w:spacing w:line="300" w:lineRule="exact"/>
      </w:pPr>
      <w:r>
        <w:rPr>
          <w:rFonts w:ascii="맑은 고딕" w:hAnsi="맑은 고딕" w:eastAsia="맑은 고딕"/>
          <w:color w:val="222222"/>
          <w:sz w:val="20"/>
        </w:rPr>
        <w:t xml:space="preserve">한국 시니어 케어푸드 시장의 TAM은 약 </w:t>
      </w:r>
      <w:r>
        <w:rPr>
          <w:rFonts w:ascii="맑은 고딕" w:hAnsi="맑은 고딕" w:eastAsia="맑은 고딕"/>
          <w:b/>
          <w:color w:val="0F4C5C"/>
          <w:sz w:val="20"/>
        </w:rPr>
        <w:t>18.1억</w:t>
      </w:r>
      <w:r>
        <w:rPr>
          <w:rFonts w:ascii="맑은 고딕" w:hAnsi="맑은 고딕" w:eastAsia="맑은 고딕"/>
          <w:color w:val="222222"/>
          <w:sz w:val="20"/>
        </w:rPr>
        <w:t xml:space="preserve"> 달러이며</w:t>
      </w:r>
      <w:r>
        <w:rPr>
          <w:rFonts w:ascii="맑은 고딕" w:hAnsi="맑은 고딕" w:eastAsia="맑은 고딕"/>
          <w:b/>
          <w:color w:val="0F4C5C"/>
          <w:sz w:val="20"/>
        </w:rPr>
        <w:t>,</w:t>
      </w:r>
      <w:r>
        <w:rPr>
          <w:rFonts w:ascii="맑은 고딕" w:hAnsi="맑은 고딕" w:eastAsia="맑은 고딕"/>
          <w:color w:val="222222"/>
          <w:sz w:val="20"/>
        </w:rPr>
        <w:t xml:space="preserve"> 목표시장(SAM)은 </w:t>
      </w:r>
      <w:r>
        <w:rPr>
          <w:rFonts w:ascii="맑은 고딕" w:hAnsi="맑은 고딕" w:eastAsia="맑은 고딕"/>
          <w:b/>
          <w:color w:val="0F4C5C"/>
          <w:sz w:val="20"/>
        </w:rPr>
        <w:t>2.7억</w:t>
      </w:r>
      <w:r>
        <w:rPr>
          <w:rFonts w:ascii="맑은 고딕" w:hAnsi="맑은 고딕" w:eastAsia="맑은 고딕"/>
          <w:color w:val="222222"/>
          <w:sz w:val="20"/>
        </w:rPr>
        <w:t xml:space="preserve"> 달러</w:t>
      </w:r>
      <w:r>
        <w:rPr>
          <w:rFonts w:ascii="맑은 고딕" w:hAnsi="맑은 고딕" w:eastAsia="맑은 고딕"/>
          <w:b/>
          <w:color w:val="0F4C5C"/>
          <w:sz w:val="20"/>
        </w:rPr>
        <w:t>,</w:t>
      </w:r>
      <w:r>
        <w:rPr>
          <w:rFonts w:ascii="맑은 고딕" w:hAnsi="맑은 고딕" w:eastAsia="맑은 고딕"/>
          <w:color w:val="222222"/>
          <w:sz w:val="20"/>
        </w:rPr>
        <w:t xml:space="preserve"> 실행가능시장(SOM)은 </w:t>
      </w:r>
      <w:r>
        <w:rPr>
          <w:rFonts w:ascii="맑은 고딕" w:hAnsi="맑은 고딕" w:eastAsia="맑은 고딕"/>
          <w:b/>
          <w:color w:val="0F4C5C"/>
          <w:sz w:val="20"/>
        </w:rPr>
        <w:t>815만</w:t>
      </w:r>
      <w:r>
        <w:rPr>
          <w:rFonts w:ascii="맑은 고딕" w:hAnsi="맑은 고딕" w:eastAsia="맑은 고딕"/>
          <w:color w:val="222222"/>
          <w:sz w:val="20"/>
        </w:rPr>
        <w:t xml:space="preserve"> 달러로 분석되었습니다. PESTEL 분석을 통해 </w:t>
      </w:r>
      <w:r>
        <w:rPr>
          <w:rFonts w:ascii="맑은 고딕" w:hAnsi="맑은 고딕" w:eastAsia="맑은 고딕"/>
          <w:b/>
          <w:color w:val="0F4C5C"/>
          <w:sz w:val="20"/>
        </w:rPr>
        <w:t>4</w:t>
      </w:r>
      <w:r>
        <w:rPr>
          <w:rFonts w:ascii="맑은 고딕" w:hAnsi="맑은 고딕" w:eastAsia="맑은 고딕"/>
          <w:color w:val="222222"/>
          <w:sz w:val="20"/>
        </w:rPr>
        <w:t>개의 주요 기회/위협 요소를 식별하였고</w:t>
      </w:r>
      <w:r>
        <w:rPr>
          <w:rFonts w:ascii="맑은 고딕" w:hAnsi="맑은 고딕" w:eastAsia="맑은 고딕"/>
          <w:b/>
          <w:color w:val="0F4C5C"/>
          <w:sz w:val="20"/>
        </w:rPr>
        <w:t>,</w:t>
      </w:r>
      <w:r>
        <w:rPr>
          <w:rFonts w:ascii="맑은 고딕" w:hAnsi="맑은 고딕" w:eastAsia="맑은 고딕"/>
          <w:color w:val="222222"/>
          <w:sz w:val="20"/>
        </w:rPr>
        <w:t xml:space="preserve"> 직접 경쟁사 </w:t>
      </w:r>
      <w:r>
        <w:rPr>
          <w:rFonts w:ascii="맑은 고딕" w:hAnsi="맑은 고딕" w:eastAsia="맑은 고딕"/>
          <w:b/>
          <w:color w:val="0F4C5C"/>
          <w:sz w:val="20"/>
        </w:rPr>
        <w:t>5</w:t>
      </w:r>
      <w:r>
        <w:rPr>
          <w:rFonts w:ascii="맑은 고딕" w:hAnsi="맑은 고딕" w:eastAsia="맑은 고딕"/>
          <w:color w:val="222222"/>
          <w:sz w:val="20"/>
        </w:rPr>
        <w:t>개사를 확인했습니다. 시니어 대상 가정간편식(HMR) 사업 추진 시 시장 규모와 경쟁 환경을 고려한 전략적 접근이 필요합니다. 경쟁사 대비 차별화된 제품 포트폴리오와 시장 세분화 전략이 핵심입니다.</w:t>
      </w:r>
    </w:p>
    <w:p>
      <w:pPr>
        <w:pStyle w:val="Heading1"/>
        <w:pBdr>
          <w:bottom w:val="single" w:color="1B8A8F" w:sz="12" w:space="4"/>
        </w:pBdr>
        <w:spacing w:before="360" w:after="160"/>
      </w:pPr>
      <w:r>
        <w:rPr>
          <w:rFonts w:ascii="맑은 고딕" w:hAnsi="맑은 고딕" w:eastAsia="맑은 고딕"/>
          <w:b/>
          <w:color w:val="1B8A8F"/>
          <w:sz w:val="30"/>
        </w:rPr>
        <w:t xml:space="preserve">02  </w:t>
      </w:r>
      <w:r>
        <w:rPr>
          <w:rFonts w:ascii="맑은 고딕" w:hAnsi="맑은 고딕" w:eastAsia="맑은 고딕"/>
          <w:b/>
          <w:color w:val="0F4C5C"/>
          <w:sz w:val="30"/>
        </w:rPr>
        <w:t>시장 규모 분석 (TAM · SAM · SOM)</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26"/>
        <w:gridCol w:w="2326"/>
        <w:gridCol w:w="2326"/>
        <w:gridCol w:w="2326"/>
      </w:tblGrid>
      <w:tr>
        <w:trPr>
          <w:tblHeader/>
        </w:trPr>
        <w:tc>
          <w:tcPr>
            <w:tcW w:type="dxa" w:w="15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구분</w:t>
            </w:r>
          </w:p>
        </w:tc>
        <w:tc>
          <w:tcPr>
            <w:tcW w:type="dxa" w:w="23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규모 (USD)</w:t>
            </w:r>
          </w:p>
        </w:tc>
        <w:tc>
          <w:tcPr>
            <w:tcW w:type="dxa" w:w="16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산정 방식</w:t>
            </w:r>
          </w:p>
        </w:tc>
        <w:tc>
          <w:tcPr>
            <w:tcW w:type="dxa" w:w="4106"/>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정의</w:t>
            </w:r>
          </w:p>
        </w:tc>
      </w:tr>
      <w:tr>
        <w:tc>
          <w:tcPr>
            <w:tcW w:type="dxa" w:w="15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TAM</w:t>
            </w:r>
          </w:p>
        </w:tc>
        <w:tc>
          <w:tcPr>
            <w:tcW w:type="dxa" w:w="23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18.1억 달러</w:t>
            </w:r>
          </w:p>
        </w:tc>
        <w:tc>
          <w:tcPr>
            <w:tcW w:type="dxa" w:w="16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9"/>
              </w:rPr>
              <w:t>Top-down</w:t>
            </w:r>
          </w:p>
        </w:tc>
        <w:tc>
          <w:tcPr>
            <w:tcW w:type="dxa" w:w="410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9"/>
              </w:rPr>
              <w:t>시장 전체 규모</w:t>
            </w:r>
          </w:p>
        </w:tc>
      </w:tr>
      <w:tr>
        <w:tc>
          <w:tcPr>
            <w:tcW w:type="dxa" w:w="15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SAM</w:t>
            </w:r>
          </w:p>
        </w:tc>
        <w:tc>
          <w:tcPr>
            <w:tcW w:type="dxa" w:w="23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2.7억 달러</w:t>
            </w:r>
          </w:p>
        </w:tc>
        <w:tc>
          <w:tcPr>
            <w:tcW w:type="dxa" w:w="16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9"/>
              </w:rPr>
              <w:t>Top-down</w:t>
            </w:r>
          </w:p>
        </w:tc>
        <w:tc>
          <w:tcPr>
            <w:tcW w:type="dxa" w:w="410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9"/>
              </w:rPr>
              <w:t>TAM 중 유효 시장 세그먼트</w:t>
            </w:r>
          </w:p>
        </w:tc>
      </w:tr>
      <w:tr>
        <w:tc>
          <w:tcPr>
            <w:tcW w:type="dxa" w:w="15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SOM</w:t>
            </w:r>
          </w:p>
        </w:tc>
        <w:tc>
          <w:tcPr>
            <w:tcW w:type="dxa" w:w="23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815만 달러</w:t>
            </w:r>
          </w:p>
        </w:tc>
        <w:tc>
          <w:tcPr>
            <w:tcW w:type="dxa" w:w="16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9"/>
              </w:rPr>
              <w:t>Top-down</w:t>
            </w:r>
          </w:p>
        </w:tc>
        <w:tc>
          <w:tcPr>
            <w:tcW w:type="dxa" w:w="410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9"/>
              </w:rPr>
              <w:t>신규 진입자의 초기 확보 목표 시장</w:t>
            </w:r>
          </w:p>
        </w:tc>
      </w:tr>
    </w:tbl>
    <w:p/>
    <w:p>
      <w:pPr>
        <w:pStyle w:val="Heading2"/>
        <w:spacing w:before="240" w:after="120"/>
      </w:pPr>
      <w:r>
        <w:rPr>
          <w:rFonts w:ascii="맑은 고딕" w:hAnsi="맑은 고딕" w:eastAsia="맑은 고딕"/>
          <w:b/>
          <w:color w:val="1B8A8F"/>
          <w:sz w:val="24"/>
        </w:rPr>
        <w:t>▎</w:t>
      </w:r>
      <w:r>
        <w:rPr>
          <w:rFonts w:ascii="맑은 고딕" w:hAnsi="맑은 고딕" w:eastAsia="맑은 고딕"/>
          <w:b/>
          <w:color w:val="0F4C5C"/>
          <w:sz w:val="24"/>
        </w:rPr>
        <w:t xml:space="preserve"> 가정 및 근거</w:t>
      </w:r>
    </w:p>
    <w:p>
      <w:pPr>
        <w:pStyle w:val="ListBullet"/>
      </w:pPr>
      <w:r>
        <w:rPr>
          <w:rFonts w:ascii="맑은 고딕" w:hAnsi="맑은 고딕" w:eastAsia="맑은 고딕"/>
          <w:b/>
          <w:color w:val="0F4C5C"/>
          <w:sz w:val="20"/>
        </w:rPr>
        <w:t xml:space="preserve">[Top-down] TAM=1,811,594,203 USD [원문 2.5e+04억 x 100,000,000] </w:t>
      </w:r>
      <w:r>
        <w:rPr>
          <w:rFonts w:ascii="맑은 고딕" w:hAnsi="맑은 고딕" w:eastAsia="맑은 고딕"/>
          <w:color w:val="222222"/>
          <w:sz w:val="20"/>
        </w:rPr>
        <w:t>(원문 2,500,000,000,000 KRW) [KRW → USD, 환율 1,380KRW/USD 고정] (2021 기준, 근거: "한국 시니어 케어푸드 시장은 2021년 기준 약 2조 5,000억원 규모로 추산되며 2025년에는 3조원 규모로 성장할 것으로 전망된다")</w:t>
      </w:r>
    </w:p>
    <w:p>
      <w:pPr>
        <w:pStyle w:val="ListBullet"/>
      </w:pPr>
      <w:r>
        <w:rPr>
          <w:rFonts w:ascii="맑은 고딕" w:hAnsi="맑은 고딕" w:eastAsia="맑은 고딕"/>
          <w:b/>
          <w:color w:val="0F4C5C"/>
          <w:sz w:val="20"/>
        </w:rPr>
        <w:t xml:space="preserve">[Top-down] SAM 비중=15.00%  —  </w:t>
      </w:r>
      <w:r>
        <w:rPr>
          <w:rFonts w:ascii="맑은 고딕" w:hAnsi="맑은 고딕" w:eastAsia="맑은 고딕"/>
          <w:color w:val="222222"/>
          <w:sz w:val="20"/>
        </w:rPr>
        <w:t>SAM은 TAM 중 HMR(가정간편식) 세그먼트를 대상으로 한다. 2019년 기준 성인 소비자(19~59세) 98.6%가 HMR 이용 경험이 있으며, 시니어 대상 HMR 제품 출시 사례(풀무원 '풀스케어', CJ '소담한상' 등)를 고려할 때, 전체 케어푸드 시장 대비 HMR 비중이 10~20% 수준일 것으로 추정. 보수적으로 15% 적용. (근거: 2019년 성인 HMR 이용률 fact 및 주요 기업 HMR 출시 사례)</w:t>
      </w:r>
    </w:p>
    <w:p>
      <w:pPr>
        <w:pStyle w:val="ListBullet"/>
      </w:pPr>
      <w:r>
        <w:rPr>
          <w:rFonts w:ascii="맑은 고딕" w:hAnsi="맑은 고딕" w:eastAsia="맑은 고딕"/>
          <w:b/>
          <w:color w:val="0F4C5C"/>
          <w:sz w:val="20"/>
        </w:rPr>
        <w:t xml:space="preserve">[Top-down] SOM 비중=3.00%  —  </w:t>
      </w:r>
      <w:r>
        <w:rPr>
          <w:rFonts w:ascii="맑은 고딕" w:hAnsi="맑은 고딕" w:eastAsia="맑은 고딕"/>
          <w:color w:val="222222"/>
          <w:sz w:val="20"/>
        </w:rPr>
        <w:t>SAM 내 신규 진입자가 3~5년 내 확보 가능한 점유율. 기존 업체(CJ, 현대그린푸드, 풀무원 등)의 시장 선점 효과와 브랜드 인지도를 고려할 때, 신규 진입자는 초기 3~5% 점유율 달성이 현실적. 보수적으로 3% 적용. (업계 일반적 추정치, 별도 출처 없음)</w:t>
      </w:r>
    </w:p>
    <w:p>
      <w:pPr>
        <w:pStyle w:val="ListBullet"/>
      </w:pPr>
      <w:r>
        <w:rPr>
          <w:rFonts w:ascii="맑은 고딕" w:hAnsi="맑은 고딕" w:eastAsia="맑은 고딕"/>
          <w:b/>
          <w:color w:val="0F4C5C"/>
          <w:sz w:val="20"/>
        </w:rPr>
        <w:t xml:space="preserve">[Bottom-up] 미계산  —  </w:t>
      </w:r>
      <w:r>
        <w:rPr>
          <w:rFonts w:ascii="맑은 고딕" w:hAnsi="맑은 고딕" w:eastAsia="맑은 고딕"/>
          <w:color w:val="222222"/>
          <w:sz w:val="20"/>
        </w:rPr>
        <w:t>사업모델 파라미터(잠재고객 수, 단가, 목표 확보율)가 입력되지 않음. 웹검색 fact만으로는 이 값을 알 수 없어 사용자 입력이 필요함.</w:t>
      </w:r>
    </w:p>
    <w:p>
      <w:pPr>
        <w:pStyle w:val="Heading1"/>
        <w:pBdr>
          <w:bottom w:val="single" w:color="1B8A8F" w:sz="12" w:space="4"/>
        </w:pBdr>
        <w:spacing w:before="360" w:after="160"/>
      </w:pPr>
      <w:r>
        <w:rPr>
          <w:rFonts w:ascii="맑은 고딕" w:hAnsi="맑은 고딕" w:eastAsia="맑은 고딕"/>
          <w:b/>
          <w:color w:val="1B8A8F"/>
          <w:sz w:val="30"/>
        </w:rPr>
        <w:t xml:space="preserve">03  </w:t>
      </w:r>
      <w:r>
        <w:rPr>
          <w:rFonts w:ascii="맑은 고딕" w:hAnsi="맑은 고딕" w:eastAsia="맑은 고딕"/>
          <w:b/>
          <w:color w:val="0F4C5C"/>
          <w:sz w:val="30"/>
        </w:rPr>
        <w:t>PESTEL 환경분석</w:t>
      </w:r>
    </w:p>
    <w:p>
      <w:pPr>
        <w:pStyle w:val="Heading2"/>
        <w:spacing w:before="220" w:after="100"/>
      </w:pPr>
      <w:r>
        <w:rPr>
          <w:rFonts w:ascii="맑은 고딕" w:hAnsi="맑은 고딕" w:eastAsia="맑은 고딕"/>
          <w:b/>
          <w:color w:val="FFFFFF"/>
          <w:sz w:val="22"/>
          <w:shd w:val="clear" w:color="auto" w:fill="1B8A8F"/>
        </w:rPr>
        <w:t xml:space="preserve"> E </w:t>
      </w:r>
      <w:r>
        <w:rPr>
          <w:rFonts w:ascii="맑은 고딕" w:hAnsi="맑은 고딕" w:eastAsia="맑은 고딕"/>
          <w:b/>
          <w:color w:val="0F4C5C"/>
          <w:sz w:val="22"/>
        </w:rPr>
        <w:t xml:space="preserve">  Economic — 경제적 환경</w:t>
      </w:r>
    </w:p>
    <w:p>
      <w:pPr>
        <w:spacing w:line="300" w:lineRule="exact"/>
      </w:pPr>
      <w:r>
        <w:rPr>
          <w:rFonts w:ascii="맑은 고딕" w:hAnsi="맑은 고딕" w:eastAsia="맑은 고딕"/>
          <w:color w:val="222222"/>
          <w:sz w:val="20"/>
        </w:rPr>
        <w:t>한국 시니어 케어푸드 시장은 2014년 7,000억 원에서 2022년 5,067억 원으로 성장했으며, 2018~2022년 연평균 7.9% 성장률을 기록했다. 2025년에는 3조 원 규모로 확대될 전망으로, 이는 초고속 사회 진입과 고령 인구 증가에 따른 수요 증가가 주요 동인이다. CJ프레시웨이, 풀무원, 현대그린푸드 등 주요 기업들은 케어푸드 브랜드('헬씨누리', '풀스케어', '그리팅')를 통해 매출 성장(연간 23~60%)을 기록하며 시장을 주도하고 있다. 기업들은 질환별 맞춤 식단(고혈압, 당뇨, 신장질환 등)과 단계별 물성 조정 제품(치아·혀 섭취 용이)을 개발해 시장을 세분화하고 있으며, 구독 서비스와 B2B(요양병원, 실버타운) 공략으로 사업 다각화를 진행 중이다. 글로벌 시장도 2022년 16조 원에서 2028년 20조 원으로 성장할 전망으로, 국내 기업들의 해외 진출 잠재력 또한 높다.</w:t>
      </w:r>
    </w:p>
    <w:p>
      <w:r>
        <w:rPr>
          <w:rFonts w:ascii="맑은 고딕" w:hAnsi="맑은 고딕" w:eastAsia="맑은 고딕"/>
          <w:i/>
          <w:color w:val="5A6B73"/>
          <w:sz w:val="16"/>
        </w:rPr>
        <w:t>※ 중요도가 낮아 요약에서 제외한 fact: 6건</w:t>
      </w:r>
    </w:p>
    <w:p>
      <w:pPr>
        <w:pStyle w:val="Heading2"/>
        <w:spacing w:before="220" w:after="100"/>
      </w:pPr>
      <w:r>
        <w:rPr>
          <w:rFonts w:ascii="맑은 고딕" w:hAnsi="맑은 고딕" w:eastAsia="맑은 고딕"/>
          <w:b/>
          <w:color w:val="FFFFFF"/>
          <w:sz w:val="22"/>
          <w:shd w:val="clear" w:color="auto" w:fill="1B8A8F"/>
        </w:rPr>
        <w:t xml:space="preserve"> S </w:t>
      </w:r>
      <w:r>
        <w:rPr>
          <w:rFonts w:ascii="맑은 고딕" w:hAnsi="맑은 고딕" w:eastAsia="맑은 고딕"/>
          <w:b/>
          <w:color w:val="0F4C5C"/>
          <w:sz w:val="22"/>
        </w:rPr>
        <w:t xml:space="preserve">  Social — 사회적 환경</w:t>
      </w:r>
    </w:p>
    <w:p>
      <w:pPr>
        <w:spacing w:line="300" w:lineRule="exact"/>
      </w:pPr>
      <w:r>
        <w:rPr>
          <w:rFonts w:ascii="맑은 고딕" w:hAnsi="맑은 고딕" w:eastAsia="맑은 고딕"/>
          <w:color w:val="222222"/>
          <w:sz w:val="20"/>
        </w:rPr>
        <w:t>한국 시니어 케어푸드 시장은 인구 고령화와 함께 급성장 중이다. 2014년 7,000억 원에서 2025년 3조 원 규모로 4배 이상 확대될 전망이며, 연평균 7.2~7.9% 성장률을 기록하고 있다. 2025년 한국의 65세 이상 인구 비율이 20.3%에 달할 것으로 예상되며, 이에 따라 주요 식품기업들(풀무원, CJ프레시웨이, 현대그린푸드 등)이 질환별 맞춤 식단, 연화식 기술, 구독 서비스 등 다양한 전략으로 시장을 공략하고 있다. 특히 고령친화우수식품 인증 제품 확대와 B2B 시장(요양병원 등) 진출이 활발하다.</w:t>
      </w:r>
    </w:p>
    <w:p>
      <w:r>
        <w:rPr>
          <w:rFonts w:ascii="맑은 고딕" w:hAnsi="맑은 고딕" w:eastAsia="맑은 고딕"/>
          <w:i/>
          <w:color w:val="5A6B73"/>
          <w:sz w:val="16"/>
        </w:rPr>
        <w:t>※ 중요도가 낮아 요약에서 제외한 fact: 20건</w:t>
      </w:r>
    </w:p>
    <w:p>
      <w:pPr>
        <w:pStyle w:val="Heading2"/>
        <w:spacing w:before="220" w:after="100"/>
      </w:pPr>
      <w:r>
        <w:rPr>
          <w:rFonts w:ascii="맑은 고딕" w:hAnsi="맑은 고딕" w:eastAsia="맑은 고딕"/>
          <w:b/>
          <w:color w:val="FFFFFF"/>
          <w:sz w:val="22"/>
          <w:shd w:val="clear" w:color="auto" w:fill="1B8A8F"/>
        </w:rPr>
        <w:t xml:space="preserve"> T </w:t>
      </w:r>
      <w:r>
        <w:rPr>
          <w:rFonts w:ascii="맑은 고딕" w:hAnsi="맑은 고딕" w:eastAsia="맑은 고딕"/>
          <w:b/>
          <w:color w:val="0F4C5C"/>
          <w:sz w:val="22"/>
        </w:rPr>
        <w:t xml:space="preserve">  Technological — 기술적 환경</w:t>
      </w:r>
    </w:p>
    <w:p>
      <w:pPr>
        <w:spacing w:line="300" w:lineRule="exact"/>
      </w:pPr>
      <w:r>
        <w:rPr>
          <w:rFonts w:ascii="맑은 고딕" w:hAnsi="맑은 고딕" w:eastAsia="맑은 고딕"/>
          <w:color w:val="222222"/>
          <w:sz w:val="20"/>
        </w:rPr>
        <w:t>한국 식품기업들은 고령자를 위한 기술 기반 케어푸드 제품을 개발 및 출시하며 시장 선점을 가속화하고 있다. 주요 기업들은 연화식 기술(포화증기 조리기술, 효소 기반 연화기술), 질환별 맞춤 식단(고혈압, 당뇨, 신장질환), 생애주기별 식단(치아·혀 섭취 단계에 따른 물성 조정) 등 기술적 혁신을 통해 시니어 맞춤형 제품 포트폴리오를 확대하고 있다. 현대그린푸드는 '그리팅' 브랜드로 2020년 이후 특수의료용도식품을 포함한 다양한 제품을 출시하며 시장 성장을 주도하고 있으며, 풀무원은 '풀스케어' 브랜드로 단계별 HMR을, CJ프레시웨이는 2015년 '헬씨누리' 브랜드로 반·완조리 간편식 세트를 제공하는 등 기술 적용 제품화가 활발히 진행 중이다. 아워홈의 영양 손실 없는 효소 기반 연화기술, 풀무원의 전 연령층 대상 식단 개발 등 기술 경쟁력도 강화되고 있다.</w:t>
      </w:r>
    </w:p>
    <w:p>
      <w:r>
        <w:rPr>
          <w:rFonts w:ascii="맑은 고딕" w:hAnsi="맑은 고딕" w:eastAsia="맑은 고딕"/>
          <w:i/>
          <w:color w:val="5A6B73"/>
          <w:sz w:val="16"/>
        </w:rPr>
        <w:t>※ 중요도가 낮아 요약에서 제외한 fact: 6건</w:t>
      </w:r>
    </w:p>
    <w:p>
      <w:pPr>
        <w:pStyle w:val="Heading2"/>
        <w:spacing w:before="220" w:after="100"/>
      </w:pPr>
      <w:r>
        <w:rPr>
          <w:rFonts w:ascii="맑은 고딕" w:hAnsi="맑은 고딕" w:eastAsia="맑은 고딕"/>
          <w:b/>
          <w:color w:val="FFFFFF"/>
          <w:sz w:val="22"/>
          <w:shd w:val="clear" w:color="auto" w:fill="1B8A8F"/>
        </w:rPr>
        <w:t xml:space="preserve"> L </w:t>
      </w:r>
      <w:r>
        <w:rPr>
          <w:rFonts w:ascii="맑은 고딕" w:hAnsi="맑은 고딕" w:eastAsia="맑은 고딕"/>
          <w:b/>
          <w:color w:val="0F4C5C"/>
          <w:sz w:val="22"/>
        </w:rPr>
        <w:t xml:space="preserve">  Legal — 법·규제 환경</w:t>
      </w:r>
    </w:p>
    <w:p>
      <w:pPr>
        <w:spacing w:line="300" w:lineRule="exact"/>
      </w:pPr>
      <w:r>
        <w:rPr>
          <w:rFonts w:ascii="맑은 고딕" w:hAnsi="맑은 고딕" w:eastAsia="맑은 고딕"/>
          <w:color w:val="222222"/>
          <w:sz w:val="20"/>
        </w:rPr>
        <w:t>한국 정부는 풀무원의 '7Days 영양진밥' 등 14종을 고령친화우수식품으로 지정하는 등 케어푸드 시장 성장을 위한 제도적 기반을 마련하고 있다. 이는 기업의 제품 개발 및 마케팅 전략에 직접적인 영향을 미치며, 풀무원이 최다 고령친화우수식품 보유 기업으로 부상하는 등 시장 경쟁 구도를 형성하는 데 기여하고 있다. 또한, 매일유업의 B2B 중심 의료 영양 전문 제품 사례처럼 관련 규정 및 인증이 산업 내 새로운 사업 모델 창출의 계기가 되고 있다.</w:t>
      </w:r>
    </w:p>
    <w:p>
      <w:pPr>
        <w:pStyle w:val="Heading1"/>
        <w:pBdr>
          <w:bottom w:val="single" w:color="1B8A8F" w:sz="12" w:space="4"/>
        </w:pBdr>
        <w:spacing w:before="360" w:after="160"/>
      </w:pPr>
      <w:r>
        <w:rPr>
          <w:rFonts w:ascii="맑은 고딕" w:hAnsi="맑은 고딕" w:eastAsia="맑은 고딕"/>
          <w:b/>
          <w:color w:val="1B8A8F"/>
          <w:sz w:val="30"/>
        </w:rPr>
        <w:t xml:space="preserve">04  </w:t>
      </w:r>
      <w:r>
        <w:rPr>
          <w:rFonts w:ascii="맑은 고딕" w:hAnsi="맑은 고딕" w:eastAsia="맑은 고딕"/>
          <w:b/>
          <w:color w:val="0F4C5C"/>
          <w:sz w:val="30"/>
        </w:rPr>
        <w:t>경쟁사 분석</w:t>
      </w:r>
    </w:p>
    <w:p>
      <w:pPr>
        <w:pStyle w:val="Heading2"/>
        <w:spacing w:before="240" w:after="120"/>
      </w:pPr>
      <w:r>
        <w:rPr>
          <w:rFonts w:ascii="맑은 고딕" w:hAnsi="맑은 고딕" w:eastAsia="맑은 고딕"/>
          <w:b/>
          <w:color w:val="1B8A8F"/>
          <w:sz w:val="24"/>
        </w:rPr>
        <w:t>▎</w:t>
      </w:r>
      <w:r>
        <w:rPr>
          <w:rFonts w:ascii="맑은 고딕" w:hAnsi="맑은 고딕" w:eastAsia="맑은 고딕"/>
          <w:b/>
          <w:color w:val="0F4C5C"/>
          <w:sz w:val="24"/>
        </w:rPr>
        <w:t xml:space="preserve"> 직접 경쟁자 (5개사)</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2326"/>
        <w:gridCol w:w="2326"/>
        <w:gridCol w:w="2326"/>
        <w:gridCol w:w="2326"/>
      </w:tblGrid>
      <w:tr>
        <w:trPr>
          <w:tblHeader/>
        </w:trPr>
        <w:tc>
          <w:tcPr>
            <w:tcW w:type="dxa" w:w="165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경쟁사</w:t>
            </w:r>
          </w:p>
        </w:tc>
        <w:tc>
          <w:tcPr>
            <w:tcW w:type="dxa" w:w="17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가격</w:t>
            </w:r>
          </w:p>
        </w:tc>
        <w:tc>
          <w:tcPr>
            <w:tcW w:type="dxa" w:w="4456"/>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핵심 기능 (차별화 포인트·요약)</w:t>
            </w:r>
          </w:p>
        </w:tc>
        <w:tc>
          <w:tcPr>
            <w:tcW w:type="dxa" w:w="15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타깃·비고</w:t>
            </w:r>
          </w:p>
        </w:tc>
      </w:tr>
      <w:tr>
        <w:tc>
          <w:tcPr>
            <w:tcW w:type="dxa" w:w="16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현대그린푸드</w:t>
            </w:r>
          </w:p>
        </w:tc>
        <w:tc>
          <w:tcPr>
            <w:tcW w:type="dxa" w:w="1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7"/>
              </w:rPr>
              <w:t>(정보 없음)</w:t>
            </w:r>
          </w:p>
        </w:tc>
        <w:tc>
          <w:tcPr>
            <w:tcW w:type="dxa" w:w="4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8"/>
              </w:rPr>
              <w:t>시니어 맞춤형 건강간편식(죽, 연화식, 짜장소스 등)</w:t>
            </w:r>
          </w:p>
          <w:p>
            <w:r>
              <w:rPr>
                <w:rFonts w:ascii="맑은 고딕" w:hAnsi="맑은 고딕" w:eastAsia="맑은 고딕"/>
                <w:color w:val="222222"/>
                <w:sz w:val="16"/>
              </w:rPr>
              <w:t>질환별 맞춤 식단(고혈압, 당뇨, 신장질환 등) 제공 · 국내 최다 종류의 케어푸드(247종→430종 확대 계획) · 정기 구독형 HMR 서비스(당뇨·암·신장 질환자용) · 스마트 푸드센터 운영 및 포화증기 조리기술 적용</w:t>
            </w:r>
          </w:p>
        </w:tc>
        <w:tc>
          <w:tcPr>
            <w:tcW w:type="dxa" w:w="15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6"/>
              </w:rPr>
              <w:t>한국 시니어(고혈압, 당뇨, 신장질환 등 만성질환자 포함) / 1,000억원 투자(스마트 푸드센터 구축), 2023년 상반기 매출 60% 성장, 2025년 상반기 메디푸드 매출 18% 성장, 2016년~2022년 메디푸드 라인 확장 / 현대백화점 오프라인 매장, 공식 온라인몰, 팝업스토어</w:t>
            </w:r>
          </w:p>
        </w:tc>
      </w:tr>
      <w:tr>
        <w:tc>
          <w:tcPr>
            <w:tcW w:type="dxa" w:w="16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0F4C5C"/>
                <w:sz w:val="19"/>
              </w:rPr>
              <w:t>풀무원</w:t>
            </w:r>
          </w:p>
        </w:tc>
        <w:tc>
          <w:tcPr>
            <w:tcW w:type="dxa" w:w="1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7"/>
              </w:rPr>
              <w:t>(정보 없음)</w:t>
            </w:r>
          </w:p>
        </w:tc>
        <w:tc>
          <w:tcPr>
            <w:tcW w:type="dxa" w:w="4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0F4C5C"/>
                <w:sz w:val="18"/>
              </w:rPr>
              <w:t>고령친화우수식품 최다 보유(14~20종)</w:t>
            </w:r>
          </w:p>
          <w:p>
            <w:r>
              <w:rPr>
                <w:rFonts w:ascii="맑은 고딕" w:hAnsi="맑은 고딕" w:eastAsia="맑은 고딕"/>
                <w:color w:val="222222"/>
                <w:sz w:val="16"/>
              </w:rPr>
              <w:t>단계별 연화식(1~3단계) 개발 · 생애주기 맞춤 식단 구독 서비스('디자인밀') · 영양 균형 강조(국내산 채소, 비법 육수 등)</w:t>
            </w:r>
          </w:p>
        </w:tc>
        <w:tc>
          <w:tcPr>
            <w:tcW w:type="dxa" w:w="15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6"/>
              </w:rPr>
              <w:t>한국 시니어 및 만성질환자 / 최근 5년간 매출 약 3배 성장, 2023년 상반기 매출 60% 성장 / B2C(온라인·오프라인) 및 B2B(급식사업)</w:t>
            </w:r>
          </w:p>
        </w:tc>
      </w:tr>
      <w:tr>
        <w:tc>
          <w:tcPr>
            <w:tcW w:type="dxa" w:w="16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CJ프레시웨이</w:t>
            </w:r>
          </w:p>
        </w:tc>
        <w:tc>
          <w:tcPr>
            <w:tcW w:type="dxa" w:w="1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7"/>
              </w:rPr>
              <w:t>(정보 없음)</w:t>
            </w:r>
          </w:p>
        </w:tc>
        <w:tc>
          <w:tcPr>
            <w:tcW w:type="dxa" w:w="4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8"/>
              </w:rPr>
              <w:t>헬씨누리 브랜드로 연화식 덮밥소스·반찬류 제공</w:t>
            </w:r>
          </w:p>
          <w:p>
            <w:r>
              <w:rPr>
                <w:rFonts w:ascii="맑은 고딕" w:hAnsi="맑은 고딕" w:eastAsia="맑은 고딕"/>
                <w:color w:val="222222"/>
                <w:sz w:val="16"/>
              </w:rPr>
              <w:t>고령친화우수식품 인증 획득 · 주 1회 5일치 식단 배송 서비스 · B2B(요양시설, 병원, 복지관) 중심 사업</w:t>
            </w:r>
          </w:p>
        </w:tc>
        <w:tc>
          <w:tcPr>
            <w:tcW w:type="dxa" w:w="15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6"/>
              </w:rPr>
              <w:t>한국 시니어 및 노인요양시설 / 최근 5년간 연평균 25% 성장, 2023년 상반기 매출 29% 성장, 2021~2023년 연평균 123% 성장 / B2B(요양시설·병원·복지관) 및 B2C</w:t>
            </w:r>
          </w:p>
        </w:tc>
      </w:tr>
      <w:tr>
        <w:tc>
          <w:tcPr>
            <w:tcW w:type="dxa" w:w="16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0F4C5C"/>
                <w:sz w:val="19"/>
              </w:rPr>
              <w:t>아워홈</w:t>
            </w:r>
          </w:p>
        </w:tc>
        <w:tc>
          <w:tcPr>
            <w:tcW w:type="dxa" w:w="1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7"/>
              </w:rPr>
              <w:t>(정보 없음)</w:t>
            </w:r>
          </w:p>
        </w:tc>
        <w:tc>
          <w:tcPr>
            <w:tcW w:type="dxa" w:w="4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0F4C5C"/>
                <w:sz w:val="18"/>
              </w:rPr>
              <w:t>케어플러스 브랜드로 연화식 B2B 공급</w:t>
            </w:r>
          </w:p>
          <w:p>
            <w:r>
              <w:rPr>
                <w:rFonts w:ascii="맑은 고딕" w:hAnsi="맑은 고딕" w:eastAsia="맑은 고딕"/>
                <w:color w:val="222222"/>
                <w:sz w:val="16"/>
              </w:rPr>
              <w:t>효소 기반 연화기술 개발(영양 손실 최소화) · 푸드테크 기반 맞춤형 헬스케어 프로그램('캘리스랩')</w:t>
            </w:r>
          </w:p>
        </w:tc>
        <w:tc>
          <w:tcPr>
            <w:tcW w:type="dxa" w:w="15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6"/>
              </w:rPr>
              <w:t>한국 시니어 및 요양원·병원·어린이집 / 지난 5년간 연평균 30% 성장, 2023년 매출 2022년 대비 152% 증가 / B2B(요양원, 병원, 어린이집)</w:t>
            </w:r>
          </w:p>
        </w:tc>
      </w:tr>
      <w:tr>
        <w:tc>
          <w:tcPr>
            <w:tcW w:type="dxa" w:w="16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9"/>
              </w:rPr>
              <w:t>매일유업</w:t>
            </w:r>
          </w:p>
        </w:tc>
        <w:tc>
          <w:tcPr>
            <w:tcW w:type="dxa" w:w="1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7"/>
              </w:rPr>
              <w:t>(정보 없음)</w:t>
            </w:r>
          </w:p>
        </w:tc>
        <w:tc>
          <w:tcPr>
            <w:tcW w:type="dxa" w:w="4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0F4C5C"/>
                <w:sz w:val="18"/>
              </w:rPr>
              <w:t>메디웰 브랜드로 음료 형태 케어푸드(영양보충음료) 제공</w:t>
            </w:r>
          </w:p>
          <w:p>
            <w:r>
              <w:rPr>
                <w:rFonts w:ascii="맑은 고딕" w:hAnsi="맑은 고딕" w:eastAsia="맑은 고딕"/>
                <w:color w:val="222222"/>
                <w:sz w:val="16"/>
              </w:rPr>
              <w:t>당뇨환자용 영양 조제 식품 개발 · B2B(요양병원, 실버타운) 시장 공략</w:t>
            </w:r>
          </w:p>
        </w:tc>
        <w:tc>
          <w:tcPr>
            <w:tcW w:type="dxa" w:w="15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6"/>
              </w:rPr>
              <w:t>한국 시니어 및 만성질환자(당뇨 환자 등) / B2B(요양병원, 실버타운)</w:t>
            </w:r>
          </w:p>
        </w:tc>
      </w:tr>
    </w:tbl>
    <w:p>
      <w:r>
        <w:rPr>
          <w:rFonts w:ascii="맑은 고딕" w:hAnsi="맑은 고딕" w:eastAsia="맑은 고딕"/>
          <w:i/>
          <w:color w:val="5A6B73"/>
          <w:sz w:val="16"/>
        </w:rPr>
        <w:t>※ 대부분 경쟁사의 유통 채널·투자/매출 정보는 수집된 fact에 없어 표에서 제외했습니다(확보된 값만 '타깃·비고'에 표기). 가격 미공개 항목이 많아 가격 경쟁력 비교는 추가 조사가 필요합니다.</w:t>
      </w:r>
    </w:p>
    <w:p/>
    <w:p>
      <w:pPr>
        <w:pStyle w:val="Heading2"/>
        <w:spacing w:before="240" w:after="120"/>
      </w:pPr>
      <w:r>
        <w:rPr>
          <w:rFonts w:ascii="맑은 고딕" w:hAnsi="맑은 고딕" w:eastAsia="맑은 고딕"/>
          <w:b/>
          <w:color w:val="1B8A8F"/>
          <w:sz w:val="24"/>
        </w:rPr>
        <w:t>▎</w:t>
      </w:r>
      <w:r>
        <w:rPr>
          <w:rFonts w:ascii="맑은 고딕" w:hAnsi="맑은 고딕" w:eastAsia="맑은 고딕"/>
          <w:b/>
          <w:color w:val="0F4C5C"/>
          <w:sz w:val="24"/>
        </w:rPr>
        <w:t xml:space="preserve"> 경쟁 구도 종합</w:t>
      </w:r>
    </w:p>
    <w:p>
      <w:pPr>
        <w:spacing w:line="300" w:lineRule="exact"/>
      </w:pPr>
      <w:r>
        <w:rPr>
          <w:rFonts w:ascii="맑은 고딕" w:hAnsi="맑은 고딕" w:eastAsia="맑은 고딕"/>
          <w:color w:val="222222"/>
          <w:sz w:val="20"/>
        </w:rPr>
        <w:t>현대그린푸드는 국내 최대 규모의 케어푸드 라인업(</w:t>
      </w:r>
      <w:r>
        <w:rPr>
          <w:rFonts w:ascii="맑은 고딕" w:hAnsi="맑은 고딕" w:eastAsia="맑은 고딕"/>
          <w:b/>
          <w:color w:val="0F4C5C"/>
          <w:sz w:val="20"/>
        </w:rPr>
        <w:t>430</w:t>
      </w:r>
      <w:r>
        <w:rPr>
          <w:rFonts w:ascii="맑은 고딕" w:hAnsi="맑은 고딕" w:eastAsia="맑은 고딕"/>
          <w:color w:val="222222"/>
          <w:sz w:val="20"/>
        </w:rPr>
        <w:t>종 확대 계획)과 질환별 맞춤 식단(고혈압</w:t>
      </w:r>
      <w:r>
        <w:rPr>
          <w:rFonts w:ascii="맑은 고딕" w:hAnsi="맑은 고딕" w:eastAsia="맑은 고딕"/>
          <w:b/>
          <w:color w:val="0F4C5C"/>
          <w:sz w:val="20"/>
        </w:rPr>
        <w:t>,</w:t>
      </w:r>
      <w:r>
        <w:rPr>
          <w:rFonts w:ascii="맑은 고딕" w:hAnsi="맑은 고딕" w:eastAsia="맑은 고딕"/>
          <w:color w:val="222222"/>
          <w:sz w:val="20"/>
        </w:rPr>
        <w:t xml:space="preserve"> 당뇨</w:t>
      </w:r>
      <w:r>
        <w:rPr>
          <w:rFonts w:ascii="맑은 고딕" w:hAnsi="맑은 고딕" w:eastAsia="맑은 고딕"/>
          <w:b/>
          <w:color w:val="0F4C5C"/>
          <w:sz w:val="20"/>
        </w:rPr>
        <w:t>,</w:t>
      </w:r>
      <w:r>
        <w:rPr>
          <w:rFonts w:ascii="맑은 고딕" w:hAnsi="맑은 고딕" w:eastAsia="맑은 고딕"/>
          <w:color w:val="222222"/>
          <w:sz w:val="20"/>
        </w:rPr>
        <w:t xml:space="preserve"> 신장질환)을 통해 시니어 시장에서 차별화된 포지셔닝을 구축했습니다. 시니어 맞춤형 건강간편식과 포화증기 조리기술을 활용한 부드러운 식감 구현으로 B</w:t>
      </w:r>
      <w:r>
        <w:rPr>
          <w:rFonts w:ascii="맑은 고딕" w:hAnsi="맑은 고딕" w:eastAsia="맑은 고딕"/>
          <w:b/>
          <w:color w:val="0F4C5C"/>
          <w:sz w:val="20"/>
        </w:rPr>
        <w:t>2</w:t>
      </w:r>
      <w:r>
        <w:rPr>
          <w:rFonts w:ascii="맑은 고딕" w:hAnsi="맑은 고딕" w:eastAsia="맑은 고딕"/>
          <w:color w:val="222222"/>
          <w:sz w:val="20"/>
        </w:rPr>
        <w:t>C·B</w:t>
      </w:r>
      <w:r>
        <w:rPr>
          <w:rFonts w:ascii="맑은 고딕" w:hAnsi="맑은 고딕" w:eastAsia="맑은 고딕"/>
          <w:b/>
          <w:color w:val="0F4C5C"/>
          <w:sz w:val="20"/>
        </w:rPr>
        <w:t>2</w:t>
      </w:r>
      <w:r>
        <w:rPr>
          <w:rFonts w:ascii="맑은 고딕" w:hAnsi="맑은 고딕" w:eastAsia="맑은 고딕"/>
          <w:color w:val="222222"/>
          <w:sz w:val="20"/>
        </w:rPr>
        <w:t>B 채널을 통한 다각화된 판매를 진행하며</w:t>
      </w:r>
      <w:r>
        <w:rPr>
          <w:rFonts w:ascii="맑은 고딕" w:hAnsi="맑은 고딕" w:eastAsia="맑은 고딕"/>
          <w:b/>
          <w:color w:val="0F4C5C"/>
          <w:sz w:val="20"/>
        </w:rPr>
        <w:t>,</w:t>
      </w:r>
      <w:r>
        <w:rPr>
          <w:rFonts w:ascii="맑은 고딕" w:hAnsi="맑은 고딕" w:eastAsia="맑은 고딕"/>
          <w:color w:val="222222"/>
          <w:sz w:val="20"/>
        </w:rPr>
        <w:t xml:space="preserve"> 특히 정기 구독형 HMR 서비스로 만성질환자 타깃을 공고화했습니다. 다만 신장질환용 제품 라인업은 냉장형 개발 중으로 제한적입니다. 풀무원은 고령친화우수식품 </w:t>
      </w:r>
      <w:r>
        <w:rPr>
          <w:rFonts w:ascii="맑은 고딕" w:hAnsi="맑은 고딕" w:eastAsia="맑은 고딕"/>
          <w:b/>
          <w:color w:val="0F4C5C"/>
          <w:sz w:val="20"/>
        </w:rPr>
        <w:t>14</w:t>
      </w:r>
      <w:r>
        <w:rPr>
          <w:rFonts w:ascii="맑은 고딕" w:hAnsi="맑은 고딕" w:eastAsia="맑은 고딕"/>
          <w:color w:val="222222"/>
          <w:sz w:val="20"/>
        </w:rPr>
        <w:t>~</w:t>
      </w:r>
      <w:r>
        <w:rPr>
          <w:rFonts w:ascii="맑은 고딕" w:hAnsi="맑은 고딕" w:eastAsia="맑은 고딕"/>
          <w:b/>
          <w:color w:val="0F4C5C"/>
          <w:sz w:val="20"/>
        </w:rPr>
        <w:t>20</w:t>
      </w:r>
      <w:r>
        <w:rPr>
          <w:rFonts w:ascii="맑은 고딕" w:hAnsi="맑은 고딕" w:eastAsia="맑은 고딕"/>
          <w:color w:val="222222"/>
          <w:sz w:val="20"/>
        </w:rPr>
        <w:t>종 보유로 시장 리더십을 강화하며</w:t>
      </w:r>
      <w:r>
        <w:rPr>
          <w:rFonts w:ascii="맑은 고딕" w:hAnsi="맑은 고딕" w:eastAsia="맑은 고딕"/>
          <w:b/>
          <w:color w:val="0F4C5C"/>
          <w:sz w:val="20"/>
        </w:rPr>
        <w:t>,</w:t>
      </w:r>
      <w:r>
        <w:rPr>
          <w:rFonts w:ascii="맑은 고딕" w:hAnsi="맑은 고딕" w:eastAsia="맑은 고딕"/>
          <w:color w:val="222222"/>
          <w:sz w:val="20"/>
        </w:rPr>
        <w:t xml:space="preserve"> 단계별 연화식(</w:t>
      </w:r>
      <w:r>
        <w:rPr>
          <w:rFonts w:ascii="맑은 고딕" w:hAnsi="맑은 고딕" w:eastAsia="맑은 고딕"/>
          <w:b/>
          <w:color w:val="0F4C5C"/>
          <w:sz w:val="20"/>
        </w:rPr>
        <w:t>1</w:t>
      </w:r>
      <w:r>
        <w:rPr>
          <w:rFonts w:ascii="맑은 고딕" w:hAnsi="맑은 고딕" w:eastAsia="맑은 고딕"/>
          <w:color w:val="222222"/>
          <w:sz w:val="20"/>
        </w:rPr>
        <w:t>~</w:t>
      </w:r>
      <w:r>
        <w:rPr>
          <w:rFonts w:ascii="맑은 고딕" w:hAnsi="맑은 고딕" w:eastAsia="맑은 고딕"/>
          <w:b/>
          <w:color w:val="0F4C5C"/>
          <w:sz w:val="20"/>
        </w:rPr>
        <w:t>3</w:t>
      </w:r>
      <w:r>
        <w:rPr>
          <w:rFonts w:ascii="맑은 고딕" w:hAnsi="맑은 고딕" w:eastAsia="맑은 고딕"/>
          <w:color w:val="222222"/>
          <w:sz w:val="20"/>
        </w:rPr>
        <w:t>단계)과 생애주기 맞춤 식단 구독 서비스('디자인밀')로 씹기·삼키기 어려운 고령자에게 특화된 솔루션을 제공합니다. 그러나 메디푸드 제품 다양성은 현대그린푸드 대비 부족합니다. CJ프레시웨이는 B</w:t>
      </w:r>
      <w:r>
        <w:rPr>
          <w:rFonts w:ascii="맑은 고딕" w:hAnsi="맑은 고딕" w:eastAsia="맑은 고딕"/>
          <w:b/>
          <w:color w:val="0F4C5C"/>
          <w:sz w:val="20"/>
        </w:rPr>
        <w:t>2</w:t>
      </w:r>
      <w:r>
        <w:rPr>
          <w:rFonts w:ascii="맑은 고딕" w:hAnsi="맑은 고딕" w:eastAsia="맑은 고딕"/>
          <w:color w:val="222222"/>
          <w:sz w:val="20"/>
        </w:rPr>
        <w:t xml:space="preserve">B 시장(요양시설·병원) 점유율 </w:t>
      </w:r>
      <w:r>
        <w:rPr>
          <w:rFonts w:ascii="맑은 고딕" w:hAnsi="맑은 고딕" w:eastAsia="맑은 고딕"/>
          <w:b/>
          <w:color w:val="0F4C5C"/>
          <w:sz w:val="20"/>
        </w:rPr>
        <w:t>1</w:t>
      </w:r>
      <w:r>
        <w:rPr>
          <w:rFonts w:ascii="맑은 고딕" w:hAnsi="맑은 고딕" w:eastAsia="맑은 고딕"/>
          <w:color w:val="222222"/>
          <w:sz w:val="20"/>
        </w:rPr>
        <w:t>위(</w:t>
      </w:r>
      <w:r>
        <w:rPr>
          <w:rFonts w:ascii="맑은 고딕" w:hAnsi="맑은 고딕" w:eastAsia="맑은 고딕"/>
          <w:b/>
          <w:color w:val="0F4C5C"/>
          <w:sz w:val="20"/>
        </w:rPr>
        <w:t>2019</w:t>
      </w:r>
      <w:r>
        <w:rPr>
          <w:rFonts w:ascii="맑은 고딕" w:hAnsi="맑은 고딕" w:eastAsia="맑은 고딕"/>
          <w:color w:val="222222"/>
          <w:sz w:val="20"/>
        </w:rPr>
        <w:t>~</w:t>
      </w:r>
      <w:r>
        <w:rPr>
          <w:rFonts w:ascii="맑은 고딕" w:hAnsi="맑은 고딕" w:eastAsia="맑은 고딕"/>
          <w:b/>
          <w:color w:val="0F4C5C"/>
          <w:sz w:val="20"/>
        </w:rPr>
        <w:t>2022</w:t>
      </w:r>
      <w:r>
        <w:rPr>
          <w:rFonts w:ascii="맑은 고딕" w:hAnsi="맑은 고딕" w:eastAsia="맑은 고딕"/>
          <w:color w:val="222222"/>
          <w:sz w:val="20"/>
        </w:rPr>
        <w:t xml:space="preserve">년)를 기반으로 주 </w:t>
      </w:r>
      <w:r>
        <w:rPr>
          <w:rFonts w:ascii="맑은 고딕" w:hAnsi="맑은 고딕" w:eastAsia="맑은 고딕"/>
          <w:b/>
          <w:color w:val="0F4C5C"/>
          <w:sz w:val="20"/>
        </w:rPr>
        <w:t>1</w:t>
      </w:r>
      <w:r>
        <w:rPr>
          <w:rFonts w:ascii="맑은 고딕" w:hAnsi="맑은 고딕" w:eastAsia="맑은 고딕"/>
          <w:color w:val="222222"/>
          <w:sz w:val="20"/>
        </w:rPr>
        <w:t>회 식단 배송 서비스와 고령친화우수식품 인증 제품으로 편의성과 시장 안정성을 강조합니다. B</w:t>
      </w:r>
      <w:r>
        <w:rPr>
          <w:rFonts w:ascii="맑은 고딕" w:hAnsi="맑은 고딕" w:eastAsia="맑은 고딕"/>
          <w:b/>
          <w:color w:val="0F4C5C"/>
          <w:sz w:val="20"/>
        </w:rPr>
        <w:t>2</w:t>
      </w:r>
      <w:r>
        <w:rPr>
          <w:rFonts w:ascii="맑은 고딕" w:hAnsi="맑은 고딕" w:eastAsia="맑은 고딕"/>
          <w:color w:val="222222"/>
          <w:sz w:val="20"/>
        </w:rPr>
        <w:t>C 확장은 상대적으로 초기 단계입니다. 아워홈은 효소 기반 연화기술과 푸드테크 프로그램('캘리스랩')으로 B</w:t>
      </w:r>
      <w:r>
        <w:rPr>
          <w:rFonts w:ascii="맑은 고딕" w:hAnsi="맑은 고딕" w:eastAsia="맑은 고딕"/>
          <w:b/>
          <w:color w:val="0F4C5C"/>
          <w:sz w:val="20"/>
        </w:rPr>
        <w:t>2</w:t>
      </w:r>
      <w:r>
        <w:rPr>
          <w:rFonts w:ascii="맑은 고딕" w:hAnsi="맑은 고딕" w:eastAsia="맑은 고딕"/>
          <w:color w:val="222222"/>
          <w:sz w:val="20"/>
        </w:rPr>
        <w:t>B 시장(요양원·병원)에 집중하며 영양 손실 최소화를 강점으로 내세우지만</w:t>
      </w:r>
      <w:r>
        <w:rPr>
          <w:rFonts w:ascii="맑은 고딕" w:hAnsi="맑은 고딕" w:eastAsia="맑은 고딕"/>
          <w:b/>
          <w:color w:val="0F4C5C"/>
          <w:sz w:val="20"/>
        </w:rPr>
        <w:t>,</w:t>
      </w:r>
      <w:r>
        <w:rPr>
          <w:rFonts w:ascii="맑은 고딕" w:hAnsi="맑은 고딕" w:eastAsia="맑은 고딕"/>
          <w:color w:val="222222"/>
          <w:sz w:val="20"/>
        </w:rPr>
        <w:t xml:space="preserve"> B</w:t>
      </w:r>
      <w:r>
        <w:rPr>
          <w:rFonts w:ascii="맑은 고딕" w:hAnsi="맑은 고딕" w:eastAsia="맑은 고딕"/>
          <w:b/>
          <w:color w:val="0F4C5C"/>
          <w:sz w:val="20"/>
        </w:rPr>
        <w:t>2</w:t>
      </w:r>
      <w:r>
        <w:rPr>
          <w:rFonts w:ascii="맑은 고딕" w:hAnsi="맑은 고딕" w:eastAsia="맑은 고딕"/>
          <w:color w:val="222222"/>
          <w:sz w:val="20"/>
        </w:rPr>
        <w:t>C 사업과 고령친화우수식품 인증 제품이 부재합니다. 매일유업은 음료 형태 케어푸드(영양보충음료)로 당뇨환자용 전문 제품을 B</w:t>
      </w:r>
      <w:r>
        <w:rPr>
          <w:rFonts w:ascii="맑은 고딕" w:hAnsi="맑은 고딕" w:eastAsia="맑은 고딕"/>
          <w:b/>
          <w:color w:val="0F4C5C"/>
          <w:sz w:val="20"/>
        </w:rPr>
        <w:t>2</w:t>
      </w:r>
      <w:r>
        <w:rPr>
          <w:rFonts w:ascii="맑은 고딕" w:hAnsi="맑은 고딕" w:eastAsia="맑은 고딕"/>
          <w:color w:val="222222"/>
          <w:sz w:val="20"/>
        </w:rPr>
        <w:t>B(요양병원)에 공급하며 편의성을 강조하지만</w:t>
      </w:r>
      <w:r>
        <w:rPr>
          <w:rFonts w:ascii="맑은 고딕" w:hAnsi="맑은 고딕" w:eastAsia="맑은 고딕"/>
          <w:b/>
          <w:color w:val="0F4C5C"/>
          <w:sz w:val="20"/>
        </w:rPr>
        <w:t>,</w:t>
      </w:r>
      <w:r>
        <w:rPr>
          <w:rFonts w:ascii="맑은 고딕" w:hAnsi="맑은 고딕" w:eastAsia="맑은 고딕"/>
          <w:color w:val="222222"/>
          <w:sz w:val="20"/>
        </w:rPr>
        <w:t xml:space="preserve"> HMR 제품과 고령친화우수식품 인증 부재로 제품 다양성에 제약이 있습니다. 전반적으로 현대그린푸드와 풀무원은 B</w:t>
      </w:r>
      <w:r>
        <w:rPr>
          <w:rFonts w:ascii="맑은 고딕" w:hAnsi="맑은 고딕" w:eastAsia="맑은 고딕"/>
          <w:b/>
          <w:color w:val="0F4C5C"/>
          <w:sz w:val="20"/>
        </w:rPr>
        <w:t>2</w:t>
      </w:r>
      <w:r>
        <w:rPr>
          <w:rFonts w:ascii="맑은 고딕" w:hAnsi="맑은 고딕" w:eastAsia="맑은 고딕"/>
          <w:color w:val="222222"/>
          <w:sz w:val="20"/>
        </w:rPr>
        <w:t>C·B</w:t>
      </w:r>
      <w:r>
        <w:rPr>
          <w:rFonts w:ascii="맑은 고딕" w:hAnsi="맑은 고딕" w:eastAsia="맑은 고딕"/>
          <w:b/>
          <w:color w:val="0F4C5C"/>
          <w:sz w:val="20"/>
        </w:rPr>
        <w:t>2</w:t>
      </w:r>
      <w:r>
        <w:rPr>
          <w:rFonts w:ascii="맑은 고딕" w:hAnsi="맑은 고딕" w:eastAsia="맑은 고딕"/>
          <w:color w:val="222222"/>
          <w:sz w:val="20"/>
        </w:rPr>
        <w:t>B 통합 전략으로</w:t>
      </w:r>
      <w:r>
        <w:rPr>
          <w:rFonts w:ascii="맑은 고딕" w:hAnsi="맑은 고딕" w:eastAsia="맑은 고딕"/>
          <w:b/>
          <w:color w:val="0F4C5C"/>
          <w:sz w:val="20"/>
        </w:rPr>
        <w:t>,</w:t>
      </w:r>
      <w:r>
        <w:rPr>
          <w:rFonts w:ascii="맑은 고딕" w:hAnsi="맑은 고딕" w:eastAsia="맑은 고딕"/>
          <w:color w:val="222222"/>
          <w:sz w:val="20"/>
        </w:rPr>
        <w:t xml:space="preserve"> CJ프레시웨이와 아워홈·매일유업은 B</w:t>
      </w:r>
      <w:r>
        <w:rPr>
          <w:rFonts w:ascii="맑은 고딕" w:hAnsi="맑은 고딕" w:eastAsia="맑은 고딕"/>
          <w:b/>
          <w:color w:val="0F4C5C"/>
          <w:sz w:val="20"/>
        </w:rPr>
        <w:t>2</w:t>
      </w:r>
      <w:r>
        <w:rPr>
          <w:rFonts w:ascii="맑은 고딕" w:hAnsi="맑은 고딕" w:eastAsia="맑은 고딕"/>
          <w:color w:val="222222"/>
          <w:sz w:val="20"/>
        </w:rPr>
        <w:t>B 중심 전략으로 시장 세분화가 이루어집니다.</w:t>
      </w:r>
    </w:p>
    <w:p>
      <w:pPr>
        <w:pStyle w:val="Heading1"/>
        <w:pBdr>
          <w:bottom w:val="single" w:color="1B8A8F" w:sz="12" w:space="4"/>
        </w:pBdr>
        <w:spacing w:before="360" w:after="160"/>
      </w:pPr>
      <w:r>
        <w:rPr>
          <w:rFonts w:ascii="맑은 고딕" w:hAnsi="맑은 고딕" w:eastAsia="맑은 고딕"/>
          <w:b/>
          <w:color w:val="1B8A8F"/>
          <w:sz w:val="30"/>
        </w:rPr>
        <w:t xml:space="preserve">05  </w:t>
      </w:r>
      <w:r>
        <w:rPr>
          <w:rFonts w:ascii="맑은 고딕" w:hAnsi="맑은 고딕" w:eastAsia="맑은 고딕"/>
          <w:b/>
          <w:color w:val="0F4C5C"/>
          <w:sz w:val="30"/>
        </w:rPr>
        <w:t>종합 시사점</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type="dxa" w:w="9306"/>
        <w:tblLayout w:type="fixed"/>
      </w:tblPr>
      <w:tblGrid>
        <w:gridCol w:w="560"/>
        <w:gridCol w:w="8746"/>
      </w:tblGrid>
      <w:tr>
        <w:tc>
          <w:tcPr>
            <w:tcW w:type="dxa" w:w="560"/>
            <w:shd w:val="clear" w:color="auto" w:fill="1B8A8F"/>
            <w:tcBorders>
              <w:top w:val="single" w:sz="4" w:color="C9DADB"/>
              <w:left w:val="nil"/>
              <w:bottom w:val="single" w:sz="4" w:color="C9DADB"/>
              <w:right w:val="nil"/>
            </w:tcBorders>
            <w:tcMar>
              <w:top w:w="70" w:type="dxa"/>
              <w:bottom w:w="70" w:type="dxa"/>
              <w:start w:w="110" w:type="dxa"/>
              <w:end w:w="110" w:type="dxa"/>
            </w:tcMar>
            <w:vAlign w:val="center"/>
          </w:tcPr>
          <w:p>
            <w:pPr>
              <w:spacing w:before="0" w:after="0"/>
              <w:jc w:val="center"/>
            </w:pPr>
            <w:r>
              <w:rPr>
                <w:rFonts w:ascii="맑은 고딕" w:hAnsi="맑은 고딕" w:eastAsia="맑은 고딕"/>
                <w:b/>
                <w:color w:val="FFFFFF"/>
                <w:sz w:val="26"/>
              </w:rPr>
              <w:t>1</w:t>
            </w:r>
          </w:p>
        </w:tc>
        <w:tc>
          <w:tcPr>
            <w:tcW w:type="dxa" w:w="8746"/>
            <w:shd w:val="clear" w:color="auto" w:fill="F5F8F8"/>
            <w:tcBorders>
              <w:top w:val="single" w:sz="4" w:color="C9DADB"/>
              <w:left w:val="nil"/>
              <w:bottom w:val="single" w:sz="4" w:color="C9DADB"/>
              <w:right w:val="nil"/>
            </w:tcBorders>
            <w:tcMar>
              <w:top w:w="70" w:type="dxa"/>
              <w:bottom w:w="70" w:type="dxa"/>
              <w:start w:w="110" w:type="dxa"/>
              <w:end w:w="110" w:type="dxa"/>
            </w:tcMar>
            <w:vAlign w:val="top"/>
          </w:tcPr>
          <w:p>
            <w:pPr>
              <w:spacing w:before="0" w:after="40"/>
            </w:pPr>
            <w:r>
              <w:rPr>
                <w:rFonts w:ascii="맑은 고딕" w:hAnsi="맑은 고딕" w:eastAsia="맑은 고딕"/>
                <w:b/>
                <w:color w:val="0F4C5C"/>
                <w:sz w:val="20"/>
              </w:rPr>
              <w:t>시장 세분화 전략</w:t>
            </w:r>
          </w:p>
          <w:p>
            <w:pPr>
              <w:spacing w:before="0" w:after="0"/>
            </w:pPr>
            <w:r>
              <w:rPr>
                <w:rFonts w:ascii="맑은 고딕" w:hAnsi="맑은 고딕" w:eastAsia="맑은 고딕"/>
                <w:color w:val="222222"/>
                <w:sz w:val="18"/>
              </w:rPr>
              <w:t>주요 경쟁사가 질환별 맞춤 식단(고혈압, 당뇨 등)과 단계별 연화식(1~3단계) 개발로 시장을 세분화하며, 신규 진입자도 만성질환자 타깃 제품 라인업 구축이 필수적임.</w:t>
            </w:r>
          </w:p>
        </w:tc>
      </w:tr>
    </w:tbl>
    <w:p>
      <w:pPr>
        <w:spacing w:after="40"/>
      </w:pP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type="dxa" w:w="9306"/>
        <w:tblLayout w:type="fixed"/>
      </w:tblPr>
      <w:tblGrid>
        <w:gridCol w:w="560"/>
        <w:gridCol w:w="8746"/>
      </w:tblGrid>
      <w:tr>
        <w:tc>
          <w:tcPr>
            <w:tcW w:type="dxa" w:w="560"/>
            <w:shd w:val="clear" w:color="auto" w:fill="1B8A8F"/>
            <w:tcBorders>
              <w:top w:val="single" w:sz="4" w:color="C9DADB"/>
              <w:left w:val="nil"/>
              <w:bottom w:val="single" w:sz="4" w:color="C9DADB"/>
              <w:right w:val="nil"/>
            </w:tcBorders>
            <w:tcMar>
              <w:top w:w="70" w:type="dxa"/>
              <w:bottom w:w="70" w:type="dxa"/>
              <w:start w:w="110" w:type="dxa"/>
              <w:end w:w="110" w:type="dxa"/>
            </w:tcMar>
            <w:vAlign w:val="center"/>
          </w:tcPr>
          <w:p>
            <w:pPr>
              <w:spacing w:before="0" w:after="0"/>
              <w:jc w:val="center"/>
            </w:pPr>
            <w:r>
              <w:rPr>
                <w:rFonts w:ascii="맑은 고딕" w:hAnsi="맑은 고딕" w:eastAsia="맑은 고딕"/>
                <w:b/>
                <w:color w:val="FFFFFF"/>
                <w:sz w:val="26"/>
              </w:rPr>
              <w:t>2</w:t>
            </w:r>
          </w:p>
        </w:tc>
        <w:tc>
          <w:tcPr>
            <w:tcW w:type="dxa" w:w="8746"/>
            <w:shd w:val="clear" w:color="auto" w:fill="F5F8F8"/>
            <w:tcBorders>
              <w:top w:val="single" w:sz="4" w:color="C9DADB"/>
              <w:left w:val="nil"/>
              <w:bottom w:val="single" w:sz="4" w:color="C9DADB"/>
              <w:right w:val="nil"/>
            </w:tcBorders>
            <w:tcMar>
              <w:top w:w="70" w:type="dxa"/>
              <w:bottom w:w="70" w:type="dxa"/>
              <w:start w:w="110" w:type="dxa"/>
              <w:end w:w="110" w:type="dxa"/>
            </w:tcMar>
            <w:vAlign w:val="top"/>
          </w:tcPr>
          <w:p>
            <w:pPr>
              <w:spacing w:before="0" w:after="40"/>
            </w:pPr>
            <w:r>
              <w:rPr>
                <w:rFonts w:ascii="맑은 고딕" w:hAnsi="맑은 고딕" w:eastAsia="맑은 고딕"/>
                <w:b/>
                <w:color w:val="0F4C5C"/>
                <w:sz w:val="20"/>
              </w:rPr>
              <w:t>기술 차별화 필요성</w:t>
            </w:r>
          </w:p>
          <w:p>
            <w:pPr>
              <w:spacing w:before="0" w:after="0"/>
            </w:pPr>
            <w:r>
              <w:rPr>
                <w:rFonts w:ascii="맑은 고딕" w:hAnsi="맑은 고딕" w:eastAsia="맑은 고딕"/>
                <w:color w:val="222222"/>
                <w:sz w:val="18"/>
              </w:rPr>
              <w:t>경쟁사들의 연화기술(포화증기, 효소 기반)과 구독 서비스 등 기술 적용 제품화가 성장 동력인 만큼, 영양 손실 최소화 등 기술 경쟁력 확보가 시장 진출의 핵심 요소임.</w:t>
            </w:r>
          </w:p>
        </w:tc>
      </w:tr>
    </w:tbl>
    <w:p>
      <w:pPr>
        <w:spacing w:after="40"/>
      </w:pP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type="dxa" w:w="9306"/>
        <w:tblLayout w:type="fixed"/>
      </w:tblPr>
      <w:tblGrid>
        <w:gridCol w:w="560"/>
        <w:gridCol w:w="8746"/>
      </w:tblGrid>
      <w:tr>
        <w:tc>
          <w:tcPr>
            <w:tcW w:type="dxa" w:w="560"/>
            <w:shd w:val="clear" w:color="auto" w:fill="1B8A8F"/>
            <w:tcBorders>
              <w:top w:val="single" w:sz="4" w:color="C9DADB"/>
              <w:left w:val="nil"/>
              <w:bottom w:val="single" w:sz="4" w:color="C9DADB"/>
              <w:right w:val="nil"/>
            </w:tcBorders>
            <w:tcMar>
              <w:top w:w="70" w:type="dxa"/>
              <w:bottom w:w="70" w:type="dxa"/>
              <w:start w:w="110" w:type="dxa"/>
              <w:end w:w="110" w:type="dxa"/>
            </w:tcMar>
            <w:vAlign w:val="center"/>
          </w:tcPr>
          <w:p>
            <w:pPr>
              <w:spacing w:before="0" w:after="0"/>
              <w:jc w:val="center"/>
            </w:pPr>
            <w:r>
              <w:rPr>
                <w:rFonts w:ascii="맑은 고딕" w:hAnsi="맑은 고딕" w:eastAsia="맑은 고딕"/>
                <w:b/>
                <w:color w:val="FFFFFF"/>
                <w:sz w:val="26"/>
              </w:rPr>
              <w:t>3</w:t>
            </w:r>
          </w:p>
        </w:tc>
        <w:tc>
          <w:tcPr>
            <w:tcW w:type="dxa" w:w="8746"/>
            <w:shd w:val="clear" w:color="auto" w:fill="F5F8F8"/>
            <w:tcBorders>
              <w:top w:val="single" w:sz="4" w:color="C9DADB"/>
              <w:left w:val="nil"/>
              <w:bottom w:val="single" w:sz="4" w:color="C9DADB"/>
              <w:right w:val="nil"/>
            </w:tcBorders>
            <w:tcMar>
              <w:top w:w="70" w:type="dxa"/>
              <w:bottom w:w="70" w:type="dxa"/>
              <w:start w:w="110" w:type="dxa"/>
              <w:end w:w="110" w:type="dxa"/>
            </w:tcMar>
            <w:vAlign w:val="top"/>
          </w:tcPr>
          <w:p>
            <w:pPr>
              <w:spacing w:before="0" w:after="40"/>
            </w:pPr>
            <w:r>
              <w:rPr>
                <w:rFonts w:ascii="맑은 고딕" w:hAnsi="맑은 고딕" w:eastAsia="맑은 고딕"/>
                <w:b/>
                <w:color w:val="0F4C5C"/>
                <w:sz w:val="20"/>
              </w:rPr>
              <w:t>B2B 채널 확장</w:t>
            </w:r>
          </w:p>
          <w:p>
            <w:pPr>
              <w:spacing w:before="0" w:after="0"/>
            </w:pPr>
            <w:r>
              <w:rPr>
                <w:rFonts w:ascii="맑은 고딕" w:hAnsi="맑은 고딕" w:eastAsia="맑은 고딕"/>
                <w:color w:val="222222"/>
                <w:sz w:val="18"/>
              </w:rPr>
              <w:t>CJ프레시웨이와 매일유업 등이 요양시설·병원 등 B2B 시장에서 강점을 보이는 만큼, 신규 진입자도 B2B 유통망 구축을 통해 초기 시장 점유율 향상 필요.</w:t>
            </w:r>
          </w:p>
        </w:tc>
      </w:tr>
    </w:tbl>
    <w:p>
      <w:pPr>
        <w:spacing w:after="40"/>
      </w:pP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type="dxa" w:w="9306"/>
        <w:tblLayout w:type="fixed"/>
      </w:tblPr>
      <w:tblGrid>
        <w:gridCol w:w="560"/>
        <w:gridCol w:w="8746"/>
      </w:tblGrid>
      <w:tr>
        <w:tc>
          <w:tcPr>
            <w:tcW w:type="dxa" w:w="560"/>
            <w:shd w:val="clear" w:color="auto" w:fill="1B8A8F"/>
            <w:tcBorders>
              <w:top w:val="single" w:sz="4" w:color="C9DADB"/>
              <w:left w:val="nil"/>
              <w:bottom w:val="single" w:sz="4" w:color="C9DADB"/>
              <w:right w:val="nil"/>
            </w:tcBorders>
            <w:tcMar>
              <w:top w:w="70" w:type="dxa"/>
              <w:bottom w:w="70" w:type="dxa"/>
              <w:start w:w="110" w:type="dxa"/>
              <w:end w:w="110" w:type="dxa"/>
            </w:tcMar>
            <w:vAlign w:val="center"/>
          </w:tcPr>
          <w:p>
            <w:pPr>
              <w:spacing w:before="0" w:after="0"/>
              <w:jc w:val="center"/>
            </w:pPr>
            <w:r>
              <w:rPr>
                <w:rFonts w:ascii="맑은 고딕" w:hAnsi="맑은 고딕" w:eastAsia="맑은 고딕"/>
                <w:b/>
                <w:color w:val="FFFFFF"/>
                <w:sz w:val="26"/>
              </w:rPr>
              <w:t>4</w:t>
            </w:r>
          </w:p>
        </w:tc>
        <w:tc>
          <w:tcPr>
            <w:tcW w:type="dxa" w:w="8746"/>
            <w:shd w:val="clear" w:color="auto" w:fill="F5F8F8"/>
            <w:tcBorders>
              <w:top w:val="single" w:sz="4" w:color="C9DADB"/>
              <w:left w:val="nil"/>
              <w:bottom w:val="single" w:sz="4" w:color="C9DADB"/>
              <w:right w:val="nil"/>
            </w:tcBorders>
            <w:tcMar>
              <w:top w:w="70" w:type="dxa"/>
              <w:bottom w:w="70" w:type="dxa"/>
              <w:start w:w="110" w:type="dxa"/>
              <w:end w:w="110" w:type="dxa"/>
            </w:tcMar>
            <w:vAlign w:val="top"/>
          </w:tcPr>
          <w:p>
            <w:pPr>
              <w:spacing w:before="0" w:after="40"/>
            </w:pPr>
            <w:r>
              <w:rPr>
                <w:rFonts w:ascii="맑은 고딕" w:hAnsi="맑은 고딕" w:eastAsia="맑은 고딕"/>
                <w:b/>
                <w:color w:val="0F4C5C"/>
                <w:sz w:val="20"/>
              </w:rPr>
              <w:t>고령친화 인증 활용</w:t>
            </w:r>
          </w:p>
          <w:p>
            <w:pPr>
              <w:spacing w:before="0" w:after="0"/>
            </w:pPr>
            <w:r>
              <w:rPr>
                <w:rFonts w:ascii="맑은 고딕" w:hAnsi="맑은 고딕" w:eastAsia="맑은 고딕"/>
                <w:color w:val="222222"/>
                <w:sz w:val="18"/>
              </w:rPr>
              <w:t>풀무원이 고령친화우수식품 최다 보유로 마케팅 효과를 거두는 점을 참고해, 정부 인증 제품 개발에 집중하여 소비자 신뢰도 제고 필요.</w:t>
            </w:r>
          </w:p>
        </w:tc>
      </w:tr>
    </w:tbl>
    <w:p>
      <w:pPr>
        <w:spacing w:after="40"/>
      </w:pP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W w:type="dxa" w:w="9306"/>
        <w:tblLayout w:type="fixed"/>
      </w:tblPr>
      <w:tblGrid>
        <w:gridCol w:w="560"/>
        <w:gridCol w:w="8746"/>
      </w:tblGrid>
      <w:tr>
        <w:tc>
          <w:tcPr>
            <w:tcW w:type="dxa" w:w="560"/>
            <w:shd w:val="clear" w:color="auto" w:fill="1B8A8F"/>
            <w:tcBorders>
              <w:top w:val="single" w:sz="4" w:color="C9DADB"/>
              <w:left w:val="nil"/>
              <w:bottom w:val="single" w:sz="4" w:color="C9DADB"/>
              <w:right w:val="nil"/>
            </w:tcBorders>
            <w:tcMar>
              <w:top w:w="70" w:type="dxa"/>
              <w:bottom w:w="70" w:type="dxa"/>
              <w:start w:w="110" w:type="dxa"/>
              <w:end w:w="110" w:type="dxa"/>
            </w:tcMar>
            <w:vAlign w:val="center"/>
          </w:tcPr>
          <w:p>
            <w:pPr>
              <w:spacing w:before="0" w:after="0"/>
              <w:jc w:val="center"/>
            </w:pPr>
            <w:r>
              <w:rPr>
                <w:rFonts w:ascii="맑은 고딕" w:hAnsi="맑은 고딕" w:eastAsia="맑은 고딕"/>
                <w:b/>
                <w:color w:val="FFFFFF"/>
                <w:sz w:val="26"/>
              </w:rPr>
              <w:t>5</w:t>
            </w:r>
          </w:p>
        </w:tc>
        <w:tc>
          <w:tcPr>
            <w:tcW w:type="dxa" w:w="8746"/>
            <w:shd w:val="clear" w:color="auto" w:fill="F5F8F8"/>
            <w:tcBorders>
              <w:top w:val="single" w:sz="4" w:color="C9DADB"/>
              <w:left w:val="nil"/>
              <w:bottom w:val="single" w:sz="4" w:color="C9DADB"/>
              <w:right w:val="nil"/>
            </w:tcBorders>
            <w:tcMar>
              <w:top w:w="70" w:type="dxa"/>
              <w:bottom w:w="70" w:type="dxa"/>
              <w:start w:w="110" w:type="dxa"/>
              <w:end w:w="110" w:type="dxa"/>
            </w:tcMar>
            <w:vAlign w:val="top"/>
          </w:tcPr>
          <w:p>
            <w:pPr>
              <w:spacing w:before="0" w:after="40"/>
            </w:pPr>
            <w:r>
              <w:rPr>
                <w:rFonts w:ascii="맑은 고딕" w:hAnsi="맑은 고딕" w:eastAsia="맑은 고딕"/>
                <w:b/>
                <w:color w:val="0F4C5C"/>
                <w:sz w:val="20"/>
              </w:rPr>
              <w:t>해외 진출 검토</w:t>
            </w:r>
          </w:p>
          <w:p>
            <w:pPr>
              <w:spacing w:before="0" w:after="0"/>
            </w:pPr>
            <w:r>
              <w:rPr>
                <w:rFonts w:ascii="맑은 고딕" w:hAnsi="맑은 고딕" w:eastAsia="맑은 고딕"/>
                <w:color w:val="222222"/>
                <w:sz w:val="18"/>
              </w:rPr>
              <w:t>글로벌 케어푸드 시장이 2028년 20조 원 규모로 성장할 전망이며, 국내 기업들의 기술력이 해외 진출 잠재력으로 이어질 수 있어 장기적 전략 수립 고려 필요.</w:t>
            </w:r>
          </w:p>
        </w:tc>
      </w:tr>
    </w:tbl>
    <w:p>
      <w:pPr>
        <w:spacing w:after="40"/>
      </w:pPr>
    </w:p>
    <w:p>
      <w:pPr>
        <w:pStyle w:val="Heading1"/>
        <w:pBdr>
          <w:bottom w:val="single" w:color="1B8A8F" w:sz="12" w:space="4"/>
        </w:pBdr>
        <w:spacing w:before="360" w:after="160"/>
      </w:pPr>
      <w:r>
        <w:rPr>
          <w:rFonts w:ascii="맑은 고딕" w:hAnsi="맑은 고딕" w:eastAsia="맑은 고딕"/>
          <w:b/>
          <w:color w:val="1B8A8F"/>
          <w:sz w:val="30"/>
        </w:rPr>
        <w:t xml:space="preserve">06  </w:t>
      </w:r>
      <w:r>
        <w:rPr>
          <w:rFonts w:ascii="맑은 고딕" w:hAnsi="맑은 고딕" w:eastAsia="맑은 고딕"/>
          <w:b/>
          <w:color w:val="0F4C5C"/>
          <w:sz w:val="30"/>
        </w:rPr>
        <w:t>출처 부록</w:t>
      </w:r>
    </w:p>
    <w:p>
      <w:r>
        <w:rPr>
          <w:rFonts w:ascii="맑은 고딕" w:hAnsi="맑은 고딕" w:eastAsia="맑은 고딕"/>
          <w:color w:val="5A6B73"/>
          <w:sz w:val="17"/>
        </w:rPr>
        <w:t>Multi-Agent가 웹 검색으로 수집한 fact 목록입니다. [등급/판정]은 출처의 신뢰 등급(2차·3차)과 채택 여부(채택·애매·기각)를 의미합니다.</w:t>
      </w:r>
    </w:p>
    <w:tbl>
      <w:tblPr>
        <w:tblW w:type="auto" w:w="0"/>
        <w:tblLayout w:type="fixed"/>
        <w:tblLook w:firstColumn="1" w:firstRow="1" w:lastColumn="0" w:lastRow="0" w:noHBand="0" w:noVBand="1" w:val="04A0"/>
        <w:tblBorders>
          <w:top w:val="single" w:sz="4" w:color="auto"/>
          <w:left w:val="single" w:sz="4" w:color="auto"/>
          <w:bottom w:val="single" w:sz="4" w:color="auto"/>
          <w:right w:val="single" w:sz="4" w:color="auto"/>
          <w:insideH w:val="single" w:sz="4" w:color="auto"/>
          <w:insideV w:val="single" w:sz="4" w:color="auto"/>
        </w:tblBorders>
      </w:tblPr>
      <w:tblGrid>
        <w:gridCol w:w="3102"/>
        <w:gridCol w:w="3102"/>
        <w:gridCol w:w="3102"/>
      </w:tblGrid>
      <w:tr>
        <w:trPr>
          <w:tblHeader/>
        </w:trPr>
        <w:tc>
          <w:tcPr>
            <w:tcW w:type="dxa" w:w="115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등급/판정</w:t>
            </w:r>
          </w:p>
        </w:tc>
        <w:tc>
          <w:tcPr>
            <w:tcW w:type="dxa" w:w="5456"/>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수집 fact</w:t>
            </w:r>
          </w:p>
        </w:tc>
        <w:tc>
          <w:tcPr>
            <w:tcW w:type="dxa" w:w="2700"/>
            <w:shd w:val="clear" w:color="auto" w:fill="0F4C5C"/>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FFFFFF"/>
                <w:sz w:val="19"/>
              </w:rPr>
              <w:t>출처</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한국 시니어 케어푸드 시장 규모는 2014년 7,000억 원에서 2021년 2조 5,000억 원으로 7년간 3배 이상 성장했다.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https://www.joongang.co.kr/article/25161010</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농림축산식품부는 2020년 기준 한국 시니어 케어푸드 시장 규모를 12조 원으로 추산한다.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https://www.joongang.co.kr/article/25161010</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한국 현대그린푸드의 케어푸드 브랜드 '그리팅' 메디푸드 매출은 2022년 4월 출시 이후 매 분기 20% 이상 증가했다.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https://www.joongang.co.kr/article/25161010</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한국 CJ프레시웨이의 케어푸드 브랜드 '헬씨누리' 매출은 2022년 전년 대비 23% 증가했다.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https://www.joongang.co.kr/article/25161010</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한국 케어푸드 시장은 2018년부터 2023년까지 연평균 7.2% 성장률을 기록하며, 2025년 초고령사회 진입에 따라 성장 전망이 밝다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https://www.fnnews.com/news/202412060836305132</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한국 현대그린푸드는 시니어 대상 질환별 맞춤 식단(고혈압, 당뇨 등)을 제공하며 케어푸드 시장 공략을 확대한다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https://www.fnnews.com/news/202412060836305132</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한국 풀무원식품은 전 연령층 대상 생애주기별 식단 개발을 통해 맞춤형 케어푸드 시장 공략을 가속화하고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https://www.fnnews.com/news/202412060836305132</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한국 시니어 케어푸드 시장 규모는 2014년 7000억원에서 2020년 2조원으로 성장했으며, 2025년 3조원 규모에 이를 것으로 전망된다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https://www.businessplus.kr/news/articleView.html?idxno=78881</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한국 65세 이상 인구 비율은 2025년 20.3%에 달할 것으로 예측되며, 이는 초고령사회 진입을 의미한다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https://www.businessplus.kr/news/articleView.html?idxno=78881</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CJ프레시웨이는 한국 시니어 대상으로 '소담한상' 간편식 세트를 출시했으며, 연화식 5종이 포함된 '튼튼한상(칼슘)'과 '고기한상(단백질)' 옵션을 제공한다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https://www.businessplus.kr/news/articleView.html?idxno=78881</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현대그린푸드는 한국 고령자를 위한 연화식 개발에 주력하며, 포화증기 조리기술로 부드러운 식감을 구현한 제품을 선보이고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https://www.businessplus.kr/news/articleView.html?idxno=78881</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아워홈은 한국 고령자를 위한 효소 기반 연화기술을 개발해 고기와 떡, 견과류 제품을 개발했으며, 이 기술은 영양 손실이 적고 균일한 부드러움을 구현한다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https://www.businessplus.kr/news/articleView.html?idxno=78881</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풀무원은 2023년 한국 65세 이상 인구를 대상으로 '시니어케어' 도시락 구독 서비스를 론칭했다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https://www.businessplus.kr/news/articleView.html?idxno=78881</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2차/채택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한국 시니어 케어푸드 시장은 2022년 기준 5,067억원 규모이며 2018년 이후 5년간 연평균 7.9% 성장했다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https://foodtoday.or.kr/mobile/article.html?no=183464</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2차/애매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한국 시니어 케어푸드 시장은 2021년 기준 약 2조 5,000억원 규모로 추산되며 2025년에는 3조원 규모로 성장할 것으로 전망된다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https://foodtoday.or.kr/mobile/article.html?no=183464</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2차/애매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한국농수산식품유통공사(aT)는 전세계 고령친화식품 시장이 2022년 121억 8,474만 달러(약 16조 6,991억원)에서 연평균 3.6% 성장해 2028년 150억 9,528만 달러에 이를 것으로 전망했다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https://foodtoday.or.kr/mobile/article.html?no=183464</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한국 시니어 케어푸드 시장은 2025년 기준 약 3조원 규모로 전망된다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https://www.thinkfood.co.kr/news/articleView.html?idxno=102894</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한국 시니어 케어푸드 시장 중 시니어 맞춤형 고단백 영양보충음료 '단백한 하루'가 풀무원에 의해 출시되어 액티브 시니어 시장을 공략 중이다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https://www.thinkfood.co.kr/news/articleView.html?idxno=102894</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한국 케어푸드 시장에서 매일유업의 메디웰 브랜드가 의료 영양 전문 제품으로 B2B 시장(요양병원, 실버타운)을 공략하고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https://www.thinkfood.co.kr/news/articleView.html?idxno=102894</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한국의 고령 친화 식품 산업 시장 규모는 2021년 기준 약 17조 6,000억원으로 2015년 약 9조3,000억원 대비 88% 증가했다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https://www.openads.co.kr/content/contentDetail?contsId=7717</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CJ프레시웨이는 2015년 국내 시니어 케어푸드 시장에 최초로 진출해 '헬씨누리' 브랜드를 통해 '소담한상' 같은 반·완조리 간편식 세트를 유통한다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https://www.gokorea.kr/news/articleView.html?idxno=749966</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현대그린푸드는 2016년부터 한국 시장에서 '메디푸드' 등 전문 케어푸드 식단을 개발하며 2022년 4월 신장질환식단을 포함한 특수의료용도식품을 출시했다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https://www.gokorea.kr/news/articleView.html?idxno=749966</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풀무원은 한국 시장에서 '풀스케어' 브랜드로 단계별 물성 조정 시니어 가정간편식(HMR)을 개발해 1단계(치아 섭취)부터 3단계(혀로 섭취)까지 출시했다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https://www.gokorea.kr/news/articleView.html?idxno=749966</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국내 케어푸드 시장 규모는 2020년 2조원에서 2025년 3조원으로 확대될 전망이다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https://www.gokorea.kr/news/articleView.html?idxno=749966</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한국 고령친화산업 식품분야는 2012년 2조6700억원에서 2020년 4조4400억원으로 성장했으며, 2030년 5조6000억원까지 성장할 것으로 전망된다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https://biz.newdaily.co.kr/site/data/html/2023/09/13/2023091300087.html</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CJ프레시웨이의 시니어 타깃 브랜드 헬씨누리 케어푸드 사업 부문 매출은 2023년 상반기 전년 동기 대비 32% 성장했다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https://biz.newdaily.co.kr/site/data/html/2023/09/13/2023091300087.html</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아워홈의 케어푸드 관련 2023년 1분기 매출은 2022년 동기 대비 약 52% 상승했다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https://biz.newdaily.co.kr/site/data/html/2023/09/13/2023091300087.html</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현대그린푸드의 그리팅 케어푸드 상반기 매출은 전년 동기 대비 60% 이상 신장했다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https://biz.newdaily.co.kr/site/data/html/2023/09/13/2023091300087.html</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풀무원은 '7Days 영양진밥'과 '7Days 영양덮밥소스' 등 14종이 고령친화우수식품으로 지정되며 현재 최다 고령친화우수식품 보유 기업으로 떠올랐다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https://biz.newdaily.co.kr/site/data/html/2023/09/13/2023091300087.html</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2차/채택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한국 시니어 케어푸드 시장은 2022년 기준 5067억원 규모로 전년 대비 15.3% 증가했다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https://www.foodtoday.or.kr/news/article.html?no=183464</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2차/채택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한국 시니어 케어푸드 시장은 2018년 이후 5년간 연평균 7.9% 성장했다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https://www.foodtoday.or.kr/news/article.html?no=183464</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2차/채택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한국 업계는 일반 소비자용 맞춤형 영양식 등을 포함한 케어푸드 시장 규모를 2021년 기준 약 2조 5000억원으로 추산했다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https://www.foodtoday.or.kr/news/article.html?no=183464</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2차/채택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한국 업계는 2025년 케어푸드 시장 규모가 3조원까지 성장할 것으로 전망했다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https://www.foodtoday.or.kr/news/article.html?no=183464</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한국 케어푸드 시장은 2018년부터 연평균 7.9% 성장하며 2025년 3조원 규모에 이를 것으로 예상된다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https://www.mkhealth.co.kr/news/articleView.html?idxno=71900</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CJ프레시웨이는 2015년 한국 시장용 케어푸드 전문 브랜드 '헬씨누리'를 론칭했다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https://www.mkhealth.co.kr/news/articleView.html?idxno=71900</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풀무원푸드머스는 2015년 한국 시장용 케어푸드 전문 브랜드 '풀스케어'를 출시했다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https://www.mkhealth.co.kr/news/articleView.html?idxno=71900</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현대그린푸드는 2020년 한국 시장용 케어푸드 전문 브랜드 '그리팅'을 론칭했다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https://www.mkhealth.co.kr/news/articleView.html?idxno=71900</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아워홈은 2021년 한국 시장용 케어푸드 브랜드 '케어플러스'를 출시했다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https://www.mkhealth.co.kr/news/articleView.html?idxno=71900</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신세계푸드는 2020년 한국 시장용 케어푸드 브랜드 '이지밸런스'를 론칭했다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https://www.mkhealth.co.kr/news/articleView.html?idxno=71900</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2019년 기준 한국 성인 소비자(19~59세) 중 98.6%가 가정간편식(HMR) 제품 이용 경험이 있으며, 절반 이상이 주 1회 이상 이용한다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https://www.openads.co.kr/content/contentDetail?contsId=2296</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현대그린푸드의 그리팅(Greating) 브랜드가 한국 시니어 케어푸드 시장을 대상으로 연화식 등 시니어 맞춤형 건강간편식을 현대백화점 오프라인 매장에서 판매하며, 지역별 상권에 맞춘 제품 라인업(죽, 연화식, 짜장소스 등)을 확장하고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https://www.etoday.co.kr/news/view/1924966</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현대그린푸드는 2020년 한국 시니어 케어푸드 시장에서 그리팅 브랜드로 연화식 라인을 차별화하고, 약 1000억원을 투자해 스마트 푸드센터를 구축한 후 연세대 치과대학과 임상연구를 진행 중이다.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https://www.mkhealth.co.kr/news/articleView.html?idxno=71900</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현대그린푸드의 그리팅 메디푸드 브랜드가 한국 시니어 케어푸드 시장에서 신장질환용 식단 2종을 포함한 총 58종의 메디푸드를 공식 온라인몰에서 판매 중이며, 2023년 상반기 기준 당뇨·암·신장 질환자용 제품 라인을 보유하여 경쟁사 대비 국내 최다 종류의 케어푸드를 제공하고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https://view.asiae.co.kr/article/2023040508344305685</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현대그린푸드는 한국 시니어 케어푸드 시장을 대상으로 고혈압 환자를 위한 정기 구독형 한식 식단(HMR) 제품을 출시했다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https://www.businesspost.co.kr/BP?command=article_view&amp;num=346299</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현대그린푸드는 1,000억원을 투자해 '그리팅 웰스' 시니어 전용 식자재 브랜드를 출시하며 한국 시니어 케어푸드 시장에 진출했고, 전문 생산 시설 '스마트 푸드센터'를 운영 중이다.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https://www.seoulfn.com/news/articleView.html?idxno=539541</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현대그린푸드는 2025년 상반기 한국 시니어 케어푸드 시장에서 메디푸드 신장질환식단 포함 247종 제품을 보유하며, 메디푸드 매출이 전년 동기 대비 18% 성장했다.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https://www.sentv.co.kr/article/view/sentv202508060036</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현대그린푸드는 2025년 한국 시니어 케어푸드 시장에서 2028년까지 메디푸드 식단 종류를 247종에서 430종으로 70% 확대할 계획이다.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https://www.sentv.co.kr/article/view/sentv202508060036</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현대그린푸드가 한국 시니어 케어푸드 시장에서 고혈압 및 당뇨 맞춤형 식단을 제공하며 대통령표창을 수상했다.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https://www.mk.co.kr/news/business/11454931</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현대그린푸드는 한국 시니어 케어푸드 시장에서 만성질환 노년층용 고단백 식재료 기반 케어푸드 솔루션을 제공하는 '그리팅 웰스' 서비스를 선보이며 시장 공략을 강화하고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https://www.donga.com/news/Economy/article/all/20251013/132550526/2</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현대그린푸드 케어푸드 브랜드 그리팅 당뇨식단(전자레인지 간편 간편식 구독 서비스)으로 한국 시니어 케어푸드 시장에 진입했으며 매달 평균 20%의 성장률을 기록하고 있음.</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https://www.newspim.com/news/view/20220405001166</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현대그린푸드의 케어푸드 브랜드 그리팅 매출이 한국 시니어 케어푸드 시장에서 2023년 상반기 전년 동기 대비 60% 이상 성장했다.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https://biz.newdaily.co.kr/site/data/html/2023/09/13/2023091300087.html</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현대그린푸드의 그리팅 브랜드가 2025년 상반기 한국 시니어 케어푸드 시장에서 메디푸드 매출이 전년 동기 대비 18% 성장했으며, 국내에서 유일하게 다섯 가지 메디푸드 제품군(당뇨, 암, 고혈압, 투석 신장질환자용, 비투석 신장질환자용)을 모두 제조·판매하고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https://www.seoul.co.kr/news/economy/business-news/2025/09/23/20250923500146</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현대그린푸드는 한국 시니어 케어푸드 시장에서 고령층 맞춤형 연화식 케어푸드 브랜드 '그리팅'과 '소프트프로틴' 제품군(16종)을 통해 B2C 판매에 진출했다.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https://www.womaneconomy.co.kr/news/articleView.html?idxno=223210</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현대그린푸드는 2023년 상반기 한국 시니어 케어푸드 시장에서 메디푸드 매출 18% 성장률을 기록했다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https://www.businesspost.co.kr/BP?command=article_view&amp;num=406490</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현대그린푸드의 케어푸드 브랜드 '그리팅'이 2023년 8월 한국 시니어 케어푸드 시장에서 신장질환자용 정기 구독형 HMR 12종을 출시하며, 이는 특수의료용도식품 기준에 맞춘 인(P) 함량 조절 메뉴를 포함한다.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https://www.fnnews.com/news/202308130901460515</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현대그린푸드는 2020년 한국 시니어 케어푸드 시장에 진출하기 위해 1000억 원을 투자해 '스마트 푸드센터'를 설립했으며, 2028년까지 메디푸드 식단을 430종까지 확대할 계획이다.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https://www.seoul.co.kr/news/economy/business-news/2025/09/23/20250923500146</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현대그린푸드는 한국 시니어 케어푸드 시장에서 '그리팅' 브랜드로 당뇨식단 간편식 구독 서비스를 출시했으며, 전자레인지에 2~3분 가열하는 방식으로 제공된다.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https://www.newspim.com/news/view/20220405001166</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현대그린푸드는 한국 시니어 케어푸드 시장에서 케어푸드 전문 브랜드 '그리팅'의 정기구독형 암 환자 식단을 출시했으며, 암환자용 식단형 식품 표준 기준에 맞춰 개발된 특수의료용도품이다.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https://www.mkhealth.co.kr/news/articleView.html?idxno=61432</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현대그린푸드는 한국 시니어 케어푸드 시장에서 '그리팅 웰스' 전문 케어푸드 식당을 통해 일반 고령자와 만성질환자를 위한 고단백 식재료 기반 맞춤형 건강식 서비스를 제공하고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https://www.donga.com/news/Economy/article/all/20251013/132550526/2</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현대그린푸드는 2017년 B2C 연화식 브랜드 '그리팅 소프트'를 출시한 후 2022년 한국 시니어 케어푸드 시장에서 특수의료용도식품 '메디푸드' 라인(당뇨·암·신장 질환식)을 확장하며 경쟁하고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https://www.gokorea.kr/news/articleView.html?idxno=749966</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한국 시니어 케어푸드 시장에서 현대그린푸드 그리팅의 신장질환용 메디푸드 식단은 현재 냉동형으로만 제공되나, 2023년 상반기 중 냉장형 제품 개발을 계획 중이며, 이는 시니어 대상 HMR 시장에서의 제품 다양화 전략으로 분석됨.</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https://view.asiae.co.kr/article/2023040508344305685</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현대그린푸드는 한국 시니어 케어푸드 시장에서 그리팅 영양사의 반찬가게를 통해 연화식 등 맞춤형 건강반찬을 판매하며 오프라인 판매 채널을 확대하고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https://www.etoday.co.kr/news/view/1924966</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현대그린푸드는 2020년 4월 한국 시장에서 시니어 대상 건강식단 브랜드 '그리팅'을 통해 '간편 상차림 패키지'(4종 반찬 세트 6,800원, 9종 반찬 13,000원)를 백화점 팝업스토어에서 판매하며 맞춤형 케어푸드 서비스를 확대하고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https://www.fnnews.com/news/202004060939102468</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현대그린푸드는 한국 시니어 케어푸드 시장에서 맞춤형 건강식단 브랜드 '그리팅'을 통해 연화식 등 시니어 가정간편식(HMR) 제품을 현대백화점 내 오프라인 매장에서 판매하며, 지역 상권 특성(압구정본점·목동점 등 주거 상권)에 맞춰 온 가족이 함께 즐길 수 있는 죽·연화식 등 제품 비중을 20% 확대했다.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https://www.shinailbo.co.kr/news/articleView.html?idxno=1306185</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한국 시니어 케어푸드 시장에서 풀무원은 고령층을 위한 7Days 영양진밥과 영양덮밥소스를 출시하며 부드러운 식감과 영양균형을 강조한 시니어 가정간편식(HMR) 제품을 제공한다.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https://www.fnnews.com/news/202212190832480987</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풀무원의 '풀스케어' 브랜드는 한국 시니어 케어푸드 시장에서 1~3단계 점도 조절 연화식 제품을 통해 씹기·삼키기 어려운 고령자에게 맞춤형 영양을 제공하며 경쟁하고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https://www.gokorea.kr/news/articleView.html?idxno=749966</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풀무원의 한국 시니어 케어푸드 시장용 HMR 제품군 중 '하이비타민D 두툼 떡갈비'와 '하이비타민D &amp; 칼슘함유 두툼 고기완자' 2종이 2023년 12월 새롭게 '고령친화우수식품'에 지정되었다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https://www.fnnews.com/news/202312180954087578</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한국 시니어 케어푸드 시장에서 풀무원은 일반 소비자판매용 카테고리 기준 최다 고령친화우수식품 보유 기업으로 입지를 강화했으며, 최근 5년간 매출이 약 3배 성장했다.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https://prlink.co.kr/newsroom/87057/</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풀무원의 디자인밀 '풀스케어' 연화식 2종('하이비타민D 두툼 떡갈비', '하이비타민D &amp; 칼슘함유 두툼 고기완자')이 한국 시장에서 농림축산식품부 및 해양수산부의 '고령친화우수식품' 지정을 받으며 시장 리더십을 강화했다.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https://news.pulmuone.co.kr/pulmuone/newsroom/viewNewsroom.do?id=3097</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풀무원은 한국 시니어 케어푸드 시장에서 생애주기 맞춤식단 구독 서비스 '디자인밀'을 론칭하여 고령친화식, 질환 관리식 등 맞춤형 HMR 제품을 제공한다.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https://www.womaneconomy.co.kr/news/articleView.html?idxno=223210</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풀무원은 디자인밀 브랜드로 한국 시니어 케어푸드 시장에서 개인 맞춤형 식단 제품을 선보이며, 고령친화식 카테고리 포함 5개 분야로 헬스케어 시장을 확장하고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https://www.fnnews.com/news/202201241048101204</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풀무원푸드머스는 2015년 한국 시니어 케어푸드 시장에서 풀스케어 브랜드를 출시하여 부드러움·영양균형·기호성 기준을 충족하는 시니어 연화식 제품을 공급하고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https://www.mkhealth.co.kr/news/articleView.html?idxno=71900</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한국 시니어 케어푸드 시장에서 풀무원의 디자인밀 '풀스케어' 연화식 제품 2종(하이비타민D 두툼 떡갈비, 하이비타민D &amp; 칼슘함유 두툼 고기완자)이 농림축산식품부 '고령친화우수식품'에 지정되었다.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https://prlink.co.kr/newsroom/87057/</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한국 시니어 케어푸드 시장에서 풀무원 디자인밀의 '7Days 영양진밥'과 '7Days 영양덮밥소스'는 고령친화우수식품 인증을 받은 시니어 HMR 제품으로, 국내산 채소와 풀무원만의 비법 육수를 사용해 영양 균형을 강조한 제품을 출시했다.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https://blog.pulmuone.com/5805</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풀무원 푸드앤컬처는 한국 시니어 케어푸드 시장에서 '지속가능식생활 체험 식단 프로그램'을 통해 혈당 관리용 211 식사법 기반 체험형 HMR 서비스를 제공하고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https://www.donga.com/news/Economy/article/all/20251013/132550526/2</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풀무원의 시니어케어 제품 라인업(연하식, 연화식, 음료 및 영양 간식 등)은 한국 시장에서 최근 5년간 매출이 약 3배 성장했다.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https://news.pulmuone.co.kr/pulmuone/newsroom/viewNewsroom.do?id=3097</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풀무원의 한국 시니어 케어푸드 시장 HMR 제품군이 최근 5년간 매출이 약 3배 성장했다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https://www.fnnews.com/news/202312180954087578</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풀무원은 한국 시니어 케어푸드 시장에서 20개의 고령친화우수식품 제품을 운영하며 최다 보유 기업으로 입지를 강화했다.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https://news.pulmuone.co.kr/pulmuone/newsroom/viewNewsroom.do?id=3097</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풀무원의 시니어 케어푸드 브랜드 디자인밀이 한국 시니어 케어푸드 시장에서 최다 고령친화우수식품(14종)을 보유하고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https://biz.newdaily.co.kr/site/data/html/2023/09/13/2023091300087.html</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풀무원 푸드앤컬처는 한국 시니어 케어푸드 시장을 대상으로 시니어 맞춤형 '지속가능식생활 체험 식단 프로그램'을 도입했으며, 채소·단백질·통곡물 2:1:1 비율의 HMR 식단을 제공한다.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https://www.donga.com/news/Economy/article/all/20251013/132550526/2</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풀무원의 '풀스케어' 브랜드 시니어 HMR 제품 20개(2023년 12월 기준)가 한국 시니어 케어푸드 시장에서 '고령친화우수식품'으로 지정되었다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https://www.fnnews.com/news/202312180954087578</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풀무원이 2015년 B2B 케어푸드 시장 진출 후 2022년 디자인밀 플랫폼으로 고령친화식 개인 맞춤형 식단 사업을 확장해 한국 시니어 케어푸드 시장에서 경쟁 중임.</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https://www.newspim.com/news/view/20220405001166</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CJ프레시웨이의 헬씨누리는 2023년 한국 시니어 케어푸드 시장에서 전년 대비 29% 매출 성장을 기록하며, 최근 5년간 연평균 25% 성장세를 유지하고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https://www.asiae.co.kr/article/2024012302150054205</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CJ프레시웨이는 헬씨누리 브랜드를 통해 시니어 가정간편식(HMR) 제품군을 확대하고 유치원·어린이집 급식사업 수주에 적극적이며, 한국 시니어 케어푸드 시장에서 B2C 사업 확장을 추진 중이다.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https://www.fnnews.com/news/202201241048101204</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CJ프레시웨이는 2015년 한국 시니어 케어푸드 시장에서 '헬씨누리' 케어푸드 전문 브랜드를 론칭한 후 2025년 6월 노인요양시설 이동급식 기업 '서진푸드'와 협약해 종합 솔루션 사업을 확대했다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https://www.donga.com/news/Economy/article/all/20251013/132550526/2</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CJ프레시웨이의 시니어 특화 케어푸드 브랜드 '헬씨누리'는 2021년부터 3년간 연평균 123% 매출 성장을 기록하며 한국 시니어 케어푸드 시장에서 성장 중이다.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https://www.seoulfn.com/news/articleView.html?idxno=539541</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CJ프레시웨이 헬씨누리의 연화식 덮밥소스 및 반찬류는 한국식품연구원의 고령친화식품 KS인증(KS H 4897)과 한국식품산업클러스터진흥원의 고령친화우수식품 인증을 획득했다.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https://www.asiae.co.kr/article/2024012302150054205</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CJ프레시웨이의 시니어 타깃 브랜드 헬씨누리 케어푸드 시니어 연화식 세트 매출이 한국 시니어 케어푸드 시장에서 올해 상반기 전년 동기 대비 32% 성장했다.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https://biz.newdaily.co.kr/site/data/html/2023/09/13/2023091300087.html</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CJ프레시웨이는 한국 시니어 케어푸드 시장에서 '헬씨누리 건강식단'을 주 1회 5일치 식단 배송 서비스로 제공하며, 연화식 및 저염식 등 고령친화식품 개발을 통해 시니어 맞춤형 케어푸드 품목을 확대하고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https://www.shinailbo.co.kr/news/articleView.html?idxno=1439074</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CJ프레시웨이 헬씨누리는 2019~2022년 한국 수도권 노인복지시설 식자재 유통 시장에서 4년 연속 점유율 1위를 차지했다.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https://www.asiae.co.kr/article/2024012302150054205</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CJ프레시웨이 헬씨누리의 케어푸드 간편식 세트 '소담한상'은 한국 시니어 케어푸드 시장에서 실온 보관 및 간편 조리 기능을 강조한 제품으로 출시되었다.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https://www.asiae.co.kr/article/2024012302150054205</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2015년 한국 시니어 케어푸드 시장에서 CJ프레시웨이는 '헬씨누리' 브랜드로 케어푸드 전문 시장 진출</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https://www.mkhealth.co.kr/news/articleView.html?idxno=71900</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CJ프레시웨이는 한국 시니어 케어푸드 시장에서 노인요양시설용 이동급식 케어푸드 솔루션을 확대하기 위해 서진푸드와 업무협약을 체결했다.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https://www.donga.com/news/Economy/article/all/20251013/132550526/2</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CJ프레시웨이는 한국 시니어 케어푸드 시장에서 요양시설, 병원, 복지관 대상 B2B 연화식 공급 사업에 집중하고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https://www.newspim.com/news/view/20220405001166</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CJ프레시웨이의 '헬씨누리' 케어푸드 간편식 세트 '소담한상'은 한국 시니어 케어푸드 시장에서 칼슘 강화 '튼튼한상'과 단백질 강화 '고기한상' 2종으로 출시되어 B2B 유통 경로를 통해 경쟁하고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https://www.gokorea.kr/news/articleView.html?idxno=749966</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CJ프레시웨이는 2015년 한국 시니어 케어푸드 시장에서 헬씨누리 브랜드를 론칭하여 노인복지시설 맞춤형 건강 식단 급식 사업을 주력으로 확대하고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https://www.mkhealth.co.kr/news/articleView.html?idxno=71900</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2025년 한국 시니어 케어푸드 시장에서 CJ프레시웨이는 서진푸드와 협력해 수도권 150개 요양시설에 이동급식 서비스 제공</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https://www.mkhealth.co.kr/news/articleView.html?idxno=71900</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아워홈의 케어푸드 브랜드 케어플러스 제품이 한국 시니어 케어푸드 시장에서 2023년 1분기 매출이 전년 동기 대비 약 52% 상승했다.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https://biz.newdaily.co.kr/site/data/html/2023/09/13/2023091300087.html</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아워홈은 한국 시니어 케어푸드 시장에서 '케어플러스' 브랜드로 전국 요양원, 병원, 어린이집에 연화식 B2B 공급 서비스를 운영 중이다.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https://www.newspim.com/news/view/20220405001166</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2021년 한국 시니어 케어푸드 시장에서 아워홈은 '케어플러스' 브랜드로 시장 참여</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https://www.mkhealth.co.kr/news/articleView.html?idxno=71900</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아워홈의 케어플러스 매출은 지난 5년간 연평균 30% 이상 성장했으며, 2023년 기준 2022년 대비 152% 증가해 한국 시니어 케어푸드 시장에서 두각을 나타내고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https://www.seoulfn.com/news/articleView.html?idxno=539541</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아워홈은 한국 시니어 케어푸드 시장에서 푸드테크 기반의 맞춤형 식품(메디케어 등) 사업 확대를 통해 식품 혁신을 견인하고 있으며, 2022년부터 연구 개발(R&amp;D) 투자를 본격화하고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https://www.wolyo.co.kr/news/articleView.html?idxno=263140</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3차/애매</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아워홈은 한국 시니어 케어푸드 시장에서 푸드테크 기반 구독형 개인 맞춤 헬스케어 프로그램 '캘리스랩'을 통해 맞춤형 성장 사업 확대에 주력하고 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https://www.wolyo.co.kr/news/articleView.html?idxno=263140</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b/>
                <w:color w:val="1B8A8F"/>
                <w:sz w:val="15"/>
              </w:rPr>
              <w:t>3차/채택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222222"/>
                <w:sz w:val="15"/>
              </w:rPr>
              <w:t>매일유업은 한국 시니어 케어푸드 시장을 겨냥하여 메디웰 브랜드를 통해 음료 형태의 케어푸드 제품군(균형 영양 조제 식품, 혼합 음료, 당뇨환자용 영양 조제 식품)을 확대 출시했다.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shd w:val="clear" w:color="auto" w:fill="F5F8F8"/>
          </w:tcPr>
          <w:p>
            <w:r>
              <w:rPr>
                <w:rFonts w:ascii="맑은 고딕" w:hAnsi="맑은 고딕" w:eastAsia="맑은 고딕"/>
                <w:color w:val="5A6B73"/>
                <w:sz w:val="13"/>
              </w:rPr>
              <w:t>https://www.womaneconomy.co.kr/news/articleView.html?idxno=223210</w:t>
            </w:r>
          </w:p>
          <w:p>
            <w:r>
              <w:rPr>
                <w:rFonts w:ascii="맑은 고딕" w:hAnsi="맑은 고딕" w:eastAsia="맑은 고딕"/>
                <w:color w:val="5A6B73"/>
                <w:sz w:val="13"/>
              </w:rPr>
              <w:t>(조회일: 2026-07-28)</w:t>
            </w:r>
          </w:p>
        </w:tc>
      </w:tr>
      <w:tr>
        <w:tc>
          <w:tcPr>
            <w:tcW w:type="dxa" w:w="115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b/>
                <w:color w:val="1B8A8F"/>
                <w:sz w:val="15"/>
              </w:rPr>
              <w:t>2차/채택</w:t>
            </w:r>
          </w:p>
        </w:tc>
        <w:tc>
          <w:tcPr>
            <w:tcW w:type="dxa" w:w="5456"/>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222222"/>
                <w:sz w:val="15"/>
              </w:rPr>
              <w:t>매일유업은 한국 시니어 케어푸드 시장에서 '메디웰' 브랜드를 통해 고령자용 영양보충음료 HMR을 공급하며, '오스트라라이프' 제품을 출시했다</w:t>
            </w:r>
          </w:p>
        </w:tc>
        <w:tc>
          <w:tcPr>
            <w:tcW w:type="dxa" w:w="2700"/>
            <w:vAlign w:val="top"/>
            <w:tcBorders>
              <w:top w:val="single" w:sz="4" w:color="C9DADB"/>
              <w:left w:val="nil"/>
              <w:bottom w:val="single" w:sz="4" w:color="C9DADB"/>
              <w:right w:val="nil"/>
            </w:tcBorders>
            <w:tcMar>
              <w:top w:w="70" w:type="dxa"/>
              <w:bottom w:w="70" w:type="dxa"/>
              <w:start w:w="110" w:type="dxa"/>
              <w:end w:w="110" w:type="dxa"/>
            </w:tcMar>
          </w:tcPr>
          <w:p>
            <w:r>
              <w:rPr>
                <w:rFonts w:ascii="맑은 고딕" w:hAnsi="맑은 고딕" w:eastAsia="맑은 고딕"/>
                <w:color w:val="5A6B73"/>
                <w:sz w:val="13"/>
              </w:rPr>
              <w:t>https://www.iconsumer.or.kr/news/articleView.html?idxno=27404</w:t>
            </w:r>
          </w:p>
          <w:p>
            <w:r>
              <w:rPr>
                <w:rFonts w:ascii="맑은 고딕" w:hAnsi="맑은 고딕" w:eastAsia="맑은 고딕"/>
                <w:color w:val="5A6B73"/>
                <w:sz w:val="13"/>
              </w:rPr>
              <w:t>(조회일: 2026-07-28)</w:t>
            </w:r>
          </w:p>
        </w:tc>
      </w:tr>
    </w:tbl>
    <w:sectPr w:rsidR="00FC693F" w:rsidRPr="0006063C" w:rsidSect="00034616">
      <w:footerReference w:type="default" r:id="rId9"/>
      <w:pgSz w:w="11906" w:h="16838"/>
      <w:pgMar w:top="1200" w:right="1300" w:bottom="1200" w:left="13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olor w:val="8A9AA0"/>
        <w:sz w:val="14"/>
      </w:rPr>
      <w:t xml:space="preserve">시니어 가정간편식(HMR) — 한국 시니어 케어푸드 시장 기획서 초안  |  </w:t>
    </w:r>
    <w:r>
      <w:rPr>
        <w:rFonts w:ascii="맑은 고딕" w:hAnsi="맑은 고딕" w:eastAsia="맑은 고딕"/>
        <w:color w:val="8A9AA0"/>
        <w:sz w:val="14"/>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