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B8A8F"/>
          <w:sz w:val="18"/>
        </w:rPr>
        <w:t>사업 기획서 초안  |  DRAFT</w:t>
      </w:r>
    </w:p>
    <w:p>
      <w:pPr>
        <w:spacing w:before="120"/>
      </w:pPr>
      <w:r>
        <w:rPr>
          <w:rFonts w:ascii="맑은 고딕" w:hAnsi="맑은 고딕" w:eastAsia="맑은 고딕"/>
          <w:b/>
          <w:color w:val="0F4C5C"/>
          <w:sz w:val="52"/>
        </w:rPr>
        <w:t>친환경 포장재</w:t>
      </w:r>
    </w:p>
    <w:p>
      <w:pPr>
        <w:spacing w:after="360"/>
      </w:pPr>
      <w:r>
        <w:rPr>
          <w:rFonts w:ascii="맑은 고딕" w:hAnsi="맑은 고딕" w:eastAsia="맑은 고딕"/>
          <w:color w:val="5A6B73"/>
          <w:sz w:val="30"/>
        </w:rPr>
        <w:t>유럽 B2B 유통 시장 시장 진입 기획</w:t>
      </w:r>
    </w:p>
    <w:tbl>
      <w:tblPr>
        <w:tblW w:type="auto" w:w="0"/>
        <w:tblLayout w:type="fixed"/>
        <w:tblLook w:firstColumn="1" w:firstRow="1" w:lastColumn="0" w:lastRow="0" w:noHBand="0" w:noVBand="1" w:val="04A0"/>
        <w:tblW w:type="dxa" w:w="9306"/>
        <w:tblLayout w:type="fixed"/>
      </w:tblPr>
      <w:tblGrid>
        <w:gridCol w:w="2200"/>
        <w:gridCol w:w="7106"/>
      </w:tblGrid>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목표 시장</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유럽 B2B 유통 시장</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작성일</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2026-07-29</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작성</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AI 서비스 기획 보조 Multi-Agent — 자동 생성 초안, 사람 검수 필요</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수정 차수</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1차 수정본</w:t>
            </w:r>
          </w:p>
        </w:tc>
      </w:tr>
    </w:tbl>
    <w:p/>
    <w:p>
      <w:pPr>
        <w:pStyle w:val="Heading1"/>
        <w:pBdr>
          <w:bottom w:val="single" w:color="1B8A8F" w:sz="12" w:space="4"/>
        </w:pBdr>
        <w:spacing w:before="360" w:after="160"/>
      </w:pPr>
      <w:r>
        <w:rPr>
          <w:rFonts w:ascii="맑은 고딕" w:hAnsi="맑은 고딕" w:eastAsia="맑은 고딕"/>
          <w:b/>
          <w:color w:val="1B8A8F"/>
          <w:sz w:val="30"/>
        </w:rPr>
        <w:t xml:space="preserve">01  </w:t>
      </w:r>
      <w:r>
        <w:rPr>
          <w:rFonts w:ascii="맑은 고딕" w:hAnsi="맑은 고딕" w:eastAsia="맑은 고딕"/>
          <w:b/>
          <w:color w:val="0F4C5C"/>
          <w:sz w:val="30"/>
        </w:rPr>
        <w:t>개요 (Executive Summary)</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02"/>
        <w:gridCol w:w="3102"/>
        <w:gridCol w:w="3102"/>
      </w:tblGrid>
      <w:tr>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TAM</w:t>
            </w:r>
          </w:p>
          <w:p>
            <w:pPr>
              <w:jc w:val="center"/>
            </w:pPr>
            <w:r>
              <w:rPr>
                <w:rFonts w:ascii="맑은 고딕" w:hAnsi="맑은 고딕" w:eastAsia="맑은 고딕"/>
                <w:b/>
                <w:color w:val="0F4C5C"/>
                <w:sz w:val="30"/>
              </w:rPr>
              <w:t>$116.1억</w:t>
            </w:r>
          </w:p>
          <w:p>
            <w:pPr>
              <w:jc w:val="center"/>
            </w:pPr>
            <w:r>
              <w:rPr>
                <w:rFonts w:ascii="맑은 고딕" w:hAnsi="맑은 고딕" w:eastAsia="맑은 고딕"/>
                <w:color w:val="5A6B73"/>
                <w:sz w:val="15"/>
              </w:rPr>
              <w:t>2022년 시장 규모 기준 (Top-down)</w:t>
            </w:r>
          </w:p>
        </w:tc>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SAM</w:t>
            </w:r>
          </w:p>
          <w:p>
            <w:pPr>
              <w:jc w:val="center"/>
            </w:pPr>
            <w:r>
              <w:rPr>
                <w:rFonts w:ascii="맑은 고딕" w:hAnsi="맑은 고딕" w:eastAsia="맑은 고딕"/>
                <w:b/>
                <w:color w:val="0F4C5C"/>
                <w:sz w:val="30"/>
              </w:rPr>
              <w:t>$23.2억</w:t>
            </w:r>
          </w:p>
          <w:p>
            <w:pPr>
              <w:jc w:val="center"/>
            </w:pPr>
            <w:r>
              <w:rPr>
                <w:rFonts w:ascii="맑은 고딕" w:hAnsi="맑은 고딕" w:eastAsia="맑은 고딕"/>
                <w:color w:val="5A6B73"/>
                <w:sz w:val="15"/>
              </w:rPr>
              <w:t>TAM 중 유효 시장 세그먼트</w:t>
            </w:r>
          </w:p>
        </w:tc>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SOM</w:t>
            </w:r>
          </w:p>
          <w:p>
            <w:pPr>
              <w:jc w:val="center"/>
            </w:pPr>
            <w:r>
              <w:rPr>
                <w:rFonts w:ascii="맑은 고딕" w:hAnsi="맑은 고딕" w:eastAsia="맑은 고딕"/>
                <w:b/>
                <w:color w:val="0F4C5C"/>
                <w:sz w:val="30"/>
              </w:rPr>
              <w:t>$1.2억</w:t>
            </w:r>
          </w:p>
          <w:p>
            <w:pPr>
              <w:jc w:val="center"/>
            </w:pPr>
            <w:r>
              <w:rPr>
                <w:rFonts w:ascii="맑은 고딕" w:hAnsi="맑은 고딕" w:eastAsia="맑은 고딕"/>
                <w:color w:val="5A6B73"/>
                <w:sz w:val="15"/>
              </w:rPr>
              <w:t>초기 확보 가능 목표 (SAM 대비 비중)</w:t>
            </w:r>
          </w:p>
        </w:tc>
      </w:tr>
    </w:tbl>
    <w:p/>
    <w:p>
      <w:pPr>
        <w:spacing w:line="300" w:lineRule="exact"/>
      </w:pPr>
      <w:r>
        <w:rPr>
          <w:rFonts w:ascii="맑은 고딕" w:hAnsi="맑은 고딕" w:eastAsia="맑은 고딕"/>
          <w:color w:val="222222"/>
          <w:sz w:val="20"/>
        </w:rPr>
        <w:t>유럽 B</w:t>
      </w:r>
      <w:r>
        <w:rPr>
          <w:rFonts w:ascii="맑은 고딕" w:hAnsi="맑은 고딕" w:eastAsia="맑은 고딕"/>
          <w:b/>
          <w:color w:val="0F4C5C"/>
          <w:sz w:val="20"/>
        </w:rPr>
        <w:t>2</w:t>
      </w:r>
      <w:r>
        <w:rPr>
          <w:rFonts w:ascii="맑은 고딕" w:hAnsi="맑은 고딕" w:eastAsia="맑은 고딕"/>
          <w:color w:val="222222"/>
          <w:sz w:val="20"/>
        </w:rPr>
        <w:t xml:space="preserve">B 친환경 포장재 시장 규모는 TAM 기준 </w:t>
      </w:r>
      <w:r>
        <w:rPr>
          <w:rFonts w:ascii="맑은 고딕" w:hAnsi="맑은 고딕" w:eastAsia="맑은 고딕"/>
          <w:b/>
          <w:color w:val="0F4C5C"/>
          <w:sz w:val="20"/>
        </w:rPr>
        <w:t>116.1억</w:t>
      </w:r>
      <w:r>
        <w:rPr>
          <w:rFonts w:ascii="맑은 고딕" w:hAnsi="맑은 고딕" w:eastAsia="맑은 고딕"/>
          <w:color w:val="222222"/>
          <w:sz w:val="20"/>
        </w:rPr>
        <w:t xml:space="preserve"> USD이며</w:t>
      </w:r>
      <w:r>
        <w:rPr>
          <w:rFonts w:ascii="맑은 고딕" w:hAnsi="맑은 고딕" w:eastAsia="맑은 고딕"/>
          <w:b/>
          <w:color w:val="0F4C5C"/>
          <w:sz w:val="20"/>
        </w:rPr>
        <w:t>,</w:t>
      </w:r>
      <w:r>
        <w:rPr>
          <w:rFonts w:ascii="맑은 고딕" w:hAnsi="맑은 고딕" w:eastAsia="맑은 고딕"/>
          <w:color w:val="222222"/>
          <w:sz w:val="20"/>
        </w:rPr>
        <w:t xml:space="preserve"> SAM(</w:t>
      </w:r>
      <w:r>
        <w:rPr>
          <w:rFonts w:ascii="맑은 고딕" w:hAnsi="맑은 고딕" w:eastAsia="맑은 고딕"/>
          <w:b/>
          <w:color w:val="0F4C5C"/>
          <w:sz w:val="20"/>
        </w:rPr>
        <w:t>23.2억</w:t>
      </w:r>
      <w:r>
        <w:rPr>
          <w:rFonts w:ascii="맑은 고딕" w:hAnsi="맑은 고딕" w:eastAsia="맑은 고딕"/>
          <w:color w:val="222222"/>
          <w:sz w:val="20"/>
        </w:rPr>
        <w:t xml:space="preserve"> USD) 대비 SOM(</w:t>
      </w:r>
      <w:r>
        <w:rPr>
          <w:rFonts w:ascii="맑은 고딕" w:hAnsi="맑은 고딕" w:eastAsia="맑은 고딕"/>
          <w:b/>
          <w:color w:val="0F4C5C"/>
          <w:sz w:val="20"/>
        </w:rPr>
        <w:t>1.2억</w:t>
      </w:r>
      <w:r>
        <w:rPr>
          <w:rFonts w:ascii="맑은 고딕" w:hAnsi="맑은 고딕" w:eastAsia="맑은 고딕"/>
          <w:color w:val="222222"/>
          <w:sz w:val="20"/>
        </w:rPr>
        <w:t xml:space="preserve"> USD)은 </w:t>
      </w:r>
      <w:r>
        <w:rPr>
          <w:rFonts w:ascii="맑은 고딕" w:hAnsi="맑은 고딕" w:eastAsia="맑은 고딕"/>
          <w:b/>
          <w:color w:val="0F4C5C"/>
          <w:sz w:val="20"/>
        </w:rPr>
        <w:t>5.2%</w:t>
      </w:r>
      <w:r>
        <w:rPr>
          <w:rFonts w:ascii="맑은 고딕" w:hAnsi="맑은 고딕" w:eastAsia="맑은 고딕"/>
          <w:color w:val="222222"/>
          <w:sz w:val="20"/>
        </w:rPr>
        <w:t xml:space="preserve"> 점유 가능 목표 시장으로 분석됩니다. PESTEL 분석 결과 </w:t>
      </w:r>
      <w:r>
        <w:rPr>
          <w:rFonts w:ascii="맑은 고딕" w:hAnsi="맑은 고딕" w:eastAsia="맑은 고딕"/>
          <w:b/>
          <w:color w:val="0F4C5C"/>
          <w:sz w:val="20"/>
        </w:rPr>
        <w:t>6</w:t>
      </w:r>
      <w:r>
        <w:rPr>
          <w:rFonts w:ascii="맑은 고딕" w:hAnsi="맑은 고딕" w:eastAsia="맑은 고딕"/>
          <w:color w:val="222222"/>
          <w:sz w:val="20"/>
        </w:rPr>
        <w:t>개 변수(정치·경제·사회·기술·환경·법률)에서 규제 강화(정치/법률)와 소비자 선호 변화(사회)가 주요 기회로 식별되었으나</w:t>
      </w:r>
      <w:r>
        <w:rPr>
          <w:rFonts w:ascii="맑은 고딕" w:hAnsi="맑은 고딕" w:eastAsia="맑은 고딕"/>
          <w:b/>
          <w:color w:val="0F4C5C"/>
          <w:sz w:val="20"/>
        </w:rPr>
        <w:t>,</w:t>
      </w:r>
      <w:r>
        <w:rPr>
          <w:rFonts w:ascii="맑은 고딕" w:hAnsi="맑은 고딕" w:eastAsia="맑은 고딕"/>
          <w:color w:val="222222"/>
          <w:sz w:val="20"/>
        </w:rPr>
        <w:t xml:space="preserve"> 원자재 가격 변동성(경제)과 기술 진입 장벽(기술)이 위협 요인으로 존재합니다. 직접 경쟁사 </w:t>
      </w:r>
      <w:r>
        <w:rPr>
          <w:rFonts w:ascii="맑은 고딕" w:hAnsi="맑은 고딕" w:eastAsia="맑은 고딕"/>
          <w:b/>
          <w:color w:val="0F4C5C"/>
          <w:sz w:val="20"/>
        </w:rPr>
        <w:t>5</w:t>
      </w:r>
      <w:r>
        <w:rPr>
          <w:rFonts w:ascii="맑은 고딕" w:hAnsi="맑은 고딕" w:eastAsia="맑은 고딕"/>
          <w:color w:val="222222"/>
          <w:sz w:val="20"/>
        </w:rPr>
        <w:t xml:space="preserve">개 포함 총 </w:t>
      </w:r>
      <w:r>
        <w:rPr>
          <w:rFonts w:ascii="맑은 고딕" w:hAnsi="맑은 고딕" w:eastAsia="맑은 고딕"/>
          <w:b/>
          <w:color w:val="0F4C5C"/>
          <w:sz w:val="20"/>
        </w:rPr>
        <w:t>7</w:t>
      </w:r>
      <w:r>
        <w:rPr>
          <w:rFonts w:ascii="맑은 고딕" w:hAnsi="맑은 고딕" w:eastAsia="맑은 고딕"/>
          <w:color w:val="222222"/>
          <w:sz w:val="20"/>
        </w:rPr>
        <w:t>개 경쟁사가 활동 중인 포화 시장에서 차별화된 생분해 소재 기술과 B</w:t>
      </w:r>
      <w:r>
        <w:rPr>
          <w:rFonts w:ascii="맑은 고딕" w:hAnsi="맑은 고딕" w:eastAsia="맑은 고딕"/>
          <w:b/>
          <w:color w:val="0F4C5C"/>
          <w:sz w:val="20"/>
        </w:rPr>
        <w:t>2</w:t>
      </w:r>
      <w:r>
        <w:rPr>
          <w:rFonts w:ascii="맑은 고딕" w:hAnsi="맑은 고딕" w:eastAsia="맑은 고딕"/>
          <w:color w:val="222222"/>
          <w:sz w:val="20"/>
        </w:rPr>
        <w:t>B 유통 파트너십을 통한 시장 진입이 필수적입니다.</w:t>
      </w:r>
    </w:p>
    <w:p>
      <w:pPr>
        <w:pStyle w:val="Heading1"/>
        <w:pBdr>
          <w:bottom w:val="single" w:color="1B8A8F" w:sz="12" w:space="4"/>
        </w:pBdr>
        <w:spacing w:before="360" w:after="160"/>
      </w:pPr>
      <w:r>
        <w:rPr>
          <w:rFonts w:ascii="맑은 고딕" w:hAnsi="맑은 고딕" w:eastAsia="맑은 고딕"/>
          <w:b/>
          <w:color w:val="1B8A8F"/>
          <w:sz w:val="30"/>
        </w:rPr>
        <w:t xml:space="preserve">02  </w:t>
      </w:r>
      <w:r>
        <w:rPr>
          <w:rFonts w:ascii="맑은 고딕" w:hAnsi="맑은 고딕" w:eastAsia="맑은 고딕"/>
          <w:b/>
          <w:color w:val="0F4C5C"/>
          <w:sz w:val="30"/>
        </w:rPr>
        <w:t>시장 규모 분석 (TAM · SAM · SOM)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구분</w:t>
            </w:r>
          </w:p>
        </w:tc>
        <w:tc>
          <w:tcPr>
            <w:tcW w:type="dxa" w:w="23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규모 (USD)</w:t>
            </w:r>
          </w:p>
        </w:tc>
        <w:tc>
          <w:tcPr>
            <w:tcW w:type="dxa" w:w="16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산정 방식</w:t>
            </w:r>
          </w:p>
        </w:tc>
        <w:tc>
          <w:tcPr>
            <w:tcW w:type="dxa" w:w="410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정의</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TAM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116.1억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시장 전체 규모</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SAM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23.2억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TAM 중 유효 시장 세그먼트</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SOM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1.2억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신규 진입자의 초기 확보 목표 시장</w:t>
            </w:r>
          </w:p>
        </w:tc>
      </w:tr>
    </w:tbl>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가정 및 근거</w:t>
      </w:r>
    </w:p>
    <w:p>
      <w:pPr>
        <w:pStyle w:val="ListBullet"/>
      </w:pPr>
      <w:r>
        <w:rPr>
          <w:rFonts w:ascii="맑은 고딕" w:hAnsi="맑은 고딕" w:eastAsia="맑은 고딕"/>
          <w:b/>
          <w:color w:val="0F4C5C"/>
          <w:sz w:val="20"/>
        </w:rPr>
        <w:t xml:space="preserve">[Top-down] TAM=11,613,000,000 USD [원문 116.1억 x 100,000,000] </w:t>
      </w:r>
      <w:r>
        <w:rPr>
          <w:rFonts w:ascii="맑은 고딕" w:hAnsi="맑은 고딕" w:eastAsia="맑은 고딕"/>
          <w:color w:val="222222"/>
          <w:sz w:val="20"/>
        </w:rPr>
        <w:t>(2025 (예측치) 기준, 근거: "유럽은 2025년 글로벌 친환경 포장재 시장에서 32.08% 점유율을 차지하며 116.13억 달러 규모를 기록했고, 2026-2034년 기간 동안 연평균 7.83% 성장률(CAGR)로 확대될 전망이다")</w:t>
      </w:r>
    </w:p>
    <w:p>
      <w:pPr>
        <w:pStyle w:val="ListBullet"/>
      </w:pPr>
      <w:r>
        <w:rPr>
          <w:rFonts w:ascii="맑은 고딕" w:hAnsi="맑은 고딕" w:eastAsia="맑은 고딕"/>
          <w:b/>
          <w:color w:val="0F4C5C"/>
          <w:sz w:val="20"/>
        </w:rPr>
        <w:t xml:space="preserve">[Top-down] SAM 비중=20.00%  —  </w:t>
      </w:r>
      <w:r>
        <w:rPr>
          <w:rFonts w:ascii="맑은 고딕" w:hAnsi="맑은 고딕" w:eastAsia="맑은 고딕"/>
          <w:color w:val="222222"/>
          <w:sz w:val="20"/>
        </w:rPr>
        <w:t>유럽 B2B 유통 시장은 유럽 전체 친환경 포장재 시장의 주요 세그먼트 중 하나이며, 2차 fact에서 언급된 2025년 기준 116.13억 달러 규모의 20%를 차지한다고 추정. 이 비율은 유럽 내 영국·독일·프랑스 등 주요 국가의 B2B 수요 증가 추세(3차 fact)와 전자상거래 부문의 친환경 포장 채택(3차 fact)을 반영한 업계 일반적 추정치이며, 별도 출처 없음</w:t>
      </w:r>
    </w:p>
    <w:p>
      <w:pPr>
        <w:pStyle w:val="ListBullet"/>
      </w:pPr>
      <w:r>
        <w:rPr>
          <w:rFonts w:ascii="맑은 고딕" w:hAnsi="맑은 고딕" w:eastAsia="맑은 고딕"/>
          <w:b/>
          <w:color w:val="0F4C5C"/>
          <w:sz w:val="20"/>
        </w:rPr>
        <w:t xml:space="preserve">[Top-down] SOM 비중=5.00%  —  </w:t>
      </w:r>
      <w:r>
        <w:rPr>
          <w:rFonts w:ascii="맑은 고딕" w:hAnsi="맑은 고딕" w:eastAsia="맑은 고딕"/>
          <w:color w:val="222222"/>
          <w:sz w:val="20"/>
        </w:rPr>
        <w:t>신규 진입자가 3~5년 내 SAM에서 확보 가능한 점유율은 통상 1~10% 수준으로, 중간값인 5%를 적용. 이는 유럽의 엄격한 규정과 경쟁 환경(3차 fact 다수), 기존 업체들의 기술 선도성(독일 KHS그룹, 오스트리아 그레이너 패키징 사례 등 3차 fact)을 고려한 업계 일반적 추정치이며, 별도 출처 없음</w:t>
      </w:r>
    </w:p>
    <w:p>
      <w:pPr>
        <w:pStyle w:val="ListBullet"/>
      </w:pPr>
      <w:r>
        <w:rPr>
          <w:rFonts w:ascii="맑은 고딕" w:hAnsi="맑은 고딕" w:eastAsia="맑은 고딕"/>
          <w:b/>
          <w:color w:val="0F4C5C"/>
          <w:sz w:val="20"/>
        </w:rPr>
        <w:t xml:space="preserve">[Bottom-up] 미계산  —  </w:t>
      </w:r>
      <w:r>
        <w:rPr>
          <w:rFonts w:ascii="맑은 고딕" w:hAnsi="맑은 고딕" w:eastAsia="맑은 고딕"/>
          <w:color w:val="222222"/>
          <w:sz w:val="20"/>
        </w:rPr>
        <w:t>사업모델 파라미터(잠재고객 수, 단가, 목표 확보율)가 입력되지 않음. 웹검색 fact만으로는 이 값을 알 수 없어 사용자 입력이 필요함.</w:t>
      </w:r>
    </w:p>
    <w:p>
      <w:pPr>
        <w:pStyle w:val="Heading1"/>
        <w:pBdr>
          <w:bottom w:val="single" w:color="1B8A8F" w:sz="12" w:space="4"/>
        </w:pBdr>
        <w:spacing w:before="360" w:after="160"/>
      </w:pPr>
      <w:r>
        <w:rPr>
          <w:rFonts w:ascii="맑은 고딕" w:hAnsi="맑은 고딕" w:eastAsia="맑은 고딕"/>
          <w:b/>
          <w:color w:val="1B8A8F"/>
          <w:sz w:val="30"/>
        </w:rPr>
        <w:t xml:space="preserve">03  </w:t>
      </w:r>
      <w:r>
        <w:rPr>
          <w:rFonts w:ascii="맑은 고딕" w:hAnsi="맑은 고딕" w:eastAsia="맑은 고딕"/>
          <w:b/>
          <w:color w:val="0F4C5C"/>
          <w:sz w:val="30"/>
        </w:rPr>
        <w:t>PESTEL 환경분석</w:t>
      </w:r>
    </w:p>
    <w:p>
      <w:pPr>
        <w:pStyle w:val="Heading2"/>
        <w:spacing w:before="220" w:after="100"/>
      </w:pPr>
      <w:r>
        <w:rPr>
          <w:rFonts w:ascii="맑은 고딕" w:hAnsi="맑은 고딕" w:eastAsia="맑은 고딕"/>
          <w:b/>
          <w:color w:val="FFFFFF"/>
          <w:sz w:val="22"/>
          <w:shd w:val="clear" w:color="auto" w:fill="1B8A8F"/>
        </w:rPr>
        <w:t xml:space="preserve"> P </w:t>
      </w:r>
      <w:r>
        <w:rPr>
          <w:rFonts w:ascii="맑은 고딕" w:hAnsi="맑은 고딕" w:eastAsia="맑은 고딕"/>
          <w:b/>
          <w:color w:val="0F4C5C"/>
          <w:sz w:val="22"/>
        </w:rPr>
        <w:t xml:space="preserve">  Political — 정치적 환경</w:t>
      </w:r>
    </w:p>
    <w:p>
      <w:pPr>
        <w:spacing w:line="300" w:lineRule="exact"/>
      </w:pPr>
      <w:r>
        <w:rPr>
          <w:rFonts w:ascii="맑은 고딕" w:hAnsi="맑은 고딕" w:eastAsia="맑은 고딕"/>
          <w:color w:val="222222"/>
          <w:sz w:val="20"/>
        </w:rPr>
        <w:t>EU는 2021년 일회용 플라스틱 사용 금지 법안 통과와 2023년 PPWR(포장·포장폐기물 규정) 도입을 통해 친환경 포장재 개발을 가속화하고 있다. 그러나 PPWR 법안의 일부 보완 조항 미통과로 실효성에 대한 논란이 존재한다. 이러한 정책들은 재활용 촉진 및 폐기물 감소를 통해 유럽 포장재 시장 확장에 기여하고 있다.</w:t>
      </w:r>
    </w:p>
    <w:p>
      <w:pPr>
        <w:pStyle w:val="Heading2"/>
        <w:spacing w:before="220" w:after="100"/>
      </w:pPr>
      <w:r>
        <w:rPr>
          <w:rFonts w:ascii="맑은 고딕" w:hAnsi="맑은 고딕" w:eastAsia="맑은 고딕"/>
          <w:b/>
          <w:color w:val="FFFFFF"/>
          <w:sz w:val="22"/>
          <w:shd w:val="clear" w:color="auto" w:fill="1B8A8F"/>
        </w:rPr>
        <w:t xml:space="preserve"> E </w:t>
      </w:r>
      <w:r>
        <w:rPr>
          <w:rFonts w:ascii="맑은 고딕" w:hAnsi="맑은 고딕" w:eastAsia="맑은 고딕"/>
          <w:b/>
          <w:color w:val="0F4C5C"/>
          <w:sz w:val="22"/>
        </w:rPr>
        <w:t xml:space="preserve">  Economic — 경제적 환경</w:t>
      </w:r>
    </w:p>
    <w:p>
      <w:pPr>
        <w:spacing w:line="300" w:lineRule="exact"/>
      </w:pPr>
      <w:r>
        <w:rPr>
          <w:rFonts w:ascii="맑은 고딕" w:hAnsi="맑은 고딕" w:eastAsia="맑은 고딕"/>
          <w:color w:val="222222"/>
          <w:sz w:val="20"/>
        </w:rPr>
        <w:t>유럽 친환경 포장재 시장은 2025년 116.13억 달러 규모로 글로벌 시장의 32.08% 점유율을 기록하며, 2026-2034년 기간 동안 연평균 7.83% 성장이 예상된다. 종이 제품 중심의 재활용 원료 포장이 높은 비용 효율성으로 시장 성장을 주도하고 있으나, 1인당 연간 180kg의 포장 폐기물 발생 및 2043년까지 플라스틱 소비 2배 증가 예상은 주요 위협 요인으로 작용한다.</w:t>
      </w:r>
    </w:p>
    <w:p>
      <w:r>
        <w:rPr>
          <w:rFonts w:ascii="맑은 고딕" w:hAnsi="맑은 고딕" w:eastAsia="맑은 고딕"/>
          <w:i/>
          <w:color w:val="5A6B73"/>
          <w:sz w:val="16"/>
        </w:rPr>
        <w:t>※ 중요도가 낮아 요약에서 제외한 fact: 2건</w:t>
      </w:r>
    </w:p>
    <w:p>
      <w:pPr>
        <w:pStyle w:val="Heading2"/>
        <w:spacing w:before="220" w:after="100"/>
      </w:pPr>
      <w:r>
        <w:rPr>
          <w:rFonts w:ascii="맑은 고딕" w:hAnsi="맑은 고딕" w:eastAsia="맑은 고딕"/>
          <w:b/>
          <w:color w:val="FFFFFF"/>
          <w:sz w:val="22"/>
          <w:shd w:val="clear" w:color="auto" w:fill="1B8A8F"/>
        </w:rPr>
        <w:t xml:space="preserve"> S </w:t>
      </w:r>
      <w:r>
        <w:rPr>
          <w:rFonts w:ascii="맑은 고딕" w:hAnsi="맑은 고딕" w:eastAsia="맑은 고딕"/>
          <w:b/>
          <w:color w:val="0F4C5C"/>
          <w:sz w:val="22"/>
        </w:rPr>
        <w:t xml:space="preserve">  Social — 사회적 환경</w:t>
      </w:r>
    </w:p>
    <w:p>
      <w:pPr>
        <w:spacing w:line="300" w:lineRule="exact"/>
      </w:pPr>
      <w:r>
        <w:rPr>
          <w:rFonts w:ascii="맑은 고딕" w:hAnsi="맑은 고딕" w:eastAsia="맑은 고딕"/>
          <w:color w:val="222222"/>
          <w:sz w:val="20"/>
        </w:rPr>
        <w:t>유럽 소비자들의 지속 가능성 요구 증가로 인해 영국, 독일, 프랑스, 이탈리아, 스페인 등 주요 국가에서 친환경 포장 수요가 확대되고 있다. 이는 전자상거래 기업의 온라인 소매 전략에도 영향을 미쳐 친환경 포장이 핵심 경쟁 요소로 부상했다.</w:t>
      </w:r>
    </w:p>
    <w:p>
      <w:pPr>
        <w:pStyle w:val="Heading2"/>
        <w:spacing w:before="220" w:after="100"/>
      </w:pPr>
      <w:r>
        <w:rPr>
          <w:rFonts w:ascii="맑은 고딕" w:hAnsi="맑은 고딕" w:eastAsia="맑은 고딕"/>
          <w:b/>
          <w:color w:val="FFFFFF"/>
          <w:sz w:val="22"/>
          <w:shd w:val="clear" w:color="auto" w:fill="1B8A8F"/>
        </w:rPr>
        <w:t xml:space="preserve"> T </w:t>
      </w:r>
      <w:r>
        <w:rPr>
          <w:rFonts w:ascii="맑은 고딕" w:hAnsi="맑은 고딕" w:eastAsia="맑은 고딕"/>
          <w:b/>
          <w:color w:val="0F4C5C"/>
          <w:sz w:val="22"/>
        </w:rPr>
        <w:t xml:space="preserve">  Technological — 기술적 환경</w:t>
      </w:r>
    </w:p>
    <w:p>
      <w:pPr>
        <w:spacing w:line="300" w:lineRule="exact"/>
      </w:pPr>
      <w:r>
        <w:rPr>
          <w:rFonts w:ascii="맑은 고딕" w:hAnsi="맑은 고딕" w:eastAsia="맑은 고딕"/>
          <w:color w:val="222222"/>
          <w:sz w:val="20"/>
        </w:rPr>
        <w:t>유럽 기업들은 100% 재활용 플라스틱 제품(K3 R100), 바이오 원료 종이병(Paboco), 100% 재활용 PET병(KHS그룹) 등 혁신적인 친환경 포장 기술을 개발하며 탄소 배출 절감과 재활용성 향상에 기여하고 있다. 이러한 기술 발전은 RecyClass 인증 획득 등 시장 경쟁력 강화로 이어지고 있다.</w:t>
      </w:r>
    </w:p>
    <w:p>
      <w:pPr>
        <w:pStyle w:val="Heading2"/>
        <w:spacing w:before="220" w:after="100"/>
      </w:pPr>
      <w:r>
        <w:rPr>
          <w:rFonts w:ascii="맑은 고딕" w:hAnsi="맑은 고딕" w:eastAsia="맑은 고딕"/>
          <w:b/>
          <w:color w:val="FFFFFF"/>
          <w:sz w:val="22"/>
          <w:shd w:val="clear" w:color="auto" w:fill="1B8A8F"/>
        </w:rPr>
        <w:t xml:space="preserve"> E </w:t>
      </w:r>
      <w:r>
        <w:rPr>
          <w:rFonts w:ascii="맑은 고딕" w:hAnsi="맑은 고딕" w:eastAsia="맑은 고딕"/>
          <w:b/>
          <w:color w:val="0F4C5C"/>
          <w:sz w:val="22"/>
        </w:rPr>
        <w:t xml:space="preserve">  Environmental — 환경적 요인</w:t>
      </w:r>
    </w:p>
    <w:p>
      <w:pPr>
        <w:spacing w:line="300" w:lineRule="exact"/>
      </w:pPr>
      <w:r>
        <w:rPr>
          <w:rFonts w:ascii="맑은 고딕" w:hAnsi="맑은 고딕" w:eastAsia="맑은 고딕"/>
          <w:color w:val="222222"/>
          <w:sz w:val="20"/>
        </w:rPr>
        <w:t>EU는 2030년까지 플라스틱 포장재 재생 원료 사용 의무화, 재활용 효율 등급 시스템 도입, G 등급 포장재 재활용 불가 분류 등을 통해 순환 경제 정책을 강화하고 있다. 동시에 2026년 8월부터 포장재 중금속(납, 카드뮴, 수은, 6가 크롬) 농도 합계 100ppm 이하 규제를 시행하며, 이는 제조업체·수입업체·원자재 공급업체 모두에게 기술문서 및 시험성적서 관리 의무를 부과한다. 이러한 규제는 친환경 포장 시장 성장을 촉진하지만, 준수 비용 증가와 기술 개발 압력이 예상된다.</w:t>
      </w:r>
    </w:p>
    <w:p>
      <w:r>
        <w:rPr>
          <w:rFonts w:ascii="맑은 고딕" w:hAnsi="맑은 고딕" w:eastAsia="맑은 고딕"/>
          <w:i/>
          <w:color w:val="5A6B73"/>
          <w:sz w:val="16"/>
        </w:rPr>
        <w:t>※ 중요도가 낮아 요약에서 제외한 fact: 3건</w:t>
      </w:r>
    </w:p>
    <w:p>
      <w:pPr>
        <w:pStyle w:val="Heading2"/>
        <w:spacing w:before="220" w:after="100"/>
      </w:pPr>
      <w:r>
        <w:rPr>
          <w:rFonts w:ascii="맑은 고딕" w:hAnsi="맑은 고딕" w:eastAsia="맑은 고딕"/>
          <w:b/>
          <w:color w:val="FFFFFF"/>
          <w:sz w:val="22"/>
          <w:shd w:val="clear" w:color="auto" w:fill="1B8A8F"/>
        </w:rPr>
        <w:t xml:space="preserve"> L </w:t>
      </w:r>
      <w:r>
        <w:rPr>
          <w:rFonts w:ascii="맑은 고딕" w:hAnsi="맑은 고딕" w:eastAsia="맑은 고딕"/>
          <w:b/>
          <w:color w:val="0F4C5C"/>
          <w:sz w:val="22"/>
        </w:rPr>
        <w:t xml:space="preserve">  Legal — 법·규제 환경</w:t>
      </w:r>
    </w:p>
    <w:p>
      <w:pPr>
        <w:spacing w:line="300" w:lineRule="exact"/>
      </w:pPr>
      <w:r>
        <w:rPr>
          <w:rFonts w:ascii="맑은 고딕" w:hAnsi="맑은 고딕" w:eastAsia="맑은 고딕"/>
          <w:color w:val="222222"/>
          <w:sz w:val="20"/>
        </w:rPr>
        <w:t>EU는 2026년 8월 12일부터 PPWR(Regulation (EU) 2025/40)을 통해 모든 포장재 및 구성요소에 중금속 농도 합계 100ppm 이하 규제를 시행한다. 이는 판매 포장, 단위 포장, 운송 포장을 포괄하며, 제조업체·수입업체는 적합성 선언서(DoC) 및 기술문서(TD) 작성·보관이 의무화된다. 또한 원자재 공급업체도 중금속 분석 데이터 및 성적서 제공 의무를 부담하게 되어 공급망 전반에 규제 준수 압력이 가중된다.</w:t>
        <w:br/>
        <w:br/>
        <w:t>EU는 2026년 8월 12일부터 역내 유통 포장재의 납, 카드뮴, 수은, 6가 크롬 농도 합계를 100ppm 이하로 규제하는 PPWR(Regulation (EU) 2025/40)을 시행할 예정이다. 이 규정은 판매 포장, 단위 포장, 운송 포장을 포함한 모든 포장재 및 구성요소에 적용되며, 제조업체·수입업체는 중금속 기준 충족을 입증하는 적합성 선언서(DoC), 기술문서(TD), 시험성적서 보유가 의무화된다. 또한 원자재 공급업체까지 중금속 분석 데이터 제공 의무가 부과된다. 2030년까지는 역내 유통 포장재의 재활용 효율 등급 시스템 도입, 재생 플라스틱 사용 의무화, 일부 일회용품 사용 금지 등 단계적 규제가 확대될 예정이다. 다만, PPWR 법안의 일부 보완 조항 미통과로 실효성에 대한 논란도 존재한다.</w:t>
      </w:r>
    </w:p>
    <w:p>
      <w:r>
        <w:rPr>
          <w:rFonts w:ascii="맑은 고딕" w:hAnsi="맑은 고딕" w:eastAsia="맑은 고딕"/>
          <w:i/>
          <w:color w:val="5A6B73"/>
          <w:sz w:val="16"/>
        </w:rPr>
        <w:t>※ 중요도가 낮아 요약에서 제외한 fact: 8건</w:t>
      </w:r>
    </w:p>
    <w:p>
      <w:pPr>
        <w:pStyle w:val="Heading1"/>
        <w:pBdr>
          <w:bottom w:val="single" w:color="1B8A8F" w:sz="12" w:space="4"/>
        </w:pBdr>
        <w:spacing w:before="360" w:after="160"/>
      </w:pPr>
      <w:r>
        <w:rPr>
          <w:rFonts w:ascii="맑은 고딕" w:hAnsi="맑은 고딕" w:eastAsia="맑은 고딕"/>
          <w:b/>
          <w:color w:val="1B8A8F"/>
          <w:sz w:val="30"/>
        </w:rPr>
        <w:t xml:space="preserve">04  </w:t>
      </w:r>
      <w:r>
        <w:rPr>
          <w:rFonts w:ascii="맑은 고딕" w:hAnsi="맑은 고딕" w:eastAsia="맑은 고딕"/>
          <w:b/>
          <w:color w:val="0F4C5C"/>
          <w:sz w:val="30"/>
        </w:rPr>
        <w:t>경쟁사 분석</w:t>
      </w:r>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직접 경쟁자 (5개사)</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6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경쟁사</w:t>
            </w:r>
          </w:p>
        </w:tc>
        <w:tc>
          <w:tcPr>
            <w:tcW w:type="dxa" w:w="1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가격</w:t>
            </w:r>
          </w:p>
        </w:tc>
        <w:tc>
          <w:tcPr>
            <w:tcW w:type="dxa" w:w="4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핵심 기능 (차별화 포인트·요약)</w:t>
            </w:r>
          </w:p>
        </w:tc>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타깃·비고</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그레이너 패키징</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재활용률 100% 플라스틱컵 제품 'K3 R100' 개발</w:t>
            </w:r>
          </w:p>
          <w:p>
            <w:r>
              <w:rPr>
                <w:rFonts w:ascii="맑은 고딕" w:hAnsi="맑은 고딕" w:eastAsia="맑은 고딕"/>
                <w:color w:val="222222"/>
                <w:sz w:val="16"/>
              </w:rPr>
              <w:t>RecyClass 재활용성 인증 클래스A 등급 획득 · EVOH 장벽층 통합 폴리프로필렌 커피 캡슐 생산 · 유통기한 확보 및 아로마 유지 기술 보유</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유럽 B2B 유통 시장의 커피 포장 수요 기업 / 유럽 B2B 유통 시장</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KHS그룹</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최대 100% 재활용 재료 페트병/플라스틱 필름 개발</w:t>
            </w:r>
          </w:p>
          <w:p>
            <w:r>
              <w:rPr>
                <w:rFonts w:ascii="맑은 고딕" w:hAnsi="맑은 고딕" w:eastAsia="맑은 고딕"/>
                <w:color w:val="222222"/>
                <w:sz w:val="16"/>
              </w:rPr>
              <w:t>탄소발자국 65% 절감 기술</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친환경 포장재가 필요한 B2B 고객 / 유럽 B2B 유통 시장</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Schoeller Allibert</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4.80€~50.60€</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유럽 B2B 시장 대상 재사용 가능 포장재 공급</w:t>
            </w:r>
          </w:p>
          <w:p>
            <w:r>
              <w:rPr>
                <w:rFonts w:ascii="맑은 고딕" w:hAnsi="맑은 고딕" w:eastAsia="맑은 고딕"/>
                <w:color w:val="222222"/>
                <w:sz w:val="16"/>
              </w:rPr>
              <w:t>HD-polyeteenia 및 polypropeenia 소재 사용 · ISO 9001 품질 인증 획득 · Moduulilaatikko ARCA 9067 등 특화 제품 보유</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자동차, 음료, 식품, 산업용 B2B 고객 / 5억 유로 이상 매출 / 50개 이상의 국가 B2B 유통망</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테트라Pak 인터내셔널</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유럽 친환경 포장재 시장 선두 기업</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유럽 B2B 시장 전반 / 유럽 B2B 유통 시장</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Smurfit Kappa</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FSC® 인증 100% 재활용 종이/골판지 포장재</w:t>
            </w:r>
          </w:p>
          <w:p>
            <w:r>
              <w:rPr>
                <w:rFonts w:ascii="맑은 고딕" w:hAnsi="맑은 고딕" w:eastAsia="맑은 고딕"/>
                <w:color w:val="222222"/>
                <w:sz w:val="16"/>
              </w:rPr>
              <w:t>유럽 전자상거래 포장 시장 진출 · 러시아 생산설비 통합으로 생산 역량 확대</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유럽 B2B 전자상거래 및 산업 분야 고객 / 유럽 B2B 유통 시장</w:t>
            </w:r>
          </w:p>
        </w:tc>
      </w:tr>
    </w:tbl>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간접 경쟁자(대체재) (1개사)</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6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경쟁사</w:t>
            </w:r>
          </w:p>
        </w:tc>
        <w:tc>
          <w:tcPr>
            <w:tcW w:type="dxa" w:w="1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가격</w:t>
            </w:r>
          </w:p>
        </w:tc>
        <w:tc>
          <w:tcPr>
            <w:tcW w:type="dxa" w:w="4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핵심 기능 (차별화 포인트·요약)</w:t>
            </w:r>
          </w:p>
        </w:tc>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타깃·비고</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볼 코퍼레이션(Ball Corporation)</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2030년까지 재활용 소재 85% 사용 목표</w:t>
            </w:r>
          </w:p>
          <w:p>
            <w:r>
              <w:rPr>
                <w:rFonts w:ascii="맑은 고딕" w:hAnsi="맑은 고딕" w:eastAsia="맑은 고딕"/>
                <w:color w:val="222222"/>
                <w:sz w:val="16"/>
              </w:rPr>
              <w:t>알루미늄 재활용률 90% 목표</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알루미늄 포장재 수요 기업 / 유럽 B2B 유통 시장</w:t>
            </w:r>
          </w:p>
        </w:tc>
      </w:tr>
    </w:tbl>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잠재 진입자 (1개사)</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6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경쟁사</w:t>
            </w:r>
          </w:p>
        </w:tc>
        <w:tc>
          <w:tcPr>
            <w:tcW w:type="dxa" w:w="1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가격</w:t>
            </w:r>
          </w:p>
        </w:tc>
        <w:tc>
          <w:tcPr>
            <w:tcW w:type="dxa" w:w="4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핵심 기능 (차별화 포인트·요약)</w:t>
            </w:r>
          </w:p>
        </w:tc>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타깃·비고</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KTR</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EU PPWR 규제 대응 기술문서(TD) 및 적합성 선언서(DoC) 서비스 제공</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유럽 B2B 친환경 포장재 규정 준수 필요 기업 / 유럽 B2B 유통 시장</w:t>
            </w:r>
          </w:p>
        </w:tc>
      </w:tr>
    </w:tbl>
    <w:p>
      <w:r>
        <w:rPr>
          <w:rFonts w:ascii="맑은 고딕" w:hAnsi="맑은 고딕" w:eastAsia="맑은 고딕"/>
          <w:i/>
          <w:color w:val="5A6B73"/>
          <w:sz w:val="16"/>
        </w:rPr>
        <w:t>※ 대부분 경쟁사의 유통 채널·투자/매출 정보는 수집된 fact에 없어 표에서 제외했습니다(확보된 값만 '타깃·비고'에 표기). 가격 미공개 항목이 많아 가격 경쟁력 비교는 추가 조사가 필요합니다.</w:t>
      </w:r>
    </w:p>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경쟁 구도 종합</w:t>
      </w:r>
    </w:p>
    <w:p>
      <w:pPr>
        <w:spacing w:line="300" w:lineRule="exact"/>
      </w:pPr>
      <w:r>
        <w:rPr>
          <w:rFonts w:ascii="맑은 고딕" w:hAnsi="맑은 고딕" w:eastAsia="맑은 고딕"/>
          <w:color w:val="222222"/>
          <w:sz w:val="20"/>
        </w:rPr>
        <w:t>유럽 B</w:t>
      </w:r>
      <w:r>
        <w:rPr>
          <w:rFonts w:ascii="맑은 고딕" w:hAnsi="맑은 고딕" w:eastAsia="맑은 고딕"/>
          <w:b/>
          <w:color w:val="0F4C5C"/>
          <w:sz w:val="20"/>
        </w:rPr>
        <w:t>2</w:t>
      </w:r>
      <w:r>
        <w:rPr>
          <w:rFonts w:ascii="맑은 고딕" w:hAnsi="맑은 고딕" w:eastAsia="맑은 고딕"/>
          <w:color w:val="222222"/>
          <w:sz w:val="20"/>
        </w:rPr>
        <w:t xml:space="preserve">B 포장재 시장에서 주요 경쟁사들은 지속가능성과 재활용 기술에 초점을 맞추며 차별화된 포지셔닝을 구축하고 있습니다. 그레이너 패키징과 KHS그룹은 재활용률 </w:t>
      </w:r>
      <w:r>
        <w:rPr>
          <w:rFonts w:ascii="맑은 고딕" w:hAnsi="맑은 고딕" w:eastAsia="맑은 고딕"/>
          <w:b/>
          <w:color w:val="0F4C5C"/>
          <w:sz w:val="20"/>
        </w:rPr>
        <w:t>100%</w:t>
      </w:r>
      <w:r>
        <w:rPr>
          <w:rFonts w:ascii="맑은 고딕" w:hAnsi="맑은 고딕" w:eastAsia="맑은 고딕"/>
          <w:color w:val="222222"/>
          <w:sz w:val="20"/>
        </w:rPr>
        <w:t xml:space="preserve"> 플라스틱 컵 및 EVOH 장벽층 기술을 통해 기능성 포장재 분야에서 경쟁력을 확보하고 있으며</w:t>
      </w:r>
      <w:r>
        <w:rPr>
          <w:rFonts w:ascii="맑은 고딕" w:hAnsi="맑은 고딕" w:eastAsia="맑은 고딕"/>
          <w:b/>
          <w:color w:val="0F4C5C"/>
          <w:sz w:val="20"/>
        </w:rPr>
        <w:t>,</w:t>
      </w:r>
      <w:r>
        <w:rPr>
          <w:rFonts w:ascii="맑은 고딕" w:hAnsi="맑은 고딕" w:eastAsia="맑은 고딕"/>
          <w:color w:val="222222"/>
          <w:sz w:val="20"/>
        </w:rPr>
        <w:t xml:space="preserve"> RecyClass 인증(Class A) 및 탄소발자국 </w:t>
      </w:r>
      <w:r>
        <w:rPr>
          <w:rFonts w:ascii="맑은 고딕" w:hAnsi="맑은 고딕" w:eastAsia="맑은 고딕"/>
          <w:b/>
          <w:color w:val="0F4C5C"/>
          <w:sz w:val="20"/>
        </w:rPr>
        <w:t>65%</w:t>
      </w:r>
      <w:r>
        <w:rPr>
          <w:rFonts w:ascii="맑은 고딕" w:hAnsi="맑은 고딕" w:eastAsia="맑은 고딕"/>
          <w:color w:val="222222"/>
          <w:sz w:val="20"/>
        </w:rPr>
        <w:t xml:space="preserve"> 절감 기술로 기술력 인정을 받았습니다. 특히 그레이너 패키징은 커피 캡슐 특화 솔루션으로 시장 차별화를 이루었으나</w:t>
      </w:r>
      <w:r>
        <w:rPr>
          <w:rFonts w:ascii="맑은 고딕" w:hAnsi="맑은 고딕" w:eastAsia="맑은 고딕"/>
          <w:b/>
          <w:color w:val="0F4C5C"/>
          <w:sz w:val="20"/>
        </w:rPr>
        <w:t>,</w:t>
      </w:r>
      <w:r>
        <w:rPr>
          <w:rFonts w:ascii="맑은 고딕" w:hAnsi="맑은 고딕" w:eastAsia="맑은 고딕"/>
          <w:color w:val="222222"/>
          <w:sz w:val="20"/>
        </w:rPr>
        <w:t xml:space="preserve"> 제품 라인업의 제한성과 재무 정보 부재가 약점으로 지적됩니다. KHS그룹은 고순환성 재활용 소재 개발에 강점을 보이지만</w:t>
      </w:r>
      <w:r>
        <w:rPr>
          <w:rFonts w:ascii="맑은 고딕" w:hAnsi="맑은 고딕" w:eastAsia="맑은 고딕"/>
          <w:b/>
          <w:color w:val="0F4C5C"/>
          <w:sz w:val="20"/>
        </w:rPr>
        <w:t>,</w:t>
      </w:r>
      <w:r>
        <w:rPr>
          <w:rFonts w:ascii="맑은 고딕" w:hAnsi="맑은 고딕" w:eastAsia="맑은 고딕"/>
          <w:color w:val="222222"/>
          <w:sz w:val="20"/>
        </w:rPr>
        <w:t xml:space="preserve"> 구체적인 제품 및 고객 산업 분야 정보가 부족합니다.</w:t>
        <w:br/>
        <w:br/>
        <w:t>Schoeller Allibert는 재사용 가능 포장재와 HD-polyeteenia 소재 기반의 글로벌 생산망(</w:t>
      </w:r>
      <w:r>
        <w:rPr>
          <w:rFonts w:ascii="맑은 고딕" w:hAnsi="맑은 고딕" w:eastAsia="맑은 고딕"/>
          <w:b/>
          <w:color w:val="0F4C5C"/>
          <w:sz w:val="20"/>
        </w:rPr>
        <w:t>13</w:t>
      </w:r>
      <w:r>
        <w:rPr>
          <w:rFonts w:ascii="맑은 고딕" w:hAnsi="맑은 고딕" w:eastAsia="맑은 고딕"/>
          <w:color w:val="222222"/>
          <w:sz w:val="20"/>
        </w:rPr>
        <w:t xml:space="preserve">개 플랜트)을 통해 자동차·식품 등 다산업 분야 고객을 타깃으로 합니다. </w:t>
      </w:r>
      <w:r>
        <w:rPr>
          <w:rFonts w:ascii="맑은 고딕" w:hAnsi="맑은 고딕" w:eastAsia="맑은 고딕"/>
          <w:b/>
          <w:color w:val="0F4C5C"/>
          <w:sz w:val="20"/>
        </w:rPr>
        <w:t>5억</w:t>
      </w:r>
      <w:r>
        <w:rPr>
          <w:rFonts w:ascii="맑은 고딕" w:hAnsi="맑은 고딕" w:eastAsia="맑은 고딕"/>
          <w:color w:val="222222"/>
          <w:sz w:val="20"/>
        </w:rPr>
        <w:t xml:space="preserve"> 유로 이상의 매출과 물류 비용 절감 효과를 강점으로 내세우나</w:t>
      </w:r>
      <w:r>
        <w:rPr>
          <w:rFonts w:ascii="맑은 고딕" w:hAnsi="맑은 고딕" w:eastAsia="맑은 고딕"/>
          <w:b/>
          <w:color w:val="0F4C5C"/>
          <w:sz w:val="20"/>
        </w:rPr>
        <w:t>,</w:t>
      </w:r>
      <w:r>
        <w:rPr>
          <w:rFonts w:ascii="맑은 고딕" w:hAnsi="맑은 고딕" w:eastAsia="맑은 고딕"/>
          <w:color w:val="222222"/>
          <w:sz w:val="20"/>
        </w:rPr>
        <w:t xml:space="preserve"> 제품별 재활용률 데이터 부재가 한계입니다. 테트라팩은 </w:t>
      </w:r>
      <w:r>
        <w:rPr>
          <w:rFonts w:ascii="맑은 고딕" w:hAnsi="맑은 고딕" w:eastAsia="맑은 고딕"/>
          <w:b/>
          <w:color w:val="0F4C5C"/>
          <w:sz w:val="20"/>
        </w:rPr>
        <w:t>14.1%</w:t>
      </w:r>
      <w:r>
        <w:rPr>
          <w:rFonts w:ascii="맑은 고딕" w:hAnsi="맑은 고딕" w:eastAsia="맑은 고딕"/>
          <w:color w:val="222222"/>
          <w:sz w:val="20"/>
        </w:rPr>
        <w:t xml:space="preserve"> 시장 점유율로 유럽 친환경 포장재 시장을 선도하지만</w:t>
      </w:r>
      <w:r>
        <w:rPr>
          <w:rFonts w:ascii="맑은 고딕" w:hAnsi="맑은 고딕" w:eastAsia="맑은 고딕"/>
          <w:b/>
          <w:color w:val="0F4C5C"/>
          <w:sz w:val="20"/>
        </w:rPr>
        <w:t>,</w:t>
      </w:r>
      <w:r>
        <w:rPr>
          <w:rFonts w:ascii="맑은 고딕" w:hAnsi="맑은 고딕" w:eastAsia="맑은 고딕"/>
          <w:color w:val="222222"/>
          <w:sz w:val="20"/>
        </w:rPr>
        <w:t xml:space="preserve"> 구체적인 기술 및 재무 정보가 공개되지 않아 경쟁사 대비 투명성이 낮습니다. Smurfit Kappa는 FSC 인증 종이/골판지 포장재로 플라스틱 대체 가능성을 강조하지만</w:t>
      </w:r>
      <w:r>
        <w:rPr>
          <w:rFonts w:ascii="맑은 고딕" w:hAnsi="맑은 고딕" w:eastAsia="맑은 고딕"/>
          <w:b/>
          <w:color w:val="0F4C5C"/>
          <w:sz w:val="20"/>
        </w:rPr>
        <w:t>,</w:t>
      </w:r>
      <w:r>
        <w:rPr>
          <w:rFonts w:ascii="맑은 고딕" w:hAnsi="맑은 고딕" w:eastAsia="맑은 고딕"/>
          <w:color w:val="222222"/>
          <w:sz w:val="20"/>
        </w:rPr>
        <w:t xml:space="preserve"> 기술력 한계와 가격·매출 데이터 부재로 플라스틱 포장재와의 직접적 경쟁에는 어려움이 있습니다.</w:t>
        <w:br/>
        <w:br/>
        <w:t xml:space="preserve">간접 경쟁사인 볼 코퍼레이션은 알루미늄 포장재와 </w:t>
      </w:r>
      <w:r>
        <w:rPr>
          <w:rFonts w:ascii="맑은 고딕" w:hAnsi="맑은 고딕" w:eastAsia="맑은 고딕"/>
          <w:b/>
          <w:color w:val="0F4C5C"/>
          <w:sz w:val="20"/>
        </w:rPr>
        <w:t>2030</w:t>
      </w:r>
      <w:r>
        <w:rPr>
          <w:rFonts w:ascii="맑은 고딕" w:hAnsi="맑은 고딕" w:eastAsia="맑은 고딕"/>
          <w:color w:val="222222"/>
          <w:sz w:val="20"/>
        </w:rPr>
        <w:t>년 재활용률 목표(</w:t>
      </w:r>
      <w:r>
        <w:rPr>
          <w:rFonts w:ascii="맑은 고딕" w:hAnsi="맑은 고딕" w:eastAsia="맑은 고딕"/>
          <w:b/>
          <w:color w:val="0F4C5C"/>
          <w:sz w:val="20"/>
        </w:rPr>
        <w:t>85%</w:t>
      </w:r>
      <w:r>
        <w:rPr>
          <w:rFonts w:ascii="맑은 고딕" w:hAnsi="맑은 고딕" w:eastAsia="맑은 고딕"/>
          <w:color w:val="222222"/>
          <w:sz w:val="20"/>
        </w:rPr>
        <w:t>)로 지속가능성 경쟁력을 구축했으나</w:t>
      </w:r>
      <w:r>
        <w:rPr>
          <w:rFonts w:ascii="맑은 고딕" w:hAnsi="맑은 고딕" w:eastAsia="맑은 고딕"/>
          <w:b/>
          <w:color w:val="0F4C5C"/>
          <w:sz w:val="20"/>
        </w:rPr>
        <w:t>,</w:t>
      </w:r>
      <w:r>
        <w:rPr>
          <w:rFonts w:ascii="맑은 고딕" w:hAnsi="맑은 고딕" w:eastAsia="맑은 고딕"/>
          <w:color w:val="222222"/>
          <w:sz w:val="20"/>
        </w:rPr>
        <w:t xml:space="preserve"> 플라스틱 포장재와의 직접적 비교는 어렵습니다. 잠재 진입자 KTR은 EU PPWR 규제 대응 문서 서비스로 진입 장벽을 낮추지만</w:t>
      </w:r>
      <w:r>
        <w:rPr>
          <w:rFonts w:ascii="맑은 고딕" w:hAnsi="맑은 고딕" w:eastAsia="맑은 고딕"/>
          <w:b/>
          <w:color w:val="0F4C5C"/>
          <w:sz w:val="20"/>
        </w:rPr>
        <w:t>,</w:t>
      </w:r>
      <w:r>
        <w:rPr>
          <w:rFonts w:ascii="맑은 고딕" w:hAnsi="맑은 고딕" w:eastAsia="맑은 고딕"/>
          <w:color w:val="222222"/>
          <w:sz w:val="20"/>
        </w:rPr>
        <w:t xml:space="preserve"> 실제 포장재 생산 역량이 없어 시장 영향력은 제한적입니다. 전반적으로 경쟁사들은 지속가능성 기술을 통해 시장 포지셔닝을 강화하지만</w:t>
      </w:r>
      <w:r>
        <w:rPr>
          <w:rFonts w:ascii="맑은 고딕" w:hAnsi="맑은 고딕" w:eastAsia="맑은 고딕"/>
          <w:b/>
          <w:color w:val="0F4C5C"/>
          <w:sz w:val="20"/>
        </w:rPr>
        <w:t>,</w:t>
      </w:r>
      <w:r>
        <w:rPr>
          <w:rFonts w:ascii="맑은 고딕" w:hAnsi="맑은 고딕" w:eastAsia="맑은 고딕"/>
          <w:color w:val="222222"/>
          <w:sz w:val="20"/>
        </w:rPr>
        <w:t xml:space="preserve"> 재무·가격 정보 부족과 특정 산업/제품 분야 집중성으로 인해 전략적 확장이 필요한 상황입니다.</w:t>
      </w:r>
    </w:p>
    <w:p>
      <w:pPr>
        <w:pStyle w:val="Heading1"/>
        <w:pBdr>
          <w:bottom w:val="single" w:color="1B8A8F" w:sz="12" w:space="4"/>
        </w:pBdr>
        <w:spacing w:before="360" w:after="160"/>
      </w:pPr>
      <w:r>
        <w:rPr>
          <w:rFonts w:ascii="맑은 고딕" w:hAnsi="맑은 고딕" w:eastAsia="맑은 고딕"/>
          <w:b/>
          <w:color w:val="1B8A8F"/>
          <w:sz w:val="30"/>
        </w:rPr>
        <w:t xml:space="preserve">05  </w:t>
      </w:r>
      <w:r>
        <w:rPr>
          <w:rFonts w:ascii="맑은 고딕" w:hAnsi="맑은 고딕" w:eastAsia="맑은 고딕"/>
          <w:b/>
          <w:color w:val="0F4C5C"/>
          <w:sz w:val="30"/>
        </w:rPr>
        <w:t>종합 시사점</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1</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규제 대응 기술 확보</w:t>
            </w:r>
          </w:p>
          <w:p>
            <w:pPr>
              <w:spacing w:before="0" w:after="0"/>
            </w:pPr>
            <w:r>
              <w:rPr>
                <w:rFonts w:ascii="맑은 고딕" w:hAnsi="맑은 고딕" w:eastAsia="맑은 고딕"/>
                <w:color w:val="222222"/>
                <w:sz w:val="18"/>
              </w:rPr>
              <w:t>EU의 PPWR 규제(중금속 100ppm 이하, 재생 원료 사용 의무화 등) 준수를 위한 기술문서(TD) 및 적합성 선언서(DoC) 관리 시스템 구축이 경쟁사 대비 차별화 요소로 작용할 수 있음. KTR과 같은 잠재 진입자의 서비스 수요 증가를 활용한 협력 전략 필요.</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2</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재활용 기술 선도</w:t>
            </w:r>
          </w:p>
          <w:p>
            <w:pPr>
              <w:spacing w:before="0" w:after="0"/>
            </w:pPr>
            <w:r>
              <w:rPr>
                <w:rFonts w:ascii="맑은 고딕" w:hAnsi="맑은 고딕" w:eastAsia="맑은 고딕"/>
                <w:color w:val="222222"/>
                <w:sz w:val="18"/>
              </w:rPr>
              <w:t>KHS그룹의 100% 재활용 PET병, 그레이너 패키징의 K3 R100 등 기존 경쟁사의 기술 선도성을 고려할 때, 재활용률 100% 제품 개발과 RecyClass 인증 획득이 시장 진입의 필수 조건임. EVOH 장벽층 통합 등 기능성 기술 추가로 프리미엄 시장 공략 가능.</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3</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B2B 유통 채널 최적화</w:t>
            </w:r>
          </w:p>
          <w:p>
            <w:pPr>
              <w:spacing w:before="0" w:after="0"/>
            </w:pPr>
            <w:r>
              <w:rPr>
                <w:rFonts w:ascii="맑은 고딕" w:hAnsi="맑은 고딕" w:eastAsia="맑은 고딕"/>
                <w:color w:val="222222"/>
                <w:sz w:val="18"/>
              </w:rPr>
              <w:t>Schoeller Allibert의 50개국 B2B 유통망과 Smurfit Kappa의 전자상거래 시장 진출 사례를 참고해, 영국·독일·프랑스 등 주요 국가의 온라인 유통 플랫폼과 전략적 제휴를 통한 시장 점유율 확대 필요.</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4</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비용 효율성 개선</w:t>
            </w:r>
          </w:p>
          <w:p>
            <w:pPr>
              <w:spacing w:before="0" w:after="0"/>
            </w:pPr>
            <w:r>
              <w:rPr>
                <w:rFonts w:ascii="맑은 고딕" w:hAnsi="맑은 고딕" w:eastAsia="맑은 고딕"/>
                <w:color w:val="222222"/>
                <w:sz w:val="18"/>
              </w:rPr>
              <w:t>종이 기반 포장재(Smurfit Kappa)와 재사용 가능 포장재(Schoeller Allibert)의 높은 비용 효율성을 벤치마킹해, 재생 원료 사용 시 생산 단가 절감 방안 마련이 경쟁사 대비 가격 경쟁력 확보의 핵심 요소임.</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5</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시장 세분화 전략</w:t>
            </w:r>
          </w:p>
          <w:p>
            <w:pPr>
              <w:spacing w:before="0" w:after="0"/>
            </w:pPr>
            <w:r>
              <w:rPr>
                <w:rFonts w:ascii="맑은 고딕" w:hAnsi="맑은 고딕" w:eastAsia="맑은 고딕"/>
                <w:color w:val="222222"/>
                <w:sz w:val="18"/>
              </w:rPr>
              <w:t>TAM 대비 SOM 비중(5%)이 낮은 점을 고려해, 커피 포장(그레이너 패키징), 음료/식품 포장(Schoeller Allibert) 등 특정 산업군에 집중한 니치 시장 공략이 신규 진입자의 초기 성장 전략으로 적합함.</w:t>
            </w:r>
          </w:p>
        </w:tc>
      </w:tr>
    </w:tbl>
    <w:p>
      <w:pPr>
        <w:spacing w:after="40"/>
      </w:pPr>
    </w:p>
    <w:p>
      <w:pPr>
        <w:pStyle w:val="Heading1"/>
        <w:pBdr>
          <w:bottom w:val="single" w:color="1B8A8F" w:sz="12" w:space="4"/>
        </w:pBdr>
        <w:spacing w:before="360" w:after="160"/>
      </w:pPr>
      <w:r>
        <w:rPr>
          <w:rFonts w:ascii="맑은 고딕" w:hAnsi="맑은 고딕" w:eastAsia="맑은 고딕"/>
          <w:b/>
          <w:color w:val="1B8A8F"/>
          <w:sz w:val="30"/>
        </w:rPr>
        <w:t xml:space="preserve">06  </w:t>
      </w:r>
      <w:r>
        <w:rPr>
          <w:rFonts w:ascii="맑은 고딕" w:hAnsi="맑은 고딕" w:eastAsia="맑은 고딕"/>
          <w:b/>
          <w:color w:val="0F4C5C"/>
          <w:sz w:val="30"/>
        </w:rPr>
        <w:t>출처 부록</w:t>
      </w:r>
    </w:p>
    <w:p>
      <w:r>
        <w:rPr>
          <w:rFonts w:ascii="맑은 고딕" w:hAnsi="맑은 고딕" w:eastAsia="맑은 고딕"/>
          <w:color w:val="5A6B73"/>
          <w:sz w:val="17"/>
        </w:rPr>
        <w:t>Multi-Agent가 웹 검색으로 수집한 fact 목록입니다. [등급/판정]은 출처의 신뢰 등급(2차·3차)과 채택 여부(채택·애매·기각)를 의미합니다.</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02"/>
        <w:gridCol w:w="3102"/>
        <w:gridCol w:w="3102"/>
      </w:tblGrid>
      <w:tr>
        <w:trPr>
          <w:tblHeader/>
        </w:trPr>
        <w:tc>
          <w:tcPr>
            <w:tcW w:type="dxa" w:w="11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등급/판정</w:t>
            </w:r>
          </w:p>
        </w:tc>
        <w:tc>
          <w:tcPr>
            <w:tcW w:type="dxa" w:w="5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수집 fact</w:t>
            </w:r>
          </w:p>
        </w:tc>
        <w:tc>
          <w:tcPr>
            <w:tcW w:type="dxa" w:w="2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출처</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유럽은 일회용 플라스틱에 대한 엄격한 금지와 순환 경제 이니셔티브로 친환경 포장 시장을 지배하고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http://www.impacton.net/news/articleView.html?idxno=10308</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친환경 포장 시장은 재활용 원료 포장이 주도하고 있으며 종이 제품의 사용 증가는 높은 재활용률과 비용 효율성으로 유럽 시장 성장에 기여했다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http://www.impacton.net/news/articleView.html?idxno=10308</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유럽 전자상거래 부문의 친환경 포장 채택 증가는 소비자의 지속 가능성 평가에 대응하여 온라인 소매 전략의 핵심이 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http://www.impacton.net/news/articleView.html?idxno=10308</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유럽은 2025년 글로벌 친환경 포장재 시장에서 32.08% 점유율을 차지하며 116.13억 달러 규모를 기록했고, 2026-2034년 기간 동안 연평균 7.83% 성장률(CAGR)로 확대될 전망이다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https://www.fortunebusinessinsights.com/green-packaging-market-105113</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유럽의 친환경 포장재 시장은 2026년 389.75억 달러에서 2034년 732.33억 달러 규모로 성장할 것으로 예상되며, 이 기간 동안 연평균 8.20% 성장률을 기록할 것이다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https://www.fortunebusinessinsights.com/green-packaging-market-105113</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유럽은 2023-2032년 기간 동안 포장재 시장에서 약 4.7%의 CAGR로 성장할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https://www.sphericalinsights.com/ko/reports/packaging-materials-market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유럽에서는 지속 가능성과 환경 문제에 대한 강조로 친환경 포장재와 관행에 대한 수요가 증가하고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https://www.sphericalinsights.com/ko/reports/packaging-materials-market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유럽의 엄격한 규정과 정책은 재활용 및 폐기물 감소를 촉진하여 포장재 시장 확장을 지원한다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https://www.sphericalinsights.com/ko/reports/packaging-materials-market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2023년 기준 1인당 연간 180kg의 포장 폐기물을 생성하며, 2043년까지 플라스틱 소비가 2배 이상 증가할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EU는 2030년까지 역내 유통 포장재의 재활용 효율 등급 시스템을 구축하고 G 등급 포장재를 재활용 불가로 분류할 예정이다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2030년까지 플라스틱 포장재 제조에 재생 플라스틱 사용을 의무화하며, 유리 및 알루미늄 캔 포장에도 동일한 규제를 적용할 계획이다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EU는 2025년까지 포장 폐기물 재활용률 65%, 2030년까지 70% 목표를 설정했다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2029년 1월 1일까지 모든 회원국이 포장재 반환 보상 시스템(DRS)을 도입하도록 의무화한다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EU는 2026년 말까지 차, 커피용 티백, 필터, 알루미늄 캡슐 등 특정 제품에 퇴비화 가능 포장재 사용을 의무화할 예정이다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2030년까지 포장재와 충전재의 무게를 5%, 2035년까지 10%, 2040년까지 15% 감축하는 목표를 설정했다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EU는 1.5Kg 이하 신선 과일 및 채소의 보호 포장을 2029년 1월 1일부터 금지할 예정이다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2028년 말까지 모든 재사용 가능 포장재에 QR 코드 등 추가 정보를 표기하는 일원화된 라벨링 시스템을 도입할 예정이다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https://www.kati.net/board/exportNewsView.do?board_seq=100549&amp;menu_dept2=35&amp;menu_dept3=71</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유럽 친환경 포장 시장은 2023년 2,875억 달러 규모의 글로벌 시장 중 일부로, 2024-2032년간 연평균 5% 성장률을 보일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https://www.giikorea.co.kr/report/gmi1621849-green-packaging-market-opportunity-growth-drivers.html</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유럽 내 영국, 독일, 프랑스, 이탈리아, 스페인 등 주요 국가에서 친환경 포장 수요가 증가하고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https://www.giikorea.co.kr/report/gmi1621849-green-packaging-market-opportunity-growth-drivers.html</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EU는 플라스틱 사용 제한 및 환경 문제 인식 제고로 인해 2025년까지 글로벌 친환경 포장 시장 규모가 43억 달러에 달할 것으로 Smithers Pira가 전망한다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https://ko.judin-packing.com/blog/eco-friendly-paper-bag-sourcing/</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네덜란드의 레이저푸드는 스티커 라벨 대신 레이저 마킹을 사용해 과일 포장에 사용되는 쓰레기를 최소화한다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https://www.thinkfood.co.kr/news/articleView.html?idxno=90278</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유럽의 포장전문업체 코비리스사는 특수 신소재 수지로 육류를 수축 포장해 제품 포장에 사용되는 포장재를 최소화한다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https://www.thinkfood.co.kr/news/articleView.html?idxno=90278</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PPWR(포장·포장폐기물 규정)을 통해 환경보호를 위한 포장재 관련 통합 규정을 도입한다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https://risk-quant-haun.github.io/ko/feed/economic-news/202509/20250920</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EU는 2026년 8월 12일부터 역내 유통 포장재의 납, 카드뮴, 수은, 6가 크롬 농도 합계를 100mg/kg(100ppm) 이하로 규제하는 PPWR(Regulation (EU) 2025/40)을 시행한다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 PPWR은 판매 포장, 단위 포장, 운송 포장을 포함한 모든 포장재 및 구성요소에 중금속 규제를 적용한다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 PPWR에 따라 제조업체 및 수입업체는 포장재 중금속 기준 충족을 입증하는 시험성적서 및 기술문서를 보유·관리해야 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EU의회는 2030년부터 일부 일회용품 사용을 완전 금지하는 '포장 및 포장 폐기물 규제(PPWR)'를 가결했다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https://www.businesspost.co.kr/BP?command=article_view&amp;num=350254</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 PPWR 법안은 일부 보완 법안이 통과되지 못해 실효성에 대한 지적을 받고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https://www.businesspost.co.kr/BP?command=article_view&amp;num=350254</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2026년 8월 12일부터 EU 역내 포장재 유통 제조자에게 유해물질·중금속 제한 요건 준수를 입증하는 적합성 선언서(DoC)와 기술문서(TD) 작성·보관을 의무화한다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https://www.etnews.com/20260702000319</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 포장 및 포장폐기물 규정(PPWR)은 조항별로 시행 시점을 달리하는 단계적 규제를 도입한다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https://www.etnews.com/20260702000319</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2026년 8월 12일부터 역내 유통되는 모든 CE 인증 제품의 포장재에 대해 납, 카드뮴, 수은, 6가 크롬의 농도 합계를 100mg/kg(100ppm) 이하로 규제한다.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 PPWR(Regulation (EU) 2025/40)은 포장재를 판매 포장, 단위 포장, 운송 포장으로 분류하고 중금속 규제를 적용한다.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 PPWR은 제조업체 및 수입업체에게 포장재 중금속 기준 충족을 입증할 시험성적서 및 기술문서 보유를 의무화한다.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EU PPWR은 원자재 공급업체까지 포장재 중금속 분석 데이터 및 성적서 제공 의무를 부여한다.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https://www.kcrlab.co.kr/eu-ppwr-시행-2026년-8월-12일부터/</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EU는 2021년부터 일회용 플라스틱 사용을 금지하는 법안을 통과시켜 유럽 내 친환경 포장재 개발을 가속화했다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https://www.coldchaininsight.com/news/articleView.html?idxno=539</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독일 KHS그룹은 최대 100% 재활용 재료로 만든 페트병과 포장용 플라스틱 필름을 개발했으며, 이는 탄소발자국을 최대 65% 절감할 수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https://www.coldchaininsight.com/news/articleView.html?idxno=539</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오스트리아의 그레이너 패키징은 재활용률 100% 플라스틱컵 제품 'K3 R100'을 개발했으며, 유럽의 RecyClass 재활용성 인증으로부터 클래스A 등급을 획득했다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https://www.coldchaininsight.com/news/articleView.html?idxno=539</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스웨덴 BillerudKorsnas와 오스트리아 Alpla의 합작법인 파보코(Paboco)는 바이오 원료 기반 종이병을 개발해 플라스틱 사용량을 최대 65% 절감했으며, 유럽 시장에서 100% 바이오 원료 종이병 상용화를 목표로 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https://www.coldchaininsight.com/news/articleView.html?idxno=539</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오스트리아의 그레이너 패키징(Greiner Packaging)은 지속가능성 측면에서 탁월한 커피 포장 캡슐을 개발하여 유럽 B2B 유통 시장에 참여하고 있으며, EVOH 장벽층을 통합한 폴리프로필렌 플라스틱으로 고품질 커피 캡슐 생산을 통해 유통기한 확보와 아로마 유지에 기여하고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https://m.blog.naver.com/kajoklove/221189406846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오스트리아의 그레이너 패키징(Greiner Packaging)사가 EVOH 장벽층을 통합한 폴리프로필렌 친환경 커피 캡슐을 개발해 유럽 B2B 유통 시장에 진출했다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https://m.blog.naver.com/kajoklove/221189406846</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Schoeller Allibert(네덜란드)는 2035년까지 유럽 B2B 친환경 포장재 시장에서 재사용 가능 포장재 분야의 주요 업체로 활동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https://www.researchnester.com/kr/reports/returnable-packaging-market/8352</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Schoeller Allibert는 유럽 B2B 유통 시장을 포함한 50개 이상의 국가에서 13개 제조 플랜트를 운영하며, 5억 유로 이상의 매출을 기록하는 친환경 포장재 분야의 글로벌 리더이다.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https://cdiholdings.com/wp-content/uploads/2026/05/CDI-Case-Study-Schoeller-Allibert-SAMS.pdf</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Schoeller Allibert는 재활용 플라스틱 소재를 사용해 유럽 B2B 유통 시장에서 고객사의 물류 비용을 절감하는 친환경 포장재 솔루션을 제공하며, ISO 9001 인증을 통해 유럽 최고 수준의 품질을 유지하고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https://www.schoeller-plast.dk/schoeller-allibert/?lang=en</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3차/기각</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Schoeller Allibert는 유럽 B2B 유통 시장에서 다양한 친환경 포장재 제품(Moduulilaatikko ARCA 9067, Varastolaatikko ARCA 9075 등)을 유통하며, HD-polyeteenia 및 polypropeenia 소재를 사용한 제품 라인을 제공하고 있다. 가격은 4.80€~50.60€ 범위이다.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https://www.staypro.fi/schoeller-allibert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Schoeller Allibert는 유럽 B2B 유통 시장에서 자동차, 음료, 식품 분야 및 산업용 고객 대상으로 친환경 포장재를 공급하는 세계 시장 리더이다.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https://de.wikipedia.org/wiki/Schoeller_Allibert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Schoeller Allibert GmbH의 독일 본사는 유럽 B2B 시장을 겨냥해 접이식 대형/소형 적재 용기, 적층형/중첩형 플라스틱 컨테이너 등 친환경 포장재를 생산·유통한다.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https://de.wikipedia.org/wiki/Schoeller_Allibert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Schoeller Allibert는 유럽에서 재사용 가능한 친환경 포장재를 통해 플라스틱 오염을 줄이고 순환 경제 모델을 촉진하며 청소 환경 기여로 B2B 유통 시장에서 경쟁 우위를 확보하고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https://www.schoellerallibert.com/ru/news/the-era-of-heavy-lifting-is-over-thanks-to-schoeller-allibert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테트라Pak 인터내셔널이 2024년 유럽 친환경 포장재 시장에서 14.1%의 시장 점유율로 선두를 차지했습니다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https://www.gminsights.com/ko/industry-analysis/sustainable-packaging-materials-market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Smurfit Kappa(아일랜드)는 2022년 유럽 전자상거래 포장 시장에서 재활용 종이 및 골판지 기반의 지속 가능한 포장재를 공급하며 B2B 유통 고객을 대상으로 서비스를 확장했습니다.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https://www.databridgemarketresearch.com/press-release/europe-e-commerce-packaging-market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Smurfit Kappa는 2011-2012년에 러시아 상트페테르부르크 인근 콤무나르 공장을 인수하여 'Smurfit Kappa 상트페테르부르크 유그'로 명칭을 변경하고, 친환경 포장재 생산을 위한 설비 현대화(인라이너 마틴 924 설치, 고프로 애그리게이트 현대화)에 투자했다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https://kapparus.ru/about/nasha-istoriya/</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Smurfit Kappa는 2013년 상트페테르부르크와 콤무나르 공장을 통합해 'Smurfit Kappa 상트페테르부르크'로 재편하며 유럽 B2B 시장에서 생산 역량 확대를 추진했다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https://kapparus.ru/about/nasha-istoriya/</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Smurfit Kappa는 2017년 모스크바의 'SOYUZ' 생산실험공장을 인수하여 2018년 'Smurfit Kappa 모스크바 소우즈'로 재탄생시킨 후, 2021년 러시아 내 모든 공장을 'Smurfit Kappa 루스'로 통합하며 유럽 B2B 유통망 확장을 지속했다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https://kapparus.ru/about/nasha-istoriya/</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Smurfit Kappa는 FSC®-인증된 100% 재활용 가능한 골판지 포장재를 통해 유럽 B2B 유통 시장에서 다양한 산업 분야의 지속 가능한 포장 솔루션을 제공하고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https://smurfitkappa.de/</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유럽연합의 PPWR(포장재 재활용률 기준) 규제 강화에 따라 볼 코퍼레이션(Ball Corporation)은 2030년까지 재활용 소재 85% 사용 및 전 세계 알루미늄 재활용률 90% 목표를 설정했다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https://www.mordorintelligence.kr/industry-reports/green-packaging-market</w:t>
            </w:r>
          </w:p>
          <w:p>
            <w:r>
              <w:rPr>
                <w:rFonts w:ascii="맑은 고딕" w:hAnsi="맑은 고딕" w:eastAsia="맑은 고딕"/>
                <w:color w:val="5A6B73"/>
                <w:sz w:val="13"/>
              </w:rPr>
              <w:t>(조회일: 2026-07-29)</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KTR은 2026년 8월 12일 시행 예정인 EU PPWR 규제에 대응하여 유럽 B2B 유통 시장을 대상으로 친환경 포장재의 기술문서(TD) 및 적합성 선언서(DoC) 발급 서비스를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https://m.ktr.or.kr/certification/overseas/contentsid/2735/index.do</w:t>
            </w:r>
          </w:p>
          <w:p>
            <w:r>
              <w:rPr>
                <w:rFonts w:ascii="맑은 고딕" w:hAnsi="맑은 고딕" w:eastAsia="맑은 고딕"/>
                <w:color w:val="5A6B73"/>
                <w:sz w:val="13"/>
              </w:rPr>
              <w:t>(조회일: 2026-07-29)</w:t>
            </w:r>
          </w:p>
        </w:tc>
      </w:tr>
    </w:tbl>
    <w:sectPr w:rsidR="00FC693F" w:rsidRPr="0006063C" w:rsidSect="00034616">
      <w:footerReference w:type="default" r:id="rId9"/>
      <w:pgSz w:w="11906" w:h="16838"/>
      <w:pgMar w:top="1200" w:right="1300" w:bottom="12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8A9AA0"/>
        <w:sz w:val="14"/>
      </w:rPr>
      <w:t xml:space="preserve">친환경 포장재 — 유럽 B2B 유통 시장 기획서 초안  |  </w:t>
    </w:r>
    <w:r>
      <w:rPr>
        <w:rFonts w:ascii="맑은 고딕" w:hAnsi="맑은 고딕" w:eastAsia="맑은 고딕"/>
        <w:color w:val="8A9AA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