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79"/>
          <w:sz w:val="40"/>
          <w:szCs w:val="40"/>
        </w:rPr>
        <w:t xml:space="preserve">Which journal to submit our paper to, and what to fix first</w:t>
      </w:r>
    </w:p>
    <w:p>
      <w:pPr>
        <w:pBdr>
          <w:bottom w:val="single" w:color="1F4E79" w:sz="6" w:space="4"/>
        </w:pBdr>
        <w:spacing w:after="240"/>
      </w:pPr>
      <w:r>
        <w:rPr>
          <w:color w:val="595959"/>
          <w:sz w:val="20"/>
          <w:szCs w:val="20"/>
        </w:rPr>
        <w:t xml:space="preserve">Group 7 · Vietnamese administrative-procedure assistant (System 3 + 4) · 18 October 2026 · journals only, no in-person presentation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shd w:fill="EAF1FB" w:color="auto" w:val="clear"/>
            <w:tcMar>
              <w:top w:type="dxa" w:w="120"/>
              <w:left w:type="dxa" w:w="180"/>
              <w:bottom w:type="dxa" w:w="120"/>
              <w:right w:type="dxa" w:w="180"/>
            </w:tcMar>
          </w:tcPr>
          <w:p>
            <w:pPr>
              <w:spacing w:after="80"/>
            </w:pPr>
            <w:r>
              <w:rPr>
                <w:b/>
                <w:bCs/>
              </w:rPr>
              <w:t xml:space="preserve">Recommendation.</w:t>
            </w:r>
            <w:r>
              <w:t xml:space="preserve"> Submit to a journal, not a conference: journals have no presentation and no travel, and the best options for us charge </w:t>
            </w:r>
            <w:r>
              <w:rPr>
                <w:b/>
                <w:bCs/>
              </w:rPr>
              <w:t xml:space="preserve">no fee</w:t>
            </w:r>
            <w:r>
              <w:t xml:space="preserve">. Finish the paper by </w:t>
            </w:r>
            <w:r>
              <w:rPr>
                <w:b/>
                <w:bCs/>
              </w:rPr>
              <w:t xml:space="preserve">mid-December 2026</w:t>
            </w:r>
            <w:r>
              <w:t xml:space="preserve"> and send it to the </w:t>
            </w:r>
            <w:r>
              <w:rPr>
                <w:b/>
                <w:bCs/>
              </w:rPr>
              <w:t xml:space="preserve">Vietnam Journal of Computer Science (VJCS)</w:t>
            </w:r>
            <w:r>
              <w:t xml:space="preserve">: free, Scopus Q2, published by World Scientific, and its scope explicitly includes applications in administration. If our new human-labelled evaluation (section 5.3) comes out strong, try </w:t>
            </w:r>
            <w:r>
              <w:rPr>
                <w:b/>
                <w:bCs/>
              </w:rPr>
              <w:t xml:space="preserve">Artificial Intelligence and Law</w:t>
            </w:r>
            <w:r>
              <w:t xml:space="preserve"> (Springer, free to publish) first; its editors decide quickly whether to send a paper to review, so a rejection costs us about a week.</w:t>
            </w:r>
          </w:p>
          <w:p>
            <w:pPr>
              <w:spacing w:after="80"/>
            </w:pPr>
            <w:r>
              <w:rPr>
                <w:b/>
                <w:bCs/>
              </w:rPr>
              <w:t xml:space="preserve">On AI use:</w:t>
            </w:r>
            <w:r>
              <w:t xml:space="preserve"> every journal below allows AI assistance with disclosure, none allows an AI author, and all hold the human authors accountable for every claim and number.</w:t>
            </w:r>
          </w:p>
        </w:tc>
      </w:tr>
    </w:tbl>
    <w:p>
      <w:pPr>
        <w:spacing w:after="120"/>
      </w:pPr>
    </w:p>
    <w:p>
      <w:pPr>
        <w:pStyle w:val="Heading1"/>
      </w:pPr>
      <w:r>
        <w:t xml:space="preserve">1. Why a journal</w:t>
      </w:r>
    </w:p>
    <w:p>
      <w:pPr>
        <w:spacing w:after="120"/>
      </w:pPr>
      <w:r>
        <w:t xml:space="preserve">Conferences require at least one author to register, travel and present (ICAIL 2027, for example, accepts remote presentation only “under exceptional circumstances”). Our team cannot present in person, so conferences are out. A journal works differently:</w:t>
      </w:r>
    </w:p>
    <w:p>
      <w:pPr>
        <w:pStyle w:val="ListParagraph"/>
        <w:numPr>
          <w:ilvl w:val="0"/>
          <w:numId w:val="2"/>
        </w:numPr>
        <w:spacing w:after="60"/>
      </w:pPr>
      <w:r>
        <w:t xml:space="preserve">We submit the manuscript online. There is no deadline.</w:t>
      </w:r>
    </w:p>
    <w:p>
      <w:pPr>
        <w:pStyle w:val="ListParagraph"/>
        <w:numPr>
          <w:ilvl w:val="0"/>
          <w:numId w:val="2"/>
        </w:numPr>
        <w:spacing w:after="60"/>
      </w:pPr>
      <w:r>
        <w:t xml:space="preserve">The editor checks fit and quality (days to a few weeks). Many papers are rejected here without review (“desk rejection”).</w:t>
      </w:r>
    </w:p>
    <w:p>
      <w:pPr>
        <w:pStyle w:val="ListParagraph"/>
        <w:numPr>
          <w:ilvl w:val="0"/>
          <w:numId w:val="2"/>
        </w:numPr>
        <w:spacing w:after="60"/>
      </w:pPr>
      <w:r>
        <w:t xml:space="preserve">Two or three anonymous reviewers read it (usually 1–4 months).</w:t>
      </w:r>
    </w:p>
    <w:p>
      <w:pPr>
        <w:pStyle w:val="ListParagraph"/>
        <w:numPr>
          <w:ilvl w:val="0"/>
          <w:numId w:val="2"/>
        </w:numPr>
        <w:spacing w:after="60"/>
      </w:pPr>
      <w:r>
        <w:t xml:space="preserve">We usually get “minor” or “major revision”: we fix the paper and write a point-by-point response letter. One or two rounds are normal.</w:t>
      </w:r>
    </w:p>
    <w:p>
      <w:pPr>
        <w:pStyle w:val="ListParagraph"/>
        <w:numPr>
          <w:ilvl w:val="0"/>
          <w:numId w:val="2"/>
        </w:numPr>
        <w:spacing w:after="60"/>
      </w:pPr>
      <w:r>
        <w:t xml:space="preserve">Accept or reject. Everything is in writing; nobody has to present or travel.</w:t>
      </w:r>
    </w:p>
    <w:p>
      <w:pPr>
        <w:spacing w:after="120" w:before="80"/>
      </w:pPr>
      <w:r>
        <w:t xml:space="preserve">Two rules: we may send the paper to </w:t>
      </w:r>
      <w:r>
        <w:rPr>
          <w:b/>
          <w:bCs/>
        </w:rPr>
        <w:t xml:space="preserve">only one journal at a time</w:t>
      </w:r>
      <w:r>
        <w:t xml:space="preserve">, and a journal paper is longer and more complete than a conference paper (for example, up to about 7,000 words at JIT).</w:t>
      </w:r>
    </w:p>
    <w:p>
      <w:pPr>
        <w:pStyle w:val="Heading1"/>
      </w:pPr>
      <w:r>
        <w:t xml:space="preserve">2. Journal options</w:t>
      </w:r>
    </w:p>
    <w:p>
      <w:pPr>
        <w:spacing w:after="120"/>
      </w:pPr>
      <w:r>
        <w:t xml:space="preserve">Checked on 18 October 2026 from the journals’ own pages where possible. Items marked “check” come from secondary sources or conflict between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1850"/>
        <w:gridCol w:w="1600"/>
        <w:gridCol w:w="1700"/>
        <w:gridCol w:w="2738"/>
      </w:tblGrid>
      <w:tr>
        <w:trPr>
          <w:tblHeader/>
        </w:trPr>
        <w:tc>
          <w:tcPr>
            <w:tcW w:type="dxa" w:w="1750"/>
            <w:shd w:fill="DCE6F1" w:color="auto" w:val="clear"/>
            <w:tcMar>
              <w:top w:type="dxa" w:w="60"/>
              <w:left w:type="dxa" w:w="100"/>
              <w:bottom w:type="dxa" w:w="60"/>
              <w:right w:type="dxa" w:w="100"/>
            </w:tcMar>
          </w:tcPr>
          <w:p>
            <w:pPr>
              <w:spacing w:after="40"/>
            </w:pPr>
            <w:r>
              <w:rPr>
                <w:b/>
                <w:bCs/>
                <w:sz w:val="18"/>
                <w:szCs w:val="18"/>
              </w:rPr>
              <w:t xml:space="preserve">Journal</w:t>
            </w:r>
          </w:p>
        </w:tc>
        <w:tc>
          <w:tcPr>
            <w:tcW w:type="dxa" w:w="1850"/>
            <w:shd w:fill="DCE6F1" w:color="auto" w:val="clear"/>
            <w:tcMar>
              <w:top w:type="dxa" w:w="60"/>
              <w:left w:type="dxa" w:w="100"/>
              <w:bottom w:type="dxa" w:w="60"/>
              <w:right w:type="dxa" w:w="100"/>
            </w:tcMar>
          </w:tcPr>
          <w:p>
            <w:pPr>
              <w:spacing w:after="40"/>
            </w:pPr>
            <w:r>
              <w:rPr>
                <w:b/>
                <w:bCs/>
                <w:sz w:val="18"/>
                <w:szCs w:val="18"/>
              </w:rPr>
              <w:t xml:space="preserve">Publisher / indexing</w:t>
            </w:r>
          </w:p>
        </w:tc>
        <w:tc>
          <w:tcPr>
            <w:tcW w:type="dxa" w:w="1600"/>
            <w:shd w:fill="DCE6F1" w:color="auto" w:val="clear"/>
            <w:tcMar>
              <w:top w:type="dxa" w:w="60"/>
              <w:left w:type="dxa" w:w="100"/>
              <w:bottom w:type="dxa" w:w="60"/>
              <w:right w:type="dxa" w:w="100"/>
            </w:tcMar>
          </w:tcPr>
          <w:p>
            <w:pPr>
              <w:spacing w:after="40"/>
            </w:pPr>
            <w:r>
              <w:rPr>
                <w:b/>
                <w:bCs/>
                <w:sz w:val="18"/>
                <w:szCs w:val="18"/>
              </w:rPr>
              <w:t xml:space="preserve">Cost to us</w:t>
            </w:r>
          </w:p>
        </w:tc>
        <w:tc>
          <w:tcPr>
            <w:tcW w:type="dxa" w:w="1700"/>
            <w:shd w:fill="DCE6F1" w:color="auto" w:val="clear"/>
            <w:tcMar>
              <w:top w:type="dxa" w:w="60"/>
              <w:left w:type="dxa" w:w="100"/>
              <w:bottom w:type="dxa" w:w="60"/>
              <w:right w:type="dxa" w:w="100"/>
            </w:tcMar>
          </w:tcPr>
          <w:p>
            <w:pPr>
              <w:spacing w:after="40"/>
            </w:pPr>
            <w:r>
              <w:rPr>
                <w:b/>
                <w:bCs/>
                <w:sz w:val="18"/>
                <w:szCs w:val="18"/>
              </w:rPr>
              <w:t xml:space="preserve">Speed and selectivity</w:t>
            </w:r>
          </w:p>
        </w:tc>
        <w:tc>
          <w:tcPr>
            <w:tcW w:type="dxa" w:w="2738"/>
            <w:shd w:fill="DCE6F1" w:color="auto" w:val="clear"/>
            <w:tcMar>
              <w:top w:type="dxa" w:w="60"/>
              <w:left w:type="dxa" w:w="100"/>
              <w:bottom w:type="dxa" w:w="60"/>
              <w:right w:type="dxa" w:w="100"/>
            </w:tcMar>
          </w:tcPr>
          <w:p>
            <w:pPr>
              <w:spacing w:after="40"/>
            </w:pPr>
            <w:r>
              <w:rPr>
                <w:b/>
                <w:bCs/>
                <w:sz w:val="18"/>
                <w:szCs w:val="18"/>
              </w:rPr>
              <w:t xml:space="preserve">Fit and notes</w:t>
            </w:r>
          </w:p>
        </w:tc>
      </w:tr>
      <w:tr>
        <w:trPr>
          <w:cantSplit/>
        </w:trPr>
        <w:tc>
          <w:tcPr>
            <w:tcW w:type="dxa" w:w="1750"/>
            <w:shd w:fill="EAF7EA" w:color="auto" w:val="clear"/>
            <w:tcMar>
              <w:top w:type="dxa" w:w="60"/>
              <w:left w:type="dxa" w:w="100"/>
              <w:bottom w:type="dxa" w:w="60"/>
              <w:right w:type="dxa" w:w="100"/>
            </w:tcMar>
          </w:tcPr>
          <w:p>
            <w:pPr>
              <w:spacing w:after="40"/>
            </w:pPr>
            <w:r>
              <w:rPr>
                <w:b/>
                <w:bCs/>
                <w:sz w:val="18"/>
                <w:szCs w:val="18"/>
              </w:rPr>
              <w:t xml:space="preserve">Vietnam Journal of Computer Science (VJCS)</w:t>
            </w:r>
          </w:p>
        </w:tc>
        <w:tc>
          <w:tcPr>
            <w:tcW w:type="dxa" w:w="1850"/>
            <w:shd w:fill="EAF7EA" w:color="auto" w:val="clear"/>
            <w:tcMar>
              <w:top w:type="dxa" w:w="60"/>
              <w:left w:type="dxa" w:w="100"/>
              <w:bottom w:type="dxa" w:w="60"/>
              <w:right w:type="dxa" w:w="100"/>
            </w:tcMar>
          </w:tcPr>
          <w:p>
            <w:pPr>
              <w:spacing w:after="40"/>
            </w:pPr>
            <w:r>
              <w:rPr>
                <w:sz w:val="18"/>
                <w:szCs w:val="18"/>
              </w:rPr>
              <w:t xml:space="preserve">World Scientific (Nguyen Tat Thanh University). Scopus CiteScore 3.0, Q2 (2024); JCR Q4, IF 0.8</w:t>
            </w:r>
          </w:p>
        </w:tc>
        <w:tc>
          <w:tcPr>
            <w:tcW w:type="dxa" w:w="1600"/>
            <w:shd w:fill="EAF7EA" w:color="auto" w:val="clear"/>
            <w:tcMar>
              <w:top w:type="dxa" w:w="60"/>
              <w:left w:type="dxa" w:w="100"/>
              <w:bottom w:type="dxa" w:w="60"/>
              <w:right w:type="dxa" w:w="100"/>
            </w:tcMar>
          </w:tcPr>
          <w:p>
            <w:pPr>
              <w:spacing w:after="40"/>
            </w:pPr>
            <w:r>
              <w:rPr>
                <w:b/>
                <w:bCs/>
                <w:sz w:val="18"/>
                <w:szCs w:val="18"/>
              </w:rPr>
              <w:t xml:space="preserve">Free</w:t>
            </w:r>
            <w:r>
              <w:rPr>
                <w:sz w:val="18"/>
                <w:szCs w:val="18"/>
              </w:rPr>
              <w:t xml:space="preserve"> (sponsored by NTTU); open access</w:t>
            </w:r>
          </w:p>
        </w:tc>
        <w:tc>
          <w:tcPr>
            <w:tcW w:type="dxa" w:w="1700"/>
            <w:shd w:fill="EAF7EA" w:color="auto" w:val="clear"/>
            <w:tcMar>
              <w:top w:type="dxa" w:w="60"/>
              <w:left w:type="dxa" w:w="100"/>
              <w:bottom w:type="dxa" w:w="60"/>
              <w:right w:type="dxa" w:w="100"/>
            </w:tcMar>
          </w:tcPr>
          <w:p>
            <w:pPr>
              <w:spacing w:after="40"/>
            </w:pPr>
            <w:r>
              <w:rPr>
                <w:sz w:val="18"/>
                <w:szCs w:val="18"/>
              </w:rPr>
              <w:t xml:space="preserve">Review time not published (check). Historically about 1 in 6 papers accepted</w:t>
            </w:r>
          </w:p>
        </w:tc>
        <w:tc>
          <w:tcPr>
            <w:tcW w:type="dxa" w:w="2738"/>
            <w:shd w:fill="EAF7EA" w:color="auto" w:val="clear"/>
            <w:tcMar>
              <w:top w:type="dxa" w:w="60"/>
              <w:left w:type="dxa" w:w="100"/>
              <w:bottom w:type="dxa" w:w="60"/>
              <w:right w:type="dxa" w:w="100"/>
            </w:tcMar>
          </w:tcPr>
          <w:p>
            <w:pPr>
              <w:spacing w:after="40"/>
            </w:pPr>
            <w:r>
              <w:rPr>
                <w:b/>
                <w:bCs/>
                <w:sz w:val="18"/>
                <w:szCs w:val="18"/>
              </w:rPr>
              <w:t xml:space="preserve">Recommended.</w:t>
            </w:r>
            <w:r>
              <w:rPr>
                <w:sz w:val="18"/>
                <w:szCs w:val="18"/>
              </w:rPr>
              <w:t xml:space="preserve"> Broad CS with applications “in management, industry, engineering, administration and education”. Realistic for a student team.</w:t>
            </w:r>
          </w:p>
        </w:tc>
      </w:tr>
      <w:tr>
        <w:trPr>
          <w:cantSplit/>
        </w:trPr>
        <w:tc>
          <w:tcPr>
            <w:tcW w:type="dxa" w:w="1750"/>
            <w:shd w:fill="EAF7EA" w:color="auto" w:val="clear"/>
            <w:tcMar>
              <w:top w:type="dxa" w:w="60"/>
              <w:left w:type="dxa" w:w="100"/>
              <w:bottom w:type="dxa" w:w="60"/>
              <w:right w:type="dxa" w:w="100"/>
            </w:tcMar>
          </w:tcPr>
          <w:p>
            <w:pPr>
              <w:spacing w:after="40"/>
            </w:pPr>
            <w:r>
              <w:rPr>
                <w:b/>
                <w:bCs/>
                <w:sz w:val="18"/>
                <w:szCs w:val="18"/>
              </w:rPr>
              <w:t xml:space="preserve">Artificial Intelligence and Law</w:t>
            </w:r>
          </w:p>
        </w:tc>
        <w:tc>
          <w:tcPr>
            <w:tcW w:type="dxa" w:w="1850"/>
            <w:shd w:fill="EAF7EA" w:color="auto" w:val="clear"/>
            <w:tcMar>
              <w:top w:type="dxa" w:w="60"/>
              <w:left w:type="dxa" w:w="100"/>
              <w:bottom w:type="dxa" w:w="60"/>
              <w:right w:type="dxa" w:w="100"/>
            </w:tcMar>
          </w:tcPr>
          <w:p>
            <w:pPr>
              <w:spacing w:after="40"/>
            </w:pPr>
            <w:r>
              <w:rPr>
                <w:sz w:val="18"/>
                <w:szCs w:val="18"/>
              </w:rPr>
              <w:t xml:space="preserve">Springer. IF 3.1 (2024)</w:t>
            </w:r>
          </w:p>
        </w:tc>
        <w:tc>
          <w:tcPr>
            <w:tcW w:type="dxa" w:w="1600"/>
            <w:shd w:fill="EAF7EA" w:color="auto" w:val="clear"/>
            <w:tcMar>
              <w:top w:type="dxa" w:w="60"/>
              <w:left w:type="dxa" w:w="100"/>
              <w:bottom w:type="dxa" w:w="60"/>
              <w:right w:type="dxa" w:w="100"/>
            </w:tcMar>
          </w:tcPr>
          <w:p>
            <w:pPr>
              <w:spacing w:after="40"/>
            </w:pPr>
            <w:r>
              <w:rPr>
                <w:b/>
                <w:bCs/>
                <w:sz w:val="18"/>
                <w:szCs w:val="18"/>
              </w:rPr>
              <w:t xml:space="preserve">Free</w:t>
            </w:r>
            <w:r>
              <w:rPr>
                <w:sz w:val="18"/>
                <w:szCs w:val="18"/>
              </w:rPr>
              <w:t xml:space="preserve"> on the standard route; open access optional (about €2,290 in 2022)</w:t>
            </w:r>
          </w:p>
        </w:tc>
        <w:tc>
          <w:tcPr>
            <w:tcW w:type="dxa" w:w="1700"/>
            <w:shd w:fill="EAF7EA" w:color="auto" w:val="clear"/>
            <w:tcMar>
              <w:top w:type="dxa" w:w="60"/>
              <w:left w:type="dxa" w:w="100"/>
              <w:bottom w:type="dxa" w:w="60"/>
              <w:right w:type="dxa" w:w="100"/>
            </w:tcMar>
          </w:tcPr>
          <w:p>
            <w:pPr>
              <w:spacing w:after="40"/>
            </w:pPr>
            <w:r>
              <w:rPr>
                <w:sz w:val="18"/>
                <w:szCs w:val="18"/>
              </w:rPr>
              <w:t xml:space="preserve">Median first decision about 6 days (mostly desk decisions)</w:t>
            </w:r>
          </w:p>
        </w:tc>
        <w:tc>
          <w:tcPr>
            <w:tcW w:type="dxa" w:w="2738"/>
            <w:shd w:fill="EAF7EA" w:color="auto" w:val="clear"/>
            <w:tcMar>
              <w:top w:type="dxa" w:w="60"/>
              <w:left w:type="dxa" w:w="100"/>
              <w:bottom w:type="dxa" w:w="60"/>
              <w:right w:type="dxa" w:w="100"/>
            </w:tcMar>
          </w:tcPr>
          <w:p>
            <w:pPr>
              <w:spacing w:after="40"/>
            </w:pPr>
            <w:r>
              <w:rPr>
                <w:b/>
                <w:bCs/>
                <w:sz w:val="18"/>
                <w:szCs w:val="18"/>
              </w:rPr>
              <w:t xml:space="preserve">Best topical fit; high bar.</w:t>
            </w:r>
            <w:r>
              <w:rPr>
                <w:sz w:val="18"/>
                <w:szCs w:val="18"/>
              </w:rPr>
              <w:t xml:space="preserve"> Needs legal-domain depth and rigorous evaluation. Worth one try if section 5.3 goes well.</w:t>
            </w:r>
          </w:p>
        </w:tc>
      </w:tr>
      <w:tr>
        <w:trPr>
          <w:cantSplit/>
        </w:trPr>
        <w:tc>
          <w:tcPr>
            <w:tcW w:type="dxa" w:w="1750"/>
            <w:tcMar>
              <w:top w:type="dxa" w:w="60"/>
              <w:left w:type="dxa" w:w="100"/>
              <w:bottom w:type="dxa" w:w="60"/>
              <w:right w:type="dxa" w:w="100"/>
            </w:tcMar>
          </w:tcPr>
          <w:p>
            <w:pPr>
              <w:spacing w:after="40"/>
            </w:pPr>
            <w:r>
              <w:rPr>
                <w:b/>
                <w:bCs/>
                <w:sz w:val="18"/>
                <w:szCs w:val="18"/>
              </w:rPr>
              <w:t xml:space="preserve">Journal of Information and Telecommunication (JIT)</w:t>
            </w:r>
          </w:p>
        </w:tc>
        <w:tc>
          <w:tcPr>
            <w:tcW w:type="dxa" w:w="1850"/>
            <w:tcMar>
              <w:top w:type="dxa" w:w="60"/>
              <w:left w:type="dxa" w:w="100"/>
              <w:bottom w:type="dxa" w:w="60"/>
              <w:right w:type="dxa" w:w="100"/>
            </w:tcMar>
          </w:tcPr>
          <w:p>
            <w:pPr>
              <w:spacing w:after="40"/>
            </w:pPr>
            <w:r>
              <w:rPr>
                <w:sz w:val="18"/>
                <w:szCs w:val="18"/>
              </w:rPr>
              <w:t xml:space="preserve">Taylor &amp; Francis (Ton Duc Thang University). Scopus Q1, CiteScore 6.7; IF 2.1</w:t>
            </w:r>
          </w:p>
        </w:tc>
        <w:tc>
          <w:tcPr>
            <w:tcW w:type="dxa" w:w="1600"/>
            <w:tcMar>
              <w:top w:type="dxa" w:w="60"/>
              <w:left w:type="dxa" w:w="100"/>
              <w:bottom w:type="dxa" w:w="60"/>
              <w:right w:type="dxa" w:w="100"/>
            </w:tcMar>
          </w:tcPr>
          <w:p>
            <w:pPr>
              <w:spacing w:after="40"/>
            </w:pPr>
            <w:r>
              <w:rPr>
                <w:sz w:val="18"/>
                <w:szCs w:val="18"/>
              </w:rPr>
              <w:t xml:space="preserve">TDTU says it covers the fee; DOAJ lists up to £925 (check)</w:t>
            </w:r>
          </w:p>
        </w:tc>
        <w:tc>
          <w:tcPr>
            <w:tcW w:type="dxa" w:w="1700"/>
            <w:tcMar>
              <w:top w:type="dxa" w:w="60"/>
              <w:left w:type="dxa" w:w="100"/>
              <w:bottom w:type="dxa" w:w="60"/>
              <w:right w:type="dxa" w:w="100"/>
            </w:tcMar>
          </w:tcPr>
          <w:p>
            <w:pPr>
              <w:spacing w:after="40"/>
            </w:pPr>
            <w:r>
              <w:rPr>
                <w:sz w:val="18"/>
                <w:szCs w:val="18"/>
              </w:rPr>
              <w:t xml:space="preserve">First decision about 4 days; about 110 days after review; </w:t>
            </w:r>
            <w:r>
              <w:rPr>
                <w:b/>
                <w:bCs/>
                <w:sz w:val="18"/>
                <w:szCs w:val="18"/>
              </w:rPr>
              <w:t xml:space="preserve">5% acceptance</w:t>
            </w:r>
          </w:p>
        </w:tc>
        <w:tc>
          <w:tcPr>
            <w:tcW w:type="dxa" w:w="2738"/>
            <w:tcMar>
              <w:top w:type="dxa" w:w="60"/>
              <w:left w:type="dxa" w:w="100"/>
              <w:bottom w:type="dxa" w:w="60"/>
              <w:right w:type="dxa" w:w="100"/>
            </w:tcMar>
          </w:tcPr>
          <w:p>
            <w:pPr>
              <w:spacing w:after="40"/>
            </w:pPr>
            <w:r>
              <w:rPr>
                <w:sz w:val="18"/>
                <w:szCs w:val="18"/>
              </w:rPr>
              <w:t xml:space="preserve">Strong and free, but very selective. A long shot.</w:t>
            </w:r>
          </w:p>
        </w:tc>
      </w:tr>
      <w:tr>
        <w:trPr>
          <w:cantSplit/>
        </w:trPr>
        <w:tc>
          <w:tcPr>
            <w:tcW w:type="dxa" w:w="1750"/>
            <w:shd w:fill="EAF7EA" w:color="auto" w:val="clear"/>
            <w:tcMar>
              <w:top w:type="dxa" w:w="60"/>
              <w:left w:type="dxa" w:w="100"/>
              <w:bottom w:type="dxa" w:w="60"/>
              <w:right w:type="dxa" w:w="100"/>
            </w:tcMar>
          </w:tcPr>
          <w:p>
            <w:pPr>
              <w:spacing w:after="40"/>
            </w:pPr>
            <w:r>
              <w:rPr>
                <w:b/>
                <w:bCs/>
                <w:sz w:val="18"/>
                <w:szCs w:val="18"/>
              </w:rPr>
              <w:t xml:space="preserve">TMLR</w:t>
            </w:r>
            <w:r>
              <w:rPr>
                <w:sz w:val="18"/>
                <w:szCs w:val="18"/>
              </w:rPr>
              <w:t xml:space="preserve"> (Transactions on Machine Learning Research)</w:t>
            </w:r>
          </w:p>
        </w:tc>
        <w:tc>
          <w:tcPr>
            <w:tcW w:type="dxa" w:w="1850"/>
            <w:shd w:fill="EAF7EA" w:color="auto" w:val="clear"/>
            <w:tcMar>
              <w:top w:type="dxa" w:w="60"/>
              <w:left w:type="dxa" w:w="100"/>
              <w:bottom w:type="dxa" w:w="60"/>
              <w:right w:type="dxa" w:w="100"/>
            </w:tcMar>
          </w:tcPr>
          <w:p>
            <w:pPr>
              <w:spacing w:after="40"/>
            </w:pPr>
            <w:r>
              <w:rPr>
                <w:sz w:val="18"/>
                <w:szCs w:val="18"/>
              </w:rPr>
              <w:t xml:space="preserve">JMLR family; reviewed openly on OpenReview</w:t>
            </w:r>
          </w:p>
        </w:tc>
        <w:tc>
          <w:tcPr>
            <w:tcW w:type="dxa" w:w="1600"/>
            <w:shd w:fill="EAF7EA" w:color="auto" w:val="clear"/>
            <w:tcMar>
              <w:top w:type="dxa" w:w="60"/>
              <w:left w:type="dxa" w:w="100"/>
              <w:bottom w:type="dxa" w:w="60"/>
              <w:right w:type="dxa" w:w="100"/>
            </w:tcMar>
          </w:tcPr>
          <w:p>
            <w:pPr>
              <w:spacing w:after="40"/>
            </w:pPr>
            <w:r>
              <w:rPr>
                <w:b/>
                <w:bCs/>
                <w:sz w:val="18"/>
                <w:szCs w:val="18"/>
              </w:rPr>
              <w:t xml:space="preserve">Free</w:t>
            </w:r>
          </w:p>
        </w:tc>
        <w:tc>
          <w:tcPr>
            <w:tcW w:type="dxa" w:w="1700"/>
            <w:shd w:fill="EAF7EA" w:color="auto" w:val="clear"/>
            <w:tcMar>
              <w:top w:type="dxa" w:w="60"/>
              <w:left w:type="dxa" w:w="100"/>
              <w:bottom w:type="dxa" w:w="60"/>
              <w:right w:type="dxa" w:w="100"/>
            </w:tcMar>
          </w:tcPr>
          <w:p>
            <w:pPr>
              <w:spacing w:after="40"/>
            </w:pPr>
            <w:r>
              <w:rPr>
                <w:sz w:val="18"/>
                <w:szCs w:val="18"/>
              </w:rPr>
              <w:t xml:space="preserve">Aims for a final decision in about 9 weeks</w:t>
            </w:r>
          </w:p>
        </w:tc>
        <w:tc>
          <w:tcPr>
            <w:tcW w:type="dxa" w:w="2738"/>
            <w:shd w:fill="EAF7EA" w:color="auto" w:val="clear"/>
            <w:tcMar>
              <w:top w:type="dxa" w:w="60"/>
              <w:left w:type="dxa" w:w="100"/>
              <w:bottom w:type="dxa" w:w="60"/>
              <w:right w:type="dxa" w:w="100"/>
            </w:tcMar>
          </w:tcPr>
          <w:p>
            <w:pPr>
              <w:spacing w:after="40"/>
            </w:pPr>
            <w:r>
              <w:rPr>
                <w:sz w:val="18"/>
                <w:szCs w:val="18"/>
              </w:rPr>
              <w:t xml:space="preserve">Accepts if “claims are supported by accurate and convincing evidence”. Fits only if we reframe around the evaluation findings (LLM judge, planner calibration). Disclose LLM use in a first-page footnote.</w:t>
            </w:r>
          </w:p>
        </w:tc>
      </w:tr>
      <w:tr>
        <w:trPr>
          <w:cantSplit/>
        </w:trPr>
        <w:tc>
          <w:tcPr>
            <w:tcW w:type="dxa" w:w="1750"/>
            <w:tcMar>
              <w:top w:type="dxa" w:w="60"/>
              <w:left w:type="dxa" w:w="100"/>
              <w:bottom w:type="dxa" w:w="60"/>
              <w:right w:type="dxa" w:w="100"/>
            </w:tcMar>
          </w:tcPr>
          <w:p>
            <w:pPr>
              <w:spacing w:after="40"/>
            </w:pPr>
            <w:r>
              <w:rPr>
                <w:b/>
                <w:bCs/>
                <w:sz w:val="18"/>
                <w:szCs w:val="18"/>
              </w:rPr>
              <w:t xml:space="preserve">Journal of Computer Science and Cybernetics</w:t>
            </w:r>
            <w:r>
              <w:rPr>
                <w:sz w:val="18"/>
                <w:szCs w:val="18"/>
              </w:rPr>
              <w:t xml:space="preserve"> (VAST)</w:t>
            </w:r>
          </w:p>
        </w:tc>
        <w:tc>
          <w:tcPr>
            <w:tcW w:type="dxa" w:w="1850"/>
            <w:tcMar>
              <w:top w:type="dxa" w:w="60"/>
              <w:left w:type="dxa" w:w="100"/>
              <w:bottom w:type="dxa" w:w="60"/>
              <w:right w:type="dxa" w:w="100"/>
            </w:tcMar>
          </w:tcPr>
          <w:p>
            <w:pPr>
              <w:spacing w:after="40"/>
            </w:pPr>
            <w:r>
              <w:rPr>
                <w:sz w:val="18"/>
                <w:szCs w:val="18"/>
              </w:rPr>
              <w:t xml:space="preserve">Vietnam Academy of Science and Technology; Scopus not confirmed (check)</w:t>
            </w:r>
          </w:p>
        </w:tc>
        <w:tc>
          <w:tcPr>
            <w:tcW w:type="dxa" w:w="1600"/>
            <w:tcMar>
              <w:top w:type="dxa" w:w="60"/>
              <w:left w:type="dxa" w:w="100"/>
              <w:bottom w:type="dxa" w:w="60"/>
              <w:right w:type="dxa" w:w="100"/>
            </w:tcMar>
          </w:tcPr>
          <w:p>
            <w:pPr>
              <w:spacing w:after="40"/>
            </w:pPr>
            <w:r>
              <w:rPr>
                <w:b/>
                <w:bCs/>
                <w:sz w:val="18"/>
                <w:szCs w:val="18"/>
              </w:rPr>
              <w:t xml:space="preserve">Free</w:t>
            </w:r>
          </w:p>
        </w:tc>
        <w:tc>
          <w:tcPr>
            <w:tcW w:type="dxa" w:w="1700"/>
            <w:tcMar>
              <w:top w:type="dxa" w:w="60"/>
              <w:left w:type="dxa" w:w="100"/>
              <w:bottom w:type="dxa" w:w="60"/>
              <w:right w:type="dxa" w:w="100"/>
            </w:tcMar>
          </w:tcPr>
          <w:p>
            <w:pPr>
              <w:spacing w:after="40"/>
            </w:pPr>
            <w:r>
              <w:rPr>
                <w:sz w:val="18"/>
                <w:szCs w:val="18"/>
              </w:rPr>
              <w:t xml:space="preserve">Review about 2 months</w:t>
            </w:r>
          </w:p>
        </w:tc>
        <w:tc>
          <w:tcPr>
            <w:tcW w:type="dxa" w:w="2738"/>
            <w:tcMar>
              <w:top w:type="dxa" w:w="60"/>
              <w:left w:type="dxa" w:w="100"/>
              <w:bottom w:type="dxa" w:w="60"/>
              <w:right w:type="dxa" w:w="100"/>
            </w:tcMar>
          </w:tcPr>
          <w:p>
            <w:pPr>
              <w:spacing w:after="40"/>
            </w:pPr>
            <w:r>
              <w:rPr>
                <w:sz w:val="18"/>
                <w:szCs w:val="18"/>
              </w:rPr>
              <w:t xml:space="preserve">Solid national fallback; English only.</w:t>
            </w:r>
          </w:p>
        </w:tc>
      </w:tr>
      <w:tr>
        <w:trPr>
          <w:cantSplit/>
        </w:trPr>
        <w:tc>
          <w:tcPr>
            <w:tcW w:type="dxa" w:w="1750"/>
            <w:tcMar>
              <w:top w:type="dxa" w:w="60"/>
              <w:left w:type="dxa" w:w="100"/>
              <w:bottom w:type="dxa" w:w="60"/>
              <w:right w:type="dxa" w:w="100"/>
            </w:tcMar>
          </w:tcPr>
          <w:p>
            <w:pPr>
              <w:spacing w:after="40"/>
            </w:pPr>
            <w:r>
              <w:rPr>
                <w:b/>
                <w:bCs/>
                <w:sz w:val="18"/>
                <w:szCs w:val="18"/>
              </w:rPr>
              <w:t xml:space="preserve">VNU Journal of Science: Computer Science and Communication Engineering</w:t>
            </w:r>
          </w:p>
        </w:tc>
        <w:tc>
          <w:tcPr>
            <w:tcW w:type="dxa" w:w="1850"/>
            <w:tcMar>
              <w:top w:type="dxa" w:w="60"/>
              <w:left w:type="dxa" w:w="100"/>
              <w:bottom w:type="dxa" w:w="60"/>
              <w:right w:type="dxa" w:w="100"/>
            </w:tcMar>
          </w:tcPr>
          <w:p>
            <w:pPr>
              <w:spacing w:after="40"/>
            </w:pPr>
            <w:r>
              <w:rPr>
                <w:sz w:val="18"/>
                <w:szCs w:val="18"/>
              </w:rPr>
              <w:t xml:space="preserve">VNU Hanoi; indexing not confirmed (check)</w:t>
            </w:r>
          </w:p>
        </w:tc>
        <w:tc>
          <w:tcPr>
            <w:tcW w:type="dxa" w:w="1600"/>
            <w:tcMar>
              <w:top w:type="dxa" w:w="60"/>
              <w:left w:type="dxa" w:w="100"/>
              <w:bottom w:type="dxa" w:w="60"/>
              <w:right w:type="dxa" w:w="100"/>
            </w:tcMar>
          </w:tcPr>
          <w:p>
            <w:pPr>
              <w:spacing w:after="40"/>
            </w:pPr>
            <w:r>
              <w:rPr>
                <w:b/>
                <w:bCs/>
                <w:sz w:val="18"/>
                <w:szCs w:val="18"/>
              </w:rPr>
              <w:t xml:space="preserve">Free</w:t>
            </w:r>
          </w:p>
        </w:tc>
        <w:tc>
          <w:tcPr>
            <w:tcW w:type="dxa" w:w="1700"/>
            <w:tcMar>
              <w:top w:type="dxa" w:w="60"/>
              <w:left w:type="dxa" w:w="100"/>
              <w:bottom w:type="dxa" w:w="60"/>
              <w:right w:type="dxa" w:w="100"/>
            </w:tcMar>
          </w:tcPr>
          <w:p>
            <w:pPr>
              <w:spacing w:after="40"/>
            </w:pPr>
            <w:r>
              <w:rPr>
                <w:sz w:val="18"/>
                <w:szCs w:val="18"/>
              </w:rPr>
              <w:t xml:space="preserve">Not published</w:t>
            </w:r>
          </w:p>
        </w:tc>
        <w:tc>
          <w:tcPr>
            <w:tcW w:type="dxa" w:w="2738"/>
            <w:tcMar>
              <w:top w:type="dxa" w:w="60"/>
              <w:left w:type="dxa" w:w="100"/>
              <w:bottom w:type="dxa" w:w="60"/>
              <w:right w:type="dxa" w:w="100"/>
            </w:tcMar>
          </w:tcPr>
          <w:p>
            <w:pPr>
              <w:spacing w:after="40"/>
            </w:pPr>
            <w:r>
              <w:rPr>
                <w:sz w:val="18"/>
                <w:szCs w:val="18"/>
              </w:rPr>
              <w:t xml:space="preserve">National fallback.</w:t>
            </w:r>
          </w:p>
        </w:tc>
      </w:tr>
      <w:tr>
        <w:trPr>
          <w:cantSplit/>
        </w:trPr>
        <w:tc>
          <w:tcPr>
            <w:tcW w:type="dxa" w:w="1750"/>
            <w:tcMar>
              <w:top w:type="dxa" w:w="60"/>
              <w:left w:type="dxa" w:w="100"/>
              <w:bottom w:type="dxa" w:w="60"/>
              <w:right w:type="dxa" w:w="100"/>
            </w:tcMar>
          </w:tcPr>
          <w:p>
            <w:pPr>
              <w:spacing w:after="40"/>
            </w:pPr>
            <w:r>
              <w:rPr>
                <w:sz w:val="18"/>
                <w:szCs w:val="18"/>
              </w:rPr>
              <w:t xml:space="preserve">Language Resources and Evaluation</w:t>
            </w:r>
          </w:p>
        </w:tc>
        <w:tc>
          <w:tcPr>
            <w:tcW w:type="dxa" w:w="1850"/>
            <w:tcMar>
              <w:top w:type="dxa" w:w="60"/>
              <w:left w:type="dxa" w:w="100"/>
              <w:bottom w:type="dxa" w:w="60"/>
              <w:right w:type="dxa" w:w="100"/>
            </w:tcMar>
          </w:tcPr>
          <w:p>
            <w:pPr>
              <w:spacing w:after="40"/>
            </w:pPr>
            <w:r>
              <w:rPr>
                <w:sz w:val="18"/>
                <w:szCs w:val="18"/>
              </w:rPr>
              <w:t xml:space="preserve">Springer. IF 1.8</w:t>
            </w:r>
          </w:p>
        </w:tc>
        <w:tc>
          <w:tcPr>
            <w:tcW w:type="dxa" w:w="1600"/>
            <w:tcMar>
              <w:top w:type="dxa" w:w="60"/>
              <w:left w:type="dxa" w:w="100"/>
              <w:bottom w:type="dxa" w:w="60"/>
              <w:right w:type="dxa" w:w="100"/>
            </w:tcMar>
          </w:tcPr>
          <w:p>
            <w:pPr>
              <w:spacing w:after="40"/>
            </w:pPr>
            <w:r>
              <w:rPr>
                <w:sz w:val="18"/>
                <w:szCs w:val="18"/>
              </w:rPr>
              <w:t xml:space="preserve">Free on the standard route</w:t>
            </w:r>
          </w:p>
        </w:tc>
        <w:tc>
          <w:tcPr>
            <w:tcW w:type="dxa" w:w="1700"/>
            <w:tcMar>
              <w:top w:type="dxa" w:w="60"/>
              <w:left w:type="dxa" w:w="100"/>
              <w:bottom w:type="dxa" w:w="60"/>
              <w:right w:type="dxa" w:w="100"/>
            </w:tcMar>
          </w:tcPr>
          <w:p>
            <w:pPr>
              <w:spacing w:after="40"/>
            </w:pPr>
            <w:r>
              <w:rPr>
                <w:sz w:val="18"/>
                <w:szCs w:val="18"/>
              </w:rPr>
              <w:t xml:space="preserve">Median first decision 36 days</w:t>
            </w:r>
          </w:p>
        </w:tc>
        <w:tc>
          <w:tcPr>
            <w:tcW w:type="dxa" w:w="2738"/>
            <w:tcMar>
              <w:top w:type="dxa" w:w="60"/>
              <w:left w:type="dxa" w:w="100"/>
              <w:bottom w:type="dxa" w:w="60"/>
              <w:right w:type="dxa" w:w="100"/>
            </w:tcMar>
          </w:tcPr>
          <w:p>
            <w:pPr>
              <w:spacing w:after="40"/>
            </w:pPr>
            <w:r>
              <w:rPr>
                <w:sz w:val="18"/>
                <w:szCs w:val="18"/>
              </w:rPr>
              <w:t xml:space="preserve">Only if we publish the human-labelled test set as a resource.</w:t>
            </w:r>
          </w:p>
        </w:tc>
      </w:tr>
      <w:tr>
        <w:trPr>
          <w:cantSplit/>
        </w:trPr>
        <w:tc>
          <w:tcPr>
            <w:tcW w:type="dxa" w:w="1750"/>
            <w:tcMar>
              <w:top w:type="dxa" w:w="60"/>
              <w:left w:type="dxa" w:w="100"/>
              <w:bottom w:type="dxa" w:w="60"/>
              <w:right w:type="dxa" w:w="100"/>
            </w:tcMar>
          </w:tcPr>
          <w:p>
            <w:pPr>
              <w:spacing w:after="40"/>
            </w:pPr>
            <w:r>
              <w:rPr>
                <w:sz w:val="18"/>
                <w:szCs w:val="18"/>
              </w:rPr>
              <w:t xml:space="preserve">IEEE Access</w:t>
            </w:r>
          </w:p>
        </w:tc>
        <w:tc>
          <w:tcPr>
            <w:tcW w:type="dxa" w:w="1850"/>
            <w:tcMar>
              <w:top w:type="dxa" w:w="60"/>
              <w:left w:type="dxa" w:w="100"/>
              <w:bottom w:type="dxa" w:w="60"/>
              <w:right w:type="dxa" w:w="100"/>
            </w:tcMar>
          </w:tcPr>
          <w:p>
            <w:pPr>
              <w:spacing w:after="40"/>
            </w:pPr>
            <w:r>
              <w:rPr>
                <w:sz w:val="18"/>
                <w:szCs w:val="18"/>
              </w:rPr>
              <w:t xml:space="preserve">IEEE. IF about 3.6</w:t>
            </w:r>
          </w:p>
        </w:tc>
        <w:tc>
          <w:tcPr>
            <w:tcW w:type="dxa" w:w="1600"/>
            <w:tcMar>
              <w:top w:type="dxa" w:w="60"/>
              <w:left w:type="dxa" w:w="100"/>
              <w:bottom w:type="dxa" w:w="60"/>
              <w:right w:type="dxa" w:w="100"/>
            </w:tcMar>
          </w:tcPr>
          <w:p>
            <w:pPr>
              <w:spacing w:after="40"/>
            </w:pPr>
            <w:r>
              <w:rPr>
                <w:b/>
                <w:bCs/>
                <w:sz w:val="18"/>
                <w:szCs w:val="18"/>
              </w:rPr>
              <w:t xml:space="preserve">$2,160</w:t>
            </w:r>
          </w:p>
        </w:tc>
        <w:tc>
          <w:tcPr>
            <w:tcW w:type="dxa" w:w="1700"/>
            <w:tcMar>
              <w:top w:type="dxa" w:w="60"/>
              <w:left w:type="dxa" w:w="100"/>
              <w:bottom w:type="dxa" w:w="60"/>
              <w:right w:type="dxa" w:w="100"/>
            </w:tcMar>
          </w:tcPr>
          <w:p>
            <w:pPr>
              <w:spacing w:after="40"/>
            </w:pPr>
            <w:r>
              <w:rPr>
                <w:sz w:val="18"/>
                <w:szCs w:val="18"/>
              </w:rPr>
              <w:t xml:space="preserve">First decision about 4–6 weeks</w:t>
            </w:r>
          </w:p>
        </w:tc>
        <w:tc>
          <w:tcPr>
            <w:tcW w:type="dxa" w:w="2738"/>
            <w:tcMar>
              <w:top w:type="dxa" w:w="60"/>
              <w:left w:type="dxa" w:w="100"/>
              <w:bottom w:type="dxa" w:w="60"/>
              <w:right w:type="dxa" w:w="100"/>
            </w:tcMar>
          </w:tcPr>
          <w:p>
            <w:pPr>
              <w:spacing w:after="40"/>
            </w:pPr>
            <w:r>
              <w:rPr>
                <w:sz w:val="18"/>
                <w:szCs w:val="18"/>
              </w:rPr>
              <w:t xml:space="preserve">Fast and broad, but only if FPT pays the fee.</w:t>
            </w:r>
          </w:p>
        </w:tc>
      </w:tr>
      <w:tr>
        <w:trPr>
          <w:cantSplit/>
        </w:trPr>
        <w:tc>
          <w:tcPr>
            <w:tcW w:type="dxa" w:w="1750"/>
            <w:tcMar>
              <w:top w:type="dxa" w:w="60"/>
              <w:left w:type="dxa" w:w="100"/>
              <w:bottom w:type="dxa" w:w="60"/>
              <w:right w:type="dxa" w:w="100"/>
            </w:tcMar>
          </w:tcPr>
          <w:p>
            <w:pPr>
              <w:spacing w:after="40"/>
            </w:pPr>
            <w:r>
              <w:rPr>
                <w:sz w:val="18"/>
                <w:szCs w:val="18"/>
              </w:rPr>
              <w:t xml:space="preserve">ACM TALLIP / ACM Digital Government (DGOV)</w:t>
            </w:r>
          </w:p>
        </w:tc>
        <w:tc>
          <w:tcPr>
            <w:tcW w:type="dxa" w:w="1850"/>
            <w:tcMar>
              <w:top w:type="dxa" w:w="60"/>
              <w:left w:type="dxa" w:w="100"/>
              <w:bottom w:type="dxa" w:w="60"/>
              <w:right w:type="dxa" w:w="100"/>
            </w:tcMar>
          </w:tcPr>
          <w:p>
            <w:pPr>
              <w:spacing w:after="40"/>
            </w:pPr>
            <w:r>
              <w:rPr>
                <w:sz w:val="18"/>
                <w:szCs w:val="18"/>
              </w:rPr>
              <w:t xml:space="preserve">ACM</w:t>
            </w:r>
          </w:p>
        </w:tc>
        <w:tc>
          <w:tcPr>
            <w:tcW w:type="dxa" w:w="1600"/>
            <w:tcMar>
              <w:top w:type="dxa" w:w="60"/>
              <w:left w:type="dxa" w:w="100"/>
              <w:bottom w:type="dxa" w:w="60"/>
              <w:right w:type="dxa" w:w="100"/>
            </w:tcMar>
          </w:tcPr>
          <w:p>
            <w:pPr>
              <w:spacing w:after="40"/>
            </w:pPr>
            <w:r>
              <w:rPr>
                <w:sz w:val="18"/>
                <w:szCs w:val="18"/>
              </w:rPr>
              <w:t xml:space="preserve">Open-access fee (ACM went fully open access); possible 50% discount for Vietnam (check)</w:t>
            </w:r>
          </w:p>
        </w:tc>
        <w:tc>
          <w:tcPr>
            <w:tcW w:type="dxa" w:w="1700"/>
            <w:tcMar>
              <w:top w:type="dxa" w:w="60"/>
              <w:left w:type="dxa" w:w="100"/>
              <w:bottom w:type="dxa" w:w="60"/>
              <w:right w:type="dxa" w:w="100"/>
            </w:tcMar>
          </w:tcPr>
          <w:p>
            <w:pPr>
              <w:spacing w:after="40"/>
            </w:pPr>
            <w:r>
              <w:rPr>
                <w:sz w:val="18"/>
                <w:szCs w:val="18"/>
              </w:rPr>
              <w:t xml:space="preserve">Not found</w:t>
            </w:r>
          </w:p>
        </w:tc>
        <w:tc>
          <w:tcPr>
            <w:tcW w:type="dxa" w:w="2738"/>
            <w:tcMar>
              <w:top w:type="dxa" w:w="60"/>
              <w:left w:type="dxa" w:w="100"/>
              <w:bottom w:type="dxa" w:w="60"/>
              <w:right w:type="dxa" w:w="100"/>
            </w:tcMar>
          </w:tcPr>
          <w:p>
            <w:pPr>
              <w:spacing w:after="40"/>
            </w:pPr>
            <w:r>
              <w:rPr>
                <w:sz w:val="18"/>
                <w:szCs w:val="18"/>
              </w:rPr>
              <w:t xml:space="preserve">Good topical fit (Asian languages; digital government). TALLIP rejects product descriptions without reproducibility.</w:t>
            </w:r>
          </w:p>
        </w:tc>
      </w:tr>
    </w:tbl>
    <w:p>
      <w:pPr>
        <w:spacing w:after="120" w:before="60"/>
      </w:pPr>
      <w:r>
        <w:t xml:space="preserve">Green rows are the ones we recommend.</w:t>
      </w:r>
    </w:p>
    <w:p>
      <w:pPr>
        <w:pStyle w:val="Heading2"/>
      </w:pPr>
      <w:r>
        <w:t xml:space="preserve">2.1 Suggested order</w:t>
      </w:r>
    </w:p>
    <w:p>
      <w:pPr>
        <w:pStyle w:val="ListParagraph"/>
        <w:numPr>
          <w:ilvl w:val="0"/>
          <w:numId w:val="3"/>
        </w:numPr>
        <w:spacing w:after="60"/>
      </w:pPr>
      <w:r>
        <w:rPr>
          <w:b/>
          <w:bCs/>
        </w:rPr>
        <w:t xml:space="preserve">Artificial Intelligence and Law</w:t>
      </w:r>
      <w:r>
        <w:t xml:space="preserve">, only if the human-labelled evaluation is strong. A desk rejection comes back in about a week.</w:t>
      </w:r>
    </w:p>
    <w:p>
      <w:pPr>
        <w:pStyle w:val="ListParagraph"/>
        <w:numPr>
          <w:ilvl w:val="0"/>
          <w:numId w:val="3"/>
        </w:numPr>
        <w:spacing w:after="60"/>
      </w:pPr>
      <w:r>
        <w:rPr>
          <w:b/>
          <w:bCs/>
        </w:rPr>
        <w:t xml:space="preserve">VJCS</w:t>
      </w:r>
      <w:r>
        <w:t xml:space="preserve">, the main target.</w:t>
      </w:r>
    </w:p>
    <w:p>
      <w:pPr>
        <w:pStyle w:val="ListParagraph"/>
        <w:numPr>
          <w:ilvl w:val="0"/>
          <w:numId w:val="3"/>
        </w:numPr>
        <w:spacing w:after="60"/>
      </w:pPr>
      <w:r>
        <w:rPr>
          <w:b/>
          <w:bCs/>
        </w:rPr>
        <w:t xml:space="preserve">Journal of Computer Science and Cybernetics</w:t>
      </w:r>
      <w:r>
        <w:t xml:space="preserve"> or </w:t>
      </w:r>
      <w:r>
        <w:rPr>
          <w:b/>
          <w:bCs/>
        </w:rPr>
        <w:t xml:space="preserve">VNU JCSCE</w:t>
      </w:r>
      <w:r>
        <w:t xml:space="preserve"> if VJCS rejects.</w:t>
      </w:r>
    </w:p>
    <w:p>
      <w:pPr>
        <w:spacing w:after="120" w:before="80"/>
      </w:pPr>
      <w:r>
        <w:rPr>
          <w:b/>
          <w:bCs/>
        </w:rPr>
        <w:t xml:space="preserve">Alternative:</w:t>
      </w:r>
      <w:r>
        <w:t xml:space="preserve"> if we decide the evaluation findings are more interesting than the system itself, write a focused paper for </w:t>
      </w:r>
      <w:r>
        <w:rPr>
          <w:b/>
          <w:bCs/>
        </w:rPr>
        <w:t xml:space="preserve">TMLR</w:t>
      </w:r>
      <w:r>
        <w:t xml:space="preserve"> instead.</w:t>
      </w:r>
    </w:p>
    <w:p>
      <w:pPr>
        <w:pStyle w:val="Heading2"/>
      </w:pPr>
      <w:r>
        <w:t xml:space="preserve">2.2 Avoiding predatory journals</w:t>
      </w:r>
    </w:p>
    <w:p>
      <w:pPr>
        <w:spacing w:after="120"/>
      </w:pPr>
      <w:r>
        <w:t xml:space="preserve">“Pay a fee and get published” journals are common in our region, and a paper there can count against us. Red flags:</w:t>
      </w:r>
    </w:p>
    <w:p>
      <w:pPr>
        <w:pStyle w:val="ListParagraph"/>
        <w:numPr>
          <w:ilvl w:val="0"/>
          <w:numId w:val="4"/>
        </w:numPr>
        <w:spacing w:after="60"/>
      </w:pPr>
      <w:r>
        <w:t xml:space="preserve">Acceptance within days, with no real reviewer comments.</w:t>
      </w:r>
    </w:p>
    <w:p>
      <w:pPr>
        <w:pStyle w:val="ListParagraph"/>
        <w:numPr>
          <w:ilvl w:val="0"/>
          <w:numId w:val="4"/>
        </w:numPr>
        <w:spacing w:after="60"/>
      </w:pPr>
      <w:r>
        <w:t xml:space="preserve">Emailed invitations to submit.</w:t>
      </w:r>
    </w:p>
    <w:p>
      <w:pPr>
        <w:pStyle w:val="ListParagraph"/>
        <w:numPr>
          <w:ilvl w:val="0"/>
          <w:numId w:val="4"/>
        </w:numPr>
        <w:spacing w:after="60"/>
      </w:pPr>
      <w:r>
        <w:t xml:space="preserve">A fee that is the only real requirement.</w:t>
      </w:r>
    </w:p>
    <w:p>
      <w:pPr>
        <w:pStyle w:val="ListParagraph"/>
        <w:numPr>
          <w:ilvl w:val="0"/>
          <w:numId w:val="4"/>
        </w:numPr>
        <w:spacing w:after="60"/>
      </w:pPr>
      <w:r>
        <w:t xml:space="preserve">A name that copies a known journal.</w:t>
      </w:r>
    </w:p>
    <w:p>
      <w:pPr>
        <w:spacing w:after="120"/>
      </w:pPr>
      <w:r>
        <w:t xml:space="preserve">Before submitting anywhere, confirm the journal on the </w:t>
      </w:r>
      <w:r>
        <w:rPr>
          <w:b/>
          <w:bCs/>
        </w:rPr>
        <w:t xml:space="preserve">Scopus Sources list</w:t>
      </w:r>
      <w:r>
        <w:t xml:space="preserve">, the </w:t>
      </w:r>
      <w:r>
        <w:rPr>
          <w:b/>
          <w:bCs/>
        </w:rPr>
        <w:t xml:space="preserve">Web of Science Master Journal List</w:t>
      </w:r>
      <w:r>
        <w:t xml:space="preserve"> or </w:t>
      </w:r>
      <w:r>
        <w:rPr>
          <w:b/>
          <w:bCs/>
        </w:rPr>
        <w:t xml:space="preserve">DOAJ</w:t>
      </w:r>
      <w:r>
        <w:t xml:space="preserve">, not on the journal’s own website.</w:t>
      </w:r>
    </w:p>
    <w:p>
      <w:pPr>
        <w:pStyle w:val="Heading1"/>
      </w:pPr>
      <w:r>
        <w:t xml:space="preserve">3. What each publisher says about 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5338"/>
        <w:gridCol w:w="2200"/>
      </w:tblGrid>
      <w:tr>
        <w:trPr>
          <w:tblHeader/>
        </w:trPr>
        <w:tc>
          <w:tcPr>
            <w:tcW w:type="dxa" w:w="2100"/>
            <w:shd w:fill="DCE6F1" w:color="auto" w:val="clear"/>
            <w:tcMar>
              <w:top w:type="dxa" w:w="60"/>
              <w:left w:type="dxa" w:w="100"/>
              <w:bottom w:type="dxa" w:w="60"/>
              <w:right w:type="dxa" w:w="100"/>
            </w:tcMar>
          </w:tcPr>
          <w:p>
            <w:pPr>
              <w:spacing w:after="40"/>
            </w:pPr>
            <w:r>
              <w:rPr>
                <w:b/>
                <w:bCs/>
                <w:sz w:val="18"/>
                <w:szCs w:val="18"/>
              </w:rPr>
              <w:t xml:space="preserve">Publisher (journals)</w:t>
            </w:r>
          </w:p>
        </w:tc>
        <w:tc>
          <w:tcPr>
            <w:tcW w:type="dxa" w:w="5338"/>
            <w:shd w:fill="DCE6F1" w:color="auto" w:val="clear"/>
            <w:tcMar>
              <w:top w:type="dxa" w:w="60"/>
              <w:left w:type="dxa" w:w="100"/>
              <w:bottom w:type="dxa" w:w="60"/>
              <w:right w:type="dxa" w:w="100"/>
            </w:tcMar>
          </w:tcPr>
          <w:p>
            <w:pPr>
              <w:spacing w:after="40"/>
            </w:pPr>
            <w:r>
              <w:rPr>
                <w:b/>
                <w:bCs/>
                <w:sz w:val="18"/>
                <w:szCs w:val="18"/>
              </w:rPr>
              <w:t xml:space="preserve">Rule</w:t>
            </w:r>
          </w:p>
        </w:tc>
        <w:tc>
          <w:tcPr>
            <w:tcW w:type="dxa" w:w="2200"/>
            <w:shd w:fill="DCE6F1" w:color="auto" w:val="clear"/>
            <w:tcMar>
              <w:top w:type="dxa" w:w="60"/>
              <w:left w:type="dxa" w:w="100"/>
              <w:bottom w:type="dxa" w:w="60"/>
              <w:right w:type="dxa" w:w="100"/>
            </w:tcMar>
          </w:tcPr>
          <w:p>
            <w:pPr>
              <w:spacing w:after="40"/>
            </w:pPr>
            <w:r>
              <w:rPr>
                <w:b/>
                <w:bCs/>
                <w:sz w:val="18"/>
                <w:szCs w:val="18"/>
              </w:rPr>
              <w:t xml:space="preserve">Where to disclose</w:t>
            </w:r>
          </w:p>
        </w:tc>
      </w:tr>
      <w:tr>
        <w:trPr>
          <w:cantSplit/>
        </w:trPr>
        <w:tc>
          <w:tcPr>
            <w:tcW w:type="dxa" w:w="2100"/>
            <w:tcMar>
              <w:top w:type="dxa" w:w="60"/>
              <w:left w:type="dxa" w:w="100"/>
              <w:bottom w:type="dxa" w:w="60"/>
              <w:right w:type="dxa" w:w="100"/>
            </w:tcMar>
          </w:tcPr>
          <w:p>
            <w:pPr>
              <w:spacing w:after="40"/>
            </w:pPr>
            <w:r>
              <w:rPr>
                <w:b/>
                <w:bCs/>
                <w:sz w:val="18"/>
                <w:szCs w:val="18"/>
              </w:rPr>
              <w:t xml:space="preserve">World Scientific</w:t>
            </w:r>
            <w:r>
              <w:rPr>
                <w:sz w:val="18"/>
                <w:szCs w:val="18"/>
              </w:rPr>
              <w:t xml:space="preserve"> (VJCS)</w:t>
            </w:r>
          </w:p>
        </w:tc>
        <w:tc>
          <w:tcPr>
            <w:tcW w:type="dxa" w:w="5338"/>
            <w:tcMar>
              <w:top w:type="dxa" w:w="60"/>
              <w:left w:type="dxa" w:w="100"/>
              <w:bottom w:type="dxa" w:w="60"/>
              <w:right w:type="dxa" w:w="100"/>
            </w:tcMar>
          </w:tcPr>
          <w:p>
            <w:pPr>
              <w:spacing w:after="40"/>
            </w:pPr>
            <w:r>
              <w:rPr>
                <w:sz w:val="18"/>
                <w:szCs w:val="18"/>
              </w:rPr>
              <w:t xml:space="preserve">AI use allowed, including drafting, with mandatory human review. Say which tool and how it was used. Authors answer for originality and integrity. (Taken from a summary of the policy; check the original.)</w:t>
            </w:r>
          </w:p>
        </w:tc>
        <w:tc>
          <w:tcPr>
            <w:tcW w:type="dxa" w:w="2200"/>
            <w:tcMar>
              <w:top w:type="dxa" w:w="60"/>
              <w:left w:type="dxa" w:w="100"/>
              <w:bottom w:type="dxa" w:w="60"/>
              <w:right w:type="dxa" w:w="100"/>
            </w:tcMar>
          </w:tcPr>
          <w:p>
            <w:pPr>
              <w:spacing w:after="40"/>
            </w:pPr>
            <w:r>
              <w:rPr>
                <w:sz w:val="18"/>
                <w:szCs w:val="18"/>
              </w:rPr>
              <w:t xml:space="preserve">Methods or similar section</w:t>
            </w:r>
          </w:p>
        </w:tc>
      </w:tr>
      <w:tr>
        <w:trPr>
          <w:cantSplit/>
        </w:trPr>
        <w:tc>
          <w:tcPr>
            <w:tcW w:type="dxa" w:w="2100"/>
            <w:tcMar>
              <w:top w:type="dxa" w:w="60"/>
              <w:left w:type="dxa" w:w="100"/>
              <w:bottom w:type="dxa" w:w="60"/>
              <w:right w:type="dxa" w:w="100"/>
            </w:tcMar>
          </w:tcPr>
          <w:p>
            <w:pPr>
              <w:spacing w:after="40"/>
            </w:pPr>
            <w:r>
              <w:rPr>
                <w:b/>
                <w:bCs/>
                <w:sz w:val="18"/>
                <w:szCs w:val="18"/>
              </w:rPr>
              <w:t xml:space="preserve">Taylor &amp; Francis</w:t>
            </w:r>
            <w:r>
              <w:rPr>
                <w:sz w:val="18"/>
                <w:szCs w:val="18"/>
              </w:rPr>
              <w:t xml:space="preserve"> (JIT)</w:t>
            </w:r>
          </w:p>
        </w:tc>
        <w:tc>
          <w:tcPr>
            <w:tcW w:type="dxa" w:w="5338"/>
            <w:tcMar>
              <w:top w:type="dxa" w:w="60"/>
              <w:left w:type="dxa" w:w="100"/>
              <w:bottom w:type="dxa" w:w="60"/>
              <w:right w:type="dxa" w:w="100"/>
            </w:tcMar>
          </w:tcPr>
          <w:p>
            <w:pPr>
              <w:spacing w:after="40"/>
            </w:pPr>
            <w:r>
              <w:rPr>
                <w:sz w:val="18"/>
                <w:szCs w:val="18"/>
              </w:rPr>
              <w:t xml:space="preserve">Name the tool and version, how it was used and why. AI cannot be an author.</w:t>
            </w:r>
          </w:p>
        </w:tc>
        <w:tc>
          <w:tcPr>
            <w:tcW w:type="dxa" w:w="2200"/>
            <w:tcMar>
              <w:top w:type="dxa" w:w="60"/>
              <w:left w:type="dxa" w:w="100"/>
              <w:bottom w:type="dxa" w:w="60"/>
              <w:right w:type="dxa" w:w="100"/>
            </w:tcMar>
          </w:tcPr>
          <w:p>
            <w:pPr>
              <w:spacing w:after="40"/>
            </w:pPr>
            <w:r>
              <w:rPr>
                <w:sz w:val="18"/>
                <w:szCs w:val="18"/>
              </w:rPr>
              <w:t xml:space="preserve">Methods; Acknowledgments if no Methods</w:t>
            </w:r>
          </w:p>
        </w:tc>
      </w:tr>
      <w:tr>
        <w:trPr>
          <w:cantSplit/>
        </w:trPr>
        <w:tc>
          <w:tcPr>
            <w:tcW w:type="dxa" w:w="2100"/>
            <w:tcMar>
              <w:top w:type="dxa" w:w="60"/>
              <w:left w:type="dxa" w:w="100"/>
              <w:bottom w:type="dxa" w:w="60"/>
              <w:right w:type="dxa" w:w="100"/>
            </w:tcMar>
          </w:tcPr>
          <w:p>
            <w:pPr>
              <w:spacing w:after="40"/>
            </w:pPr>
            <w:r>
              <w:rPr>
                <w:b/>
                <w:bCs/>
                <w:sz w:val="18"/>
                <w:szCs w:val="18"/>
              </w:rPr>
              <w:t xml:space="preserve">Springer</w:t>
            </w:r>
            <w:r>
              <w:rPr>
                <w:sz w:val="18"/>
                <w:szCs w:val="18"/>
              </w:rPr>
              <w:t xml:space="preserve"> (AI &amp; Law, LRE)</w:t>
            </w:r>
          </w:p>
        </w:tc>
        <w:tc>
          <w:tcPr>
            <w:tcW w:type="dxa" w:w="5338"/>
            <w:tcMar>
              <w:top w:type="dxa" w:w="60"/>
              <w:left w:type="dxa" w:w="100"/>
              <w:bottom w:type="dxa" w:w="60"/>
              <w:right w:type="dxa" w:w="100"/>
            </w:tcMar>
          </w:tcPr>
          <w:p>
            <w:pPr>
              <w:spacing w:after="40"/>
            </w:pPr>
            <w:r>
              <w:rPr>
                <w:sz w:val="18"/>
                <w:szCs w:val="18"/>
              </w:rPr>
              <w:t xml:space="preserve">Document LLM use. Copy-editing of human-written text needs no declaration. No generative-AI images.</w:t>
            </w:r>
          </w:p>
        </w:tc>
        <w:tc>
          <w:tcPr>
            <w:tcW w:type="dxa" w:w="2200"/>
            <w:tcMar>
              <w:top w:type="dxa" w:w="60"/>
              <w:left w:type="dxa" w:w="100"/>
              <w:bottom w:type="dxa" w:w="60"/>
              <w:right w:type="dxa" w:w="100"/>
            </w:tcMar>
          </w:tcPr>
          <w:p>
            <w:pPr>
              <w:spacing w:after="40"/>
            </w:pPr>
            <w:r>
              <w:rPr>
                <w:sz w:val="18"/>
                <w:szCs w:val="18"/>
              </w:rPr>
              <w:t xml:space="preserve">Methods section</w:t>
            </w:r>
          </w:p>
        </w:tc>
      </w:tr>
      <w:tr>
        <w:trPr>
          <w:cantSplit/>
        </w:trPr>
        <w:tc>
          <w:tcPr>
            <w:tcW w:type="dxa" w:w="2100"/>
            <w:tcMar>
              <w:top w:type="dxa" w:w="60"/>
              <w:left w:type="dxa" w:w="100"/>
              <w:bottom w:type="dxa" w:w="60"/>
              <w:right w:type="dxa" w:w="100"/>
            </w:tcMar>
          </w:tcPr>
          <w:p>
            <w:pPr>
              <w:spacing w:after="40"/>
            </w:pPr>
            <w:r>
              <w:rPr>
                <w:b/>
                <w:bCs/>
                <w:sz w:val="18"/>
                <w:szCs w:val="18"/>
              </w:rPr>
              <w:t xml:space="preserve">TMLR</w:t>
            </w:r>
          </w:p>
        </w:tc>
        <w:tc>
          <w:tcPr>
            <w:tcW w:type="dxa" w:w="5338"/>
            <w:tcMar>
              <w:top w:type="dxa" w:w="60"/>
              <w:left w:type="dxa" w:w="100"/>
              <w:bottom w:type="dxa" w:w="60"/>
              <w:right w:type="dxa" w:w="100"/>
            </w:tcMar>
          </w:tcPr>
          <w:p>
            <w:pPr>
              <w:spacing w:after="40"/>
            </w:pPr>
            <w:r>
              <w:rPr>
                <w:sz w:val="18"/>
                <w:szCs w:val="18"/>
              </w:rPr>
              <w:t xml:space="preserve">LLMs allowed; authors are responsible. Ideas, claims and results should be human-sourced.</w:t>
            </w:r>
          </w:p>
        </w:tc>
        <w:tc>
          <w:tcPr>
            <w:tcW w:type="dxa" w:w="2200"/>
            <w:tcMar>
              <w:top w:type="dxa" w:w="60"/>
              <w:left w:type="dxa" w:w="100"/>
              <w:bottom w:type="dxa" w:w="60"/>
              <w:right w:type="dxa" w:w="100"/>
            </w:tcMar>
          </w:tcPr>
          <w:p>
            <w:pPr>
              <w:spacing w:after="40"/>
            </w:pPr>
            <w:r>
              <w:rPr>
                <w:sz w:val="18"/>
                <w:szCs w:val="18"/>
              </w:rPr>
              <w:t xml:space="preserve">Footnote on the first page</w:t>
            </w:r>
          </w:p>
        </w:tc>
      </w:tr>
      <w:tr>
        <w:trPr>
          <w:cantSplit/>
        </w:trPr>
        <w:tc>
          <w:tcPr>
            <w:tcW w:type="dxa" w:w="2100"/>
            <w:tcMar>
              <w:top w:type="dxa" w:w="60"/>
              <w:left w:type="dxa" w:w="100"/>
              <w:bottom w:type="dxa" w:w="60"/>
              <w:right w:type="dxa" w:w="100"/>
            </w:tcMar>
          </w:tcPr>
          <w:p>
            <w:pPr>
              <w:spacing w:after="40"/>
            </w:pPr>
            <w:r>
              <w:rPr>
                <w:b/>
                <w:bCs/>
                <w:sz w:val="18"/>
                <w:szCs w:val="18"/>
              </w:rPr>
              <w:t xml:space="preserve">IEEE</w:t>
            </w:r>
            <w:r>
              <w:rPr>
                <w:sz w:val="18"/>
                <w:szCs w:val="18"/>
              </w:rPr>
              <w:t xml:space="preserve"> (IEEE Access)</w:t>
            </w:r>
          </w:p>
        </w:tc>
        <w:tc>
          <w:tcPr>
            <w:tcW w:type="dxa" w:w="5338"/>
            <w:tcMar>
              <w:top w:type="dxa" w:w="60"/>
              <w:left w:type="dxa" w:w="100"/>
              <w:bottom w:type="dxa" w:w="60"/>
              <w:right w:type="dxa" w:w="100"/>
            </w:tcMar>
          </w:tcPr>
          <w:p>
            <w:pPr>
              <w:spacing w:after="40"/>
            </w:pPr>
            <w:r>
              <w:rPr>
                <w:sz w:val="18"/>
                <w:szCs w:val="18"/>
              </w:rPr>
              <w:t xml:space="preserve">Disclose AI-generated text, figures and code: which tool, which sections, how much.</w:t>
            </w:r>
          </w:p>
        </w:tc>
        <w:tc>
          <w:tcPr>
            <w:tcW w:type="dxa" w:w="2200"/>
            <w:tcMar>
              <w:top w:type="dxa" w:w="60"/>
              <w:left w:type="dxa" w:w="100"/>
              <w:bottom w:type="dxa" w:w="60"/>
              <w:right w:type="dxa" w:w="100"/>
            </w:tcMar>
          </w:tcPr>
          <w:p>
            <w:pPr>
              <w:spacing w:after="40"/>
            </w:pPr>
            <w:r>
              <w:rPr>
                <w:sz w:val="18"/>
                <w:szCs w:val="18"/>
              </w:rPr>
              <w:t xml:space="preserve">Acknowledgments</w:t>
            </w:r>
          </w:p>
        </w:tc>
      </w:tr>
      <w:tr>
        <w:trPr>
          <w:cantSplit/>
        </w:trPr>
        <w:tc>
          <w:tcPr>
            <w:tcW w:type="dxa" w:w="2100"/>
            <w:tcMar>
              <w:top w:type="dxa" w:w="60"/>
              <w:left w:type="dxa" w:w="100"/>
              <w:bottom w:type="dxa" w:w="60"/>
              <w:right w:type="dxa" w:w="100"/>
            </w:tcMar>
          </w:tcPr>
          <w:p>
            <w:pPr>
              <w:spacing w:after="40"/>
            </w:pPr>
            <w:r>
              <w:rPr>
                <w:b/>
                <w:bCs/>
                <w:sz w:val="18"/>
                <w:szCs w:val="18"/>
              </w:rPr>
              <w:t xml:space="preserve">ACM</w:t>
            </w:r>
            <w:r>
              <w:rPr>
                <w:sz w:val="18"/>
                <w:szCs w:val="18"/>
              </w:rPr>
              <w:t xml:space="preserve"> (TALLIP, DGOV)</w:t>
            </w:r>
          </w:p>
        </w:tc>
        <w:tc>
          <w:tcPr>
            <w:tcW w:type="dxa" w:w="5338"/>
            <w:tcMar>
              <w:top w:type="dxa" w:w="60"/>
              <w:left w:type="dxa" w:w="100"/>
              <w:bottom w:type="dxa" w:w="60"/>
              <w:right w:type="dxa" w:w="100"/>
            </w:tcMar>
          </w:tcPr>
          <w:p>
            <w:pPr>
              <w:spacing w:after="40"/>
            </w:pPr>
            <w:r>
              <w:rPr>
                <w:sz w:val="18"/>
                <w:szCs w:val="18"/>
              </w:rPr>
              <w:t xml:space="preserve">Generative-AI content permitted but must be fully disclosed.</w:t>
            </w:r>
          </w:p>
        </w:tc>
        <w:tc>
          <w:tcPr>
            <w:tcW w:type="dxa" w:w="2200"/>
            <w:tcMar>
              <w:top w:type="dxa" w:w="60"/>
              <w:left w:type="dxa" w:w="100"/>
              <w:bottom w:type="dxa" w:w="60"/>
              <w:right w:type="dxa" w:w="100"/>
            </w:tcMar>
          </w:tcPr>
          <w:p>
            <w:pPr>
              <w:spacing w:after="40"/>
            </w:pPr>
            <w:r>
              <w:rPr>
                <w:sz w:val="18"/>
                <w:szCs w:val="18"/>
              </w:rPr>
              <w:t xml:space="preserve">In the paper</w:t>
            </w:r>
          </w:p>
        </w:tc>
      </w:tr>
    </w:tbl>
    <w:p>
      <w:pPr>
        <w:spacing w:after="120"/>
      </w:pPr>
    </w:p>
    <w:p>
      <w:pPr>
        <w:spacing w:after="120"/>
      </w:pPr>
      <w:r>
        <w:rPr>
          <w:b/>
          <w:bCs/>
        </w:rPr>
        <w:t xml:space="preserve">Draft disclosure we can adapt: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shd w:fill="F2F2F2" w:color="auto" w:val="clear"/>
            <w:tcMar>
              <w:top w:type="dxa" w:w="120"/>
              <w:left w:type="dxa" w:w="180"/>
              <w:bottom w:type="dxa" w:w="120"/>
              <w:right w:type="dxa" w:w="180"/>
            </w:tcMar>
          </w:tcPr>
          <w:p>
            <w:pPr>
              <w:spacing w:after="80"/>
            </w:pPr>
            <w:r>
              <w:t xml:space="preserve">“The software described in this paper was developed with the help of an AI coding assistant (Claude Code, Anthropic). Parts of this manuscript were drafted with AI assistance; the authors reviewed, edited and verified all content and take full responsibility for it. Some test cases in the development and blind sets were written with LLM assistance (see Section X); the human-labelled evaluation set in Section Y was not.”</w:t>
            </w:r>
          </w:p>
        </w:tc>
      </w:tr>
    </w:tbl>
    <w:p>
      <w:pPr>
        <w:spacing w:after="120"/>
      </w:pPr>
    </w:p>
    <w:p>
      <w:pPr>
        <w:pStyle w:val="Heading1"/>
      </w:pPr>
      <w:r>
        <w:t xml:space="preserve">4. Where our paper stands</w:t>
      </w:r>
    </w:p>
    <w:p>
      <w:pPr>
        <w:pStyle w:val="ListParagraph"/>
        <w:numPr>
          <w:ilvl w:val="0"/>
          <w:numId w:val="4"/>
        </w:numPr>
        <w:spacing w:after="60"/>
      </w:pPr>
      <w:r>
        <w:rPr>
          <w:b/>
          <w:bCs/>
        </w:rPr>
        <w:t xml:space="preserve">Our strength:</w:t>
      </w:r>
      <w:r>
        <w:t xml:space="preserve"> the system is real and honestly measured. We have blind test sets, confidence intervals, negative results (the LLM planner did not help) and a measured failure of LLM-as-judge.</w:t>
      </w:r>
    </w:p>
    <w:p>
      <w:pPr>
        <w:pStyle w:val="ListParagraph"/>
        <w:numPr>
          <w:ilvl w:val="0"/>
          <w:numId w:val="4"/>
        </w:numPr>
        <w:spacing w:after="60"/>
      </w:pPr>
      <w:r>
        <w:rPr>
          <w:b/>
          <w:bCs/>
        </w:rPr>
        <w:t xml:space="preserve">The current draft (docs/research_paper.md) is not submittable.</w:t>
      </w:r>
      <w:r>
        <w:t xml:space="preserve"> It describes components the code does not contain, quotes unverified numbers from other papers, and compares our scores with other papers’ scores on different datasets.</w:t>
      </w:r>
    </w:p>
    <w:p>
      <w:pPr>
        <w:pStyle w:val="Heading1"/>
      </w:pPr>
      <w:r>
        <w:t xml:space="preserve">5. What to fix, most important first</w:t>
      </w:r>
    </w:p>
    <w:p>
      <w:pPr>
        <w:pStyle w:val="Heading2"/>
      </w:pPr>
      <w:r>
        <w:t xml:space="preserve">5.1 Integrity problems in the current draft</w:t>
      </w:r>
    </w:p>
    <w:p>
      <w:pPr>
        <w:spacing w:after="120"/>
      </w:pPr>
      <w:r>
        <w:t xml:space="preserve">Any one of these can get the paper rejected, or worse, published with false claims under our names.</w:t>
      </w:r>
    </w:p>
    <w:p>
      <w:pPr>
        <w:pStyle w:val="ListParagraph"/>
        <w:numPr>
          <w:ilvl w:val="0"/>
          <w:numId w:val="4"/>
        </w:numPr>
        <w:spacing w:after="60"/>
      </w:pPr>
      <w:r>
        <w:rPr>
          <w:b/>
          <w:bCs/>
        </w:rPr>
        <w:t xml:space="preserve">Components that do not exist.</w:t>
      </w:r>
      <w:r>
        <w:t xml:space="preserve"> The architecture section claims GPTCache on Redis, RouteLLM, vLLM, MCP and Qwen-2.5-7B. None of these is in the code. The real stack is Ollama with qwen3:4b-instruct-2507.</w:t>
      </w:r>
    </w:p>
    <w:p>
      <w:pPr>
        <w:pStyle w:val="ListParagraph"/>
        <w:numPr>
          <w:ilvl w:val="0"/>
          <w:numId w:val="4"/>
        </w:numPr>
        <w:spacing w:after="60"/>
      </w:pPr>
      <w:r>
        <w:rPr>
          <w:b/>
          <w:bCs/>
        </w:rPr>
        <w:t xml:space="preserve">Unverified related-work numbers.</w:t>
      </w:r>
      <w:r>
        <w:t xml:space="preserve"> Many look invented, and the two that can be checked from memory are wrong: vLLM was compared against Orca and FasterTransformer, not HuggingFace TGI, and RAGAS was not validated against “human legal judges”. Check every number against the PDFs in docs/research paper/ or delete it, and confirm every reference exists.</w:t>
      </w:r>
    </w:p>
    <w:p>
      <w:pPr>
        <w:pStyle w:val="ListParagraph"/>
        <w:numPr>
          <w:ilvl w:val="0"/>
          <w:numId w:val="4"/>
        </w:numPr>
        <w:spacing w:after="60"/>
      </w:pPr>
      <w:r>
        <w:rPr>
          <w:b/>
          <w:bCs/>
        </w:rPr>
        <w:t xml:space="preserve">Cross-dataset comparison (draft §4.1).</w:t>
      </w:r>
      <w:r>
        <w:t xml:space="preserve"> The table ranks our 75% against other papers’ scores on completely different datasets. Reviewers reject this on sight. Compare only on the same test set.</w:t>
      </w:r>
    </w:p>
    <w:p>
      <w:pPr>
        <w:pStyle w:val="ListParagraph"/>
        <w:numPr>
          <w:ilvl w:val="0"/>
          <w:numId w:val="4"/>
        </w:numPr>
        <w:spacing w:after="60"/>
      </w:pPr>
      <w:r>
        <w:rPr>
          <w:b/>
          <w:bCs/>
        </w:rPr>
        <w:t xml:space="preserve">Outdated numbers.</w:t>
      </w:r>
      <w:r>
        <w:t xml:space="preserve"> The draft uses the 1,350-procedure snapshot; the official data is now version 3 (1,517 procedures). Items P1–P7 in docs/SUA_SLIDE_VA_BAI_BAO.md list the corrections.</w:t>
      </w:r>
    </w:p>
    <w:p>
      <w:pPr>
        <w:pStyle w:val="Heading2"/>
      </w:pPr>
      <w:r>
        <w:t xml:space="preserve">5.2 Tell one sharper story</w:t>
      </w:r>
    </w:p>
    <w:p>
      <w:pPr>
        <w:spacing w:after="120"/>
      </w:pPr>
      <w:r>
        <w:t xml:space="preserve">The draft tries to cover System 3, System 4 and more. Cut it to the Strict engine for Vietnamese administrative procedures. These are our most interesting and defensible findings:</w:t>
      </w:r>
    </w:p>
    <w:p>
      <w:pPr>
        <w:pStyle w:val="ListParagraph"/>
        <w:numPr>
          <w:ilvl w:val="0"/>
          <w:numId w:val="5"/>
        </w:numPr>
        <w:spacing w:after="60"/>
      </w:pPr>
      <w:r>
        <w:rPr>
          <w:b/>
          <w:bCs/>
        </w:rPr>
        <w:t xml:space="preserve">A 4B LLM planner did not beat the rules.</w:t>
      </w:r>
      <w:r>
        <w:t xml:space="preserve"> It reported 0.99 confidence on 65% of its answers, including the wrong ones.</w:t>
      </w:r>
    </w:p>
    <w:p>
      <w:pPr>
        <w:pStyle w:val="ListParagraph"/>
        <w:numPr>
          <w:ilvl w:val="0"/>
          <w:numId w:val="5"/>
        </w:numPr>
        <w:spacing w:after="60"/>
      </w:pPr>
      <w:r>
        <w:rPr>
          <w:b/>
          <w:bCs/>
        </w:rPr>
        <w:t xml:space="preserve">A 7B LLM judge (RAGAS-style) is not trustworthy here.</w:t>
      </w:r>
      <w:r>
        <w:t xml:space="preserve"> It caught only 51% of fabrications we planted on purpose, with κ = 0.02 agreement.</w:t>
      </w:r>
    </w:p>
    <w:p>
      <w:pPr>
        <w:pStyle w:val="ListParagraph"/>
        <w:numPr>
          <w:ilvl w:val="0"/>
          <w:numId w:val="5"/>
        </w:numPr>
        <w:spacing w:after="60"/>
      </w:pPr>
      <w:r>
        <w:rPr>
          <w:b/>
          <w:bCs/>
        </w:rPr>
        <w:t xml:space="preserve">“Rules decide, the LLM only phrases, a verifier checks every claim” works.</w:t>
      </w:r>
      <w:r>
        <w:t xml:space="preserve"> The verifier kept 100% of the correct numbers.</w:t>
      </w:r>
    </w:p>
    <w:p>
      <w:pPr>
        <w:pStyle w:val="ListParagraph"/>
        <w:numPr>
          <w:ilvl w:val="0"/>
          <w:numId w:val="5"/>
        </w:numPr>
        <w:spacing w:after="60"/>
      </w:pPr>
      <w:r>
        <w:rPr>
          <w:b/>
          <w:bCs/>
        </w:rPr>
        <w:t xml:space="preserve">Text-to-SQL over one flat table works for a 4B model:</w:t>
      </w:r>
      <w:r>
        <w:t xml:space="preserve"> 93% on our dedicated test set, because the model never has to write a JOIN.</w:t>
      </w:r>
    </w:p>
    <w:p>
      <w:pPr>
        <w:pStyle w:val="ListParagraph"/>
        <w:numPr>
          <w:ilvl w:val="0"/>
          <w:numId w:val="5"/>
        </w:numPr>
        <w:spacing w:after="60"/>
      </w:pPr>
      <w:r>
        <w:rPr>
          <w:b/>
          <w:bCs/>
        </w:rPr>
        <w:t xml:space="preserve">The honest gap:</w:t>
      </w:r>
      <w:r>
        <w:t xml:space="preserve"> 98% on the tuning set, about 72–78% top-1 on blind sets, and clarification questions are right only about half the time.</w:t>
      </w:r>
    </w:p>
    <w:p>
      <w:pPr>
        <w:pStyle w:val="Heading2"/>
      </w:pPr>
      <w:r>
        <w:t xml:space="preserve">5.3 Evaluation: the biggest weakness in substance</w:t>
      </w:r>
    </w:p>
    <w:p>
      <w:pPr>
        <w:pStyle w:val="ListParagraph"/>
        <w:numPr>
          <w:ilvl w:val="0"/>
          <w:numId w:val="4"/>
        </w:numPr>
        <w:spacing w:after="60"/>
      </w:pPr>
      <w:r>
        <w:rPr>
          <w:b/>
          <w:bCs/>
        </w:rPr>
        <w:t xml:space="preserve">No human has labelled any answer, and every test set was written by our team or by an AI agent.</w:t>
      </w:r>
      <w:r>
        <w:t xml:space="preserve"> Collect 150–300 real citizen questions (family members, a ward office, public Q&amp;A forums), have two people label them independently, and report their agreement (Cohen’s κ).</w:t>
      </w:r>
    </w:p>
    <w:p>
      <w:pPr>
        <w:pStyle w:val="ListParagraph"/>
        <w:numPr>
          <w:ilvl w:val="0"/>
          <w:numId w:val="4"/>
        </w:numPr>
        <w:spacing w:after="60"/>
      </w:pPr>
      <w:r>
        <w:rPr>
          <w:b/>
          <w:bCs/>
        </w:rPr>
        <w:t xml:space="preserve">Add real baselines on the same test set:</w:t>
      </w:r>
      <w:r>
        <w:t xml:space="preserve"> BM25 alone, a multilingual dense retriever, and plain RAG with the same Qwen3-4B. Our old V10.6 version does not count as a baseline.</w:t>
      </w:r>
    </w:p>
    <w:p>
      <w:pPr>
        <w:pStyle w:val="ListParagraph"/>
        <w:numPr>
          <w:ilvl w:val="0"/>
          <w:numId w:val="4"/>
        </w:numPr>
        <w:spacing w:after="60"/>
      </w:pPr>
      <w:r>
        <w:rPr>
          <w:b/>
          <w:bCs/>
        </w:rPr>
        <w:t xml:space="preserve">Report properly:</w:t>
      </w:r>
      <w:r>
        <w:t xml:space="preserve"> 95% confidence intervals (we already compute them) and latency under load, not only for a single user.</w:t>
      </w:r>
    </w:p>
    <w:p>
      <w:pPr>
        <w:pStyle w:val="ListParagraph"/>
        <w:numPr>
          <w:ilvl w:val="0"/>
          <w:numId w:val="4"/>
        </w:numPr>
        <w:spacing w:after="60"/>
      </w:pPr>
      <w:r>
        <w:rPr>
          <w:b/>
          <w:bCs/>
        </w:rPr>
        <w:t xml:space="preserve">Reproducibility:</w:t>
      </w:r>
      <w:r>
        <w:t xml:space="preserve"> release the code and the test set, and state the data source and its licence.</w:t>
      </w:r>
    </w:p>
    <w:p>
      <w:pPr>
        <w:pStyle w:val="ListParagraph"/>
        <w:numPr>
          <w:ilvl w:val="0"/>
          <w:numId w:val="4"/>
        </w:numPr>
        <w:spacing w:after="60"/>
      </w:pPr>
      <w:r>
        <w:rPr>
          <w:b/>
          <w:bCs/>
        </w:rPr>
        <w:t xml:space="preserve">Ethics:</w:t>
      </w:r>
      <w:r>
        <w:t xml:space="preserve"> citizen privacy (what PII masking does and does not catch) and the risk of wrong legal advice.</w:t>
      </w:r>
    </w:p>
    <w:p>
      <w:pPr>
        <w:pStyle w:val="Heading2"/>
      </w:pPr>
      <w:r>
        <w:t xml:space="preserve">5.4 Writing quality</w:t>
      </w:r>
    </w:p>
    <w:p>
      <w:pPr>
        <w:spacing w:after="120"/>
      </w:pPr>
      <w:r>
        <w:t xml:space="preserve">The draft reads like unedited AI output: bold text everywhere, phrases like “enterprise-grade” and “zero-hallucination”, absolute claims like “eliminates” that we cannot prove, and an internal codename (“Sys_3_4”) in the title. Reviewers penalize this style because it signals that nobody checked the content. Write plainly, make claims no bigger than the measurements, and give limitations their own section. A journal paper also needs a fuller related-work section and a complete method description, since there is no talk to fill the gaps.</w:t>
      </w:r>
    </w:p>
    <w:p>
      <w:pPr>
        <w:pStyle w:val="Heading1"/>
      </w:pPr>
      <w:r>
        <w:t xml:space="preserve">6. What every reviewer checks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38"/>
        <w:gridCol w:w="3200"/>
      </w:tblGrid>
      <w:tr>
        <w:trPr>
          <w:tblHeader/>
        </w:trPr>
        <w:tc>
          <w:tcPr>
            <w:tcW w:type="dxa" w:w="3200"/>
            <w:shd w:fill="DCE6F1" w:color="auto" w:val="clear"/>
            <w:tcMar>
              <w:top w:type="dxa" w:w="60"/>
              <w:left w:type="dxa" w:w="100"/>
              <w:bottom w:type="dxa" w:w="60"/>
              <w:right w:type="dxa" w:w="100"/>
            </w:tcMar>
          </w:tcPr>
          <w:p>
            <w:pPr>
              <w:spacing w:after="40"/>
            </w:pPr>
            <w:r>
              <w:rPr>
                <w:b/>
                <w:bCs/>
                <w:sz w:val="18"/>
                <w:szCs w:val="18"/>
              </w:rPr>
              <w:t xml:space="preserve">Question on the review form</w:t>
            </w:r>
          </w:p>
        </w:tc>
        <w:tc>
          <w:tcPr>
            <w:tcW w:type="dxa" w:w="3238"/>
            <w:shd w:fill="DCE6F1" w:color="auto" w:val="clear"/>
            <w:tcMar>
              <w:top w:type="dxa" w:w="60"/>
              <w:left w:type="dxa" w:w="100"/>
              <w:bottom w:type="dxa" w:w="60"/>
              <w:right w:type="dxa" w:w="100"/>
            </w:tcMar>
          </w:tcPr>
          <w:p>
            <w:pPr>
              <w:spacing w:after="40"/>
            </w:pPr>
            <w:r>
              <w:rPr>
                <w:b/>
                <w:bCs/>
                <w:sz w:val="18"/>
                <w:szCs w:val="18"/>
              </w:rPr>
              <w:t xml:space="preserve">Where we stand</w:t>
            </w:r>
          </w:p>
        </w:tc>
        <w:tc>
          <w:tcPr>
            <w:tcW w:type="dxa" w:w="3200"/>
            <w:shd w:fill="DCE6F1" w:color="auto" w:val="clear"/>
            <w:tcMar>
              <w:top w:type="dxa" w:w="60"/>
              <w:left w:type="dxa" w:w="100"/>
              <w:bottom w:type="dxa" w:w="60"/>
              <w:right w:type="dxa" w:w="100"/>
            </w:tcMar>
          </w:tcPr>
          <w:p>
            <w:pPr>
              <w:spacing w:after="40"/>
            </w:pPr>
            <w:r>
              <w:rPr>
                <w:b/>
                <w:bCs/>
                <w:sz w:val="18"/>
                <w:szCs w:val="18"/>
              </w:rPr>
              <w:t xml:space="preserve">Action</w:t>
            </w:r>
          </w:p>
        </w:tc>
      </w:tr>
      <w:tr>
        <w:trPr>
          <w:cantSplit/>
        </w:trPr>
        <w:tc>
          <w:tcPr>
            <w:tcW w:type="dxa" w:w="3200"/>
            <w:tcMar>
              <w:top w:type="dxa" w:w="60"/>
              <w:left w:type="dxa" w:w="100"/>
              <w:bottom w:type="dxa" w:w="60"/>
              <w:right w:type="dxa" w:w="100"/>
            </w:tcMar>
          </w:tcPr>
          <w:p>
            <w:pPr>
              <w:spacing w:after="40"/>
            </w:pPr>
            <w:r>
              <w:rPr>
                <w:sz w:val="18"/>
                <w:szCs w:val="18"/>
              </w:rPr>
              <w:t xml:space="preserve">Is the contribution clear and new?</w:t>
            </w:r>
          </w:p>
        </w:tc>
        <w:tc>
          <w:tcPr>
            <w:tcW w:type="dxa" w:w="3238"/>
            <w:tcMar>
              <w:top w:type="dxa" w:w="60"/>
              <w:left w:type="dxa" w:w="100"/>
              <w:bottom w:type="dxa" w:w="60"/>
              <w:right w:type="dxa" w:w="100"/>
            </w:tcMar>
          </w:tcPr>
          <w:p>
            <w:pPr>
              <w:spacing w:after="40"/>
            </w:pPr>
            <w:r>
              <w:rPr>
                <w:sz w:val="18"/>
                <w:szCs w:val="18"/>
              </w:rPr>
              <w:t xml:space="preserve">Spread over two systems</w:t>
            </w:r>
          </w:p>
        </w:tc>
        <w:tc>
          <w:tcPr>
            <w:tcW w:type="dxa" w:w="3200"/>
            <w:tcMar>
              <w:top w:type="dxa" w:w="60"/>
              <w:left w:type="dxa" w:w="100"/>
              <w:bottom w:type="dxa" w:w="60"/>
              <w:right w:type="dxa" w:w="100"/>
            </w:tcMar>
          </w:tcPr>
          <w:p>
            <w:pPr>
              <w:spacing w:after="40"/>
            </w:pPr>
            <w:r>
              <w:rPr>
                <w:sz w:val="18"/>
                <w:szCs w:val="18"/>
              </w:rPr>
              <w:t xml:space="preserve">One story (5.2)</w:t>
            </w:r>
          </w:p>
        </w:tc>
      </w:tr>
      <w:tr>
        <w:trPr>
          <w:cantSplit/>
        </w:trPr>
        <w:tc>
          <w:tcPr>
            <w:tcW w:type="dxa" w:w="3200"/>
            <w:tcMar>
              <w:top w:type="dxa" w:w="60"/>
              <w:left w:type="dxa" w:w="100"/>
              <w:bottom w:type="dxa" w:w="60"/>
              <w:right w:type="dxa" w:w="100"/>
            </w:tcMar>
          </w:tcPr>
          <w:p>
            <w:pPr>
              <w:spacing w:after="40"/>
            </w:pPr>
            <w:r>
              <w:rPr>
                <w:sz w:val="18"/>
                <w:szCs w:val="18"/>
              </w:rPr>
              <w:t xml:space="preserve">Is the method sound?</w:t>
            </w:r>
          </w:p>
        </w:tc>
        <w:tc>
          <w:tcPr>
            <w:tcW w:type="dxa" w:w="3238"/>
            <w:tcMar>
              <w:top w:type="dxa" w:w="60"/>
              <w:left w:type="dxa" w:w="100"/>
              <w:bottom w:type="dxa" w:w="60"/>
              <w:right w:type="dxa" w:w="100"/>
            </w:tcMar>
          </w:tcPr>
          <w:p>
            <w:pPr>
              <w:spacing w:after="40"/>
            </w:pPr>
            <w:r>
              <w:rPr>
                <w:sz w:val="18"/>
                <w:szCs w:val="18"/>
              </w:rPr>
              <w:t xml:space="preserve">Good engineering, honestly measured</w:t>
            </w:r>
          </w:p>
        </w:tc>
        <w:tc>
          <w:tcPr>
            <w:tcW w:type="dxa" w:w="3200"/>
            <w:tcMar>
              <w:top w:type="dxa" w:w="60"/>
              <w:left w:type="dxa" w:w="100"/>
              <w:bottom w:type="dxa" w:w="60"/>
              <w:right w:type="dxa" w:w="100"/>
            </w:tcMar>
          </w:tcPr>
          <w:p>
            <w:pPr>
              <w:spacing w:after="40"/>
            </w:pPr>
            <w:r>
              <w:rPr>
                <w:sz w:val="18"/>
                <w:szCs w:val="18"/>
              </w:rPr>
              <w:t xml:space="preserve">Remove false claims (5.1)</w:t>
            </w:r>
          </w:p>
        </w:tc>
      </w:tr>
      <w:tr>
        <w:trPr>
          <w:cantSplit/>
        </w:trPr>
        <w:tc>
          <w:tcPr>
            <w:tcW w:type="dxa" w:w="3200"/>
            <w:tcMar>
              <w:top w:type="dxa" w:w="60"/>
              <w:left w:type="dxa" w:w="100"/>
              <w:bottom w:type="dxa" w:w="60"/>
              <w:right w:type="dxa" w:w="100"/>
            </w:tcMar>
          </w:tcPr>
          <w:p>
            <w:pPr>
              <w:spacing w:after="40"/>
            </w:pPr>
            <w:r>
              <w:rPr>
                <w:sz w:val="18"/>
                <w:szCs w:val="18"/>
              </w:rPr>
              <w:t xml:space="preserve">Are the baselines fair?</w:t>
            </w:r>
          </w:p>
        </w:tc>
        <w:tc>
          <w:tcPr>
            <w:tcW w:type="dxa" w:w="3238"/>
            <w:tcMar>
              <w:top w:type="dxa" w:w="60"/>
              <w:left w:type="dxa" w:w="100"/>
              <w:bottom w:type="dxa" w:w="60"/>
              <w:right w:type="dxa" w:w="100"/>
            </w:tcMar>
          </w:tcPr>
          <w:p>
            <w:pPr>
              <w:spacing w:after="40"/>
            </w:pPr>
            <w:r>
              <w:rPr>
                <w:sz w:val="18"/>
                <w:szCs w:val="18"/>
              </w:rPr>
              <w:t xml:space="preserve">Only our own old version</w:t>
            </w:r>
          </w:p>
        </w:tc>
        <w:tc>
          <w:tcPr>
            <w:tcW w:type="dxa" w:w="3200"/>
            <w:tcMar>
              <w:top w:type="dxa" w:w="60"/>
              <w:left w:type="dxa" w:w="100"/>
              <w:bottom w:type="dxa" w:w="60"/>
              <w:right w:type="dxa" w:w="100"/>
            </w:tcMar>
          </w:tcPr>
          <w:p>
            <w:pPr>
              <w:spacing w:after="40"/>
            </w:pPr>
            <w:r>
              <w:rPr>
                <w:sz w:val="18"/>
                <w:szCs w:val="18"/>
              </w:rPr>
              <w:t xml:space="preserve">Add 3 baselines (5.3)</w:t>
            </w:r>
          </w:p>
        </w:tc>
      </w:tr>
      <w:tr>
        <w:trPr>
          <w:cantSplit/>
        </w:trPr>
        <w:tc>
          <w:tcPr>
            <w:tcW w:type="dxa" w:w="3200"/>
            <w:tcMar>
              <w:top w:type="dxa" w:w="60"/>
              <w:left w:type="dxa" w:w="100"/>
              <w:bottom w:type="dxa" w:w="60"/>
              <w:right w:type="dxa" w:w="100"/>
            </w:tcMar>
          </w:tcPr>
          <w:p>
            <w:pPr>
              <w:spacing w:after="40"/>
            </w:pPr>
            <w:r>
              <w:rPr>
                <w:sz w:val="18"/>
                <w:szCs w:val="18"/>
              </w:rPr>
              <w:t xml:space="preserve">Is the test data independent of tuning?</w:t>
            </w:r>
          </w:p>
        </w:tc>
        <w:tc>
          <w:tcPr>
            <w:tcW w:type="dxa" w:w="3238"/>
            <w:tcMar>
              <w:top w:type="dxa" w:w="60"/>
              <w:left w:type="dxa" w:w="100"/>
              <w:bottom w:type="dxa" w:w="60"/>
              <w:right w:type="dxa" w:w="100"/>
            </w:tcMar>
          </w:tcPr>
          <w:p>
            <w:pPr>
              <w:spacing w:after="40"/>
            </w:pPr>
            <w:r>
              <w:rPr>
                <w:sz w:val="18"/>
                <w:szCs w:val="18"/>
              </w:rPr>
              <w:t xml:space="preserve">Blind sets exist, but LLM-written</w:t>
            </w:r>
          </w:p>
        </w:tc>
        <w:tc>
          <w:tcPr>
            <w:tcW w:type="dxa" w:w="3200"/>
            <w:tcMar>
              <w:top w:type="dxa" w:w="60"/>
              <w:left w:type="dxa" w:w="100"/>
              <w:bottom w:type="dxa" w:w="60"/>
              <w:right w:type="dxa" w:w="100"/>
            </w:tcMar>
          </w:tcPr>
          <w:p>
            <w:pPr>
              <w:spacing w:after="40"/>
            </w:pPr>
            <w:r>
              <w:rPr>
                <w:sz w:val="18"/>
                <w:szCs w:val="18"/>
              </w:rPr>
              <w:t xml:space="preserve">Real queries + 2 human labellers</w:t>
            </w:r>
          </w:p>
        </w:tc>
      </w:tr>
      <w:tr>
        <w:trPr>
          <w:cantSplit/>
        </w:trPr>
        <w:tc>
          <w:tcPr>
            <w:tcW w:type="dxa" w:w="3200"/>
            <w:tcMar>
              <w:top w:type="dxa" w:w="60"/>
              <w:left w:type="dxa" w:w="100"/>
              <w:bottom w:type="dxa" w:w="60"/>
              <w:right w:type="dxa" w:w="100"/>
            </w:tcMar>
          </w:tcPr>
          <w:p>
            <w:pPr>
              <w:spacing w:after="40"/>
            </w:pPr>
            <w:r>
              <w:rPr>
                <w:sz w:val="18"/>
                <w:szCs w:val="18"/>
              </w:rPr>
              <w:t xml:space="preserve">Can someone reproduce it?</w:t>
            </w:r>
          </w:p>
        </w:tc>
        <w:tc>
          <w:tcPr>
            <w:tcW w:type="dxa" w:w="3238"/>
            <w:tcMar>
              <w:top w:type="dxa" w:w="60"/>
              <w:left w:type="dxa" w:w="100"/>
              <w:bottom w:type="dxa" w:w="60"/>
              <w:right w:type="dxa" w:w="100"/>
            </w:tcMar>
          </w:tcPr>
          <w:p>
            <w:pPr>
              <w:spacing w:after="40"/>
            </w:pPr>
            <w:r>
              <w:rPr>
                <w:sz w:val="18"/>
                <w:szCs w:val="18"/>
              </w:rPr>
              <w:t xml:space="preserve">Code in repo, not public</w:t>
            </w:r>
          </w:p>
        </w:tc>
        <w:tc>
          <w:tcPr>
            <w:tcW w:type="dxa" w:w="3200"/>
            <w:tcMar>
              <w:top w:type="dxa" w:w="60"/>
              <w:left w:type="dxa" w:w="100"/>
              <w:bottom w:type="dxa" w:w="60"/>
              <w:right w:type="dxa" w:w="100"/>
            </w:tcMar>
          </w:tcPr>
          <w:p>
            <w:pPr>
              <w:spacing w:after="40"/>
            </w:pPr>
            <w:r>
              <w:rPr>
                <w:sz w:val="18"/>
                <w:szCs w:val="18"/>
              </w:rPr>
              <w:t xml:space="preserve">Release code + test set</w:t>
            </w:r>
          </w:p>
        </w:tc>
      </w:tr>
      <w:tr>
        <w:trPr>
          <w:cantSplit/>
        </w:trPr>
        <w:tc>
          <w:tcPr>
            <w:tcW w:type="dxa" w:w="3200"/>
            <w:tcMar>
              <w:top w:type="dxa" w:w="60"/>
              <w:left w:type="dxa" w:w="100"/>
              <w:bottom w:type="dxa" w:w="60"/>
              <w:right w:type="dxa" w:w="100"/>
            </w:tcMar>
          </w:tcPr>
          <w:p>
            <w:pPr>
              <w:spacing w:after="40"/>
            </w:pPr>
            <w:r>
              <w:rPr>
                <w:sz w:val="18"/>
                <w:szCs w:val="18"/>
              </w:rPr>
              <w:t xml:space="preserve">Are limitations stated honestly?</w:t>
            </w:r>
          </w:p>
        </w:tc>
        <w:tc>
          <w:tcPr>
            <w:tcW w:type="dxa" w:w="3238"/>
            <w:tcMar>
              <w:top w:type="dxa" w:w="60"/>
              <w:left w:type="dxa" w:w="100"/>
              <w:bottom w:type="dxa" w:w="60"/>
              <w:right w:type="dxa" w:w="100"/>
            </w:tcMar>
          </w:tcPr>
          <w:p>
            <w:pPr>
              <w:spacing w:after="40"/>
            </w:pPr>
            <w:r>
              <w:rPr>
                <w:sz w:val="18"/>
                <w:szCs w:val="18"/>
              </w:rPr>
              <w:t xml:space="preserve">Yes, our strength</w:t>
            </w:r>
          </w:p>
        </w:tc>
        <w:tc>
          <w:tcPr>
            <w:tcW w:type="dxa" w:w="3200"/>
            <w:tcMar>
              <w:top w:type="dxa" w:w="60"/>
              <w:left w:type="dxa" w:w="100"/>
              <w:bottom w:type="dxa" w:w="60"/>
              <w:right w:type="dxa" w:w="100"/>
            </w:tcMar>
          </w:tcPr>
          <w:p>
            <w:pPr>
              <w:spacing w:after="40"/>
            </w:pPr>
            <w:r>
              <w:rPr>
                <w:sz w:val="18"/>
                <w:szCs w:val="18"/>
              </w:rPr>
              <w:t xml:space="preserve">Keep, as its own section</w:t>
            </w:r>
          </w:p>
        </w:tc>
      </w:tr>
      <w:tr>
        <w:trPr>
          <w:cantSplit/>
        </w:trPr>
        <w:tc>
          <w:tcPr>
            <w:tcW w:type="dxa" w:w="3200"/>
            <w:tcMar>
              <w:top w:type="dxa" w:w="60"/>
              <w:left w:type="dxa" w:w="100"/>
              <w:bottom w:type="dxa" w:w="60"/>
              <w:right w:type="dxa" w:w="100"/>
            </w:tcMar>
          </w:tcPr>
          <w:p>
            <w:pPr>
              <w:spacing w:after="40"/>
            </w:pPr>
            <w:r>
              <w:rPr>
                <w:sz w:val="18"/>
                <w:szCs w:val="18"/>
              </w:rPr>
              <w:t xml:space="preserve">Are ethics covered?</w:t>
            </w:r>
          </w:p>
        </w:tc>
        <w:tc>
          <w:tcPr>
            <w:tcW w:type="dxa" w:w="3238"/>
            <w:tcMar>
              <w:top w:type="dxa" w:w="60"/>
              <w:left w:type="dxa" w:w="100"/>
              <w:bottom w:type="dxa" w:w="60"/>
              <w:right w:type="dxa" w:w="100"/>
            </w:tcMar>
          </w:tcPr>
          <w:p>
            <w:pPr>
              <w:spacing w:after="40"/>
            </w:pPr>
            <w:r>
              <w:rPr>
                <w:sz w:val="18"/>
                <w:szCs w:val="18"/>
              </w:rPr>
              <w:t xml:space="preserve">Partly (PII masking measured)</w:t>
            </w:r>
          </w:p>
        </w:tc>
        <w:tc>
          <w:tcPr>
            <w:tcW w:type="dxa" w:w="3200"/>
            <w:tcMar>
              <w:top w:type="dxa" w:w="60"/>
              <w:left w:type="dxa" w:w="100"/>
              <w:bottom w:type="dxa" w:w="60"/>
              <w:right w:type="dxa" w:w="100"/>
            </w:tcMar>
          </w:tcPr>
          <w:p>
            <w:pPr>
              <w:spacing w:after="40"/>
            </w:pPr>
            <w:r>
              <w:rPr>
                <w:sz w:val="18"/>
                <w:szCs w:val="18"/>
              </w:rPr>
              <w:t xml:space="preserve">Add privacy + wrong-advice risk</w:t>
            </w:r>
          </w:p>
        </w:tc>
      </w:tr>
      <w:tr>
        <w:trPr>
          <w:cantSplit/>
        </w:trPr>
        <w:tc>
          <w:tcPr>
            <w:tcW w:type="dxa" w:w="3200"/>
            <w:tcMar>
              <w:top w:type="dxa" w:w="60"/>
              <w:left w:type="dxa" w:w="100"/>
              <w:bottom w:type="dxa" w:w="60"/>
              <w:right w:type="dxa" w:w="100"/>
            </w:tcMar>
          </w:tcPr>
          <w:p>
            <w:pPr>
              <w:spacing w:after="40"/>
            </w:pPr>
            <w:r>
              <w:rPr>
                <w:sz w:val="18"/>
                <w:szCs w:val="18"/>
              </w:rPr>
              <w:t xml:space="preserve">Is it clearly written?</w:t>
            </w:r>
          </w:p>
        </w:tc>
        <w:tc>
          <w:tcPr>
            <w:tcW w:type="dxa" w:w="3238"/>
            <w:tcMar>
              <w:top w:type="dxa" w:w="60"/>
              <w:left w:type="dxa" w:w="100"/>
              <w:bottom w:type="dxa" w:w="60"/>
              <w:right w:type="dxa" w:w="100"/>
            </w:tcMar>
          </w:tcPr>
          <w:p>
            <w:pPr>
              <w:spacing w:after="40"/>
            </w:pPr>
            <w:r>
              <w:rPr>
                <w:sz w:val="18"/>
                <w:szCs w:val="18"/>
              </w:rPr>
              <w:t xml:space="preserve">Reads as AI-generated</w:t>
            </w:r>
          </w:p>
        </w:tc>
        <w:tc>
          <w:tcPr>
            <w:tcW w:type="dxa" w:w="3200"/>
            <w:tcMar>
              <w:top w:type="dxa" w:w="60"/>
              <w:left w:type="dxa" w:w="100"/>
              <w:bottom w:type="dxa" w:w="60"/>
              <w:right w:type="dxa" w:w="100"/>
            </w:tcMar>
          </w:tcPr>
          <w:p>
            <w:pPr>
              <w:spacing w:after="40"/>
            </w:pPr>
            <w:r>
              <w:rPr>
                <w:sz w:val="18"/>
                <w:szCs w:val="18"/>
              </w:rPr>
              <w:t xml:space="preserve">Rewrite plainly (5.4)</w:t>
            </w:r>
          </w:p>
        </w:tc>
      </w:tr>
    </w:tbl>
    <w:p>
      <w:pPr>
        <w:spacing w:after="120"/>
      </w:pPr>
    </w:p>
    <w:p>
      <w:pPr>
        <w:pStyle w:val="Heading1"/>
      </w:pPr>
      <w:r>
        <w:t xml:space="preserve">7. Eight-week timeline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7038"/>
      </w:tblGrid>
      <w:tr>
        <w:trPr>
          <w:tblHeader/>
        </w:trPr>
        <w:tc>
          <w:tcPr>
            <w:tcW w:type="dxa" w:w="900"/>
            <w:shd w:fill="DCE6F1" w:color="auto" w:val="clear"/>
            <w:tcMar>
              <w:top w:type="dxa" w:w="60"/>
              <w:left w:type="dxa" w:w="100"/>
              <w:bottom w:type="dxa" w:w="60"/>
              <w:right w:type="dxa" w:w="100"/>
            </w:tcMar>
          </w:tcPr>
          <w:p>
            <w:pPr>
              <w:spacing w:after="40"/>
            </w:pPr>
            <w:r>
              <w:rPr>
                <w:b/>
                <w:bCs/>
                <w:sz w:val="18"/>
                <w:szCs w:val="18"/>
              </w:rPr>
              <w:t xml:space="preserve">Week</w:t>
            </w:r>
          </w:p>
        </w:tc>
        <w:tc>
          <w:tcPr>
            <w:tcW w:type="dxa" w:w="1700"/>
            <w:shd w:fill="DCE6F1" w:color="auto" w:val="clear"/>
            <w:tcMar>
              <w:top w:type="dxa" w:w="60"/>
              <w:left w:type="dxa" w:w="100"/>
              <w:bottom w:type="dxa" w:w="60"/>
              <w:right w:type="dxa" w:w="100"/>
            </w:tcMar>
          </w:tcPr>
          <w:p>
            <w:pPr>
              <w:spacing w:after="40"/>
            </w:pPr>
            <w:r>
              <w:rPr>
                <w:b/>
                <w:bCs/>
                <w:sz w:val="18"/>
                <w:szCs w:val="18"/>
              </w:rPr>
              <w:t xml:space="preserve">Dates</w:t>
            </w:r>
          </w:p>
        </w:tc>
        <w:tc>
          <w:tcPr>
            <w:tcW w:type="dxa" w:w="7038"/>
            <w:shd w:fill="DCE6F1" w:color="auto" w:val="clear"/>
            <w:tcMar>
              <w:top w:type="dxa" w:w="60"/>
              <w:left w:type="dxa" w:w="100"/>
              <w:bottom w:type="dxa" w:w="60"/>
              <w:right w:type="dxa" w:w="100"/>
            </w:tcMar>
          </w:tcPr>
          <w:p>
            <w:pPr>
              <w:spacing w:after="40"/>
            </w:pPr>
            <w:r>
              <w:rPr>
                <w:b/>
                <w:bCs/>
                <w:sz w:val="18"/>
                <w:szCs w:val="18"/>
              </w:rPr>
              <w:t xml:space="preserve">Work</w:t>
            </w:r>
          </w:p>
        </w:tc>
      </w:tr>
      <w:tr>
        <w:trPr>
          <w:cantSplit/>
        </w:trPr>
        <w:tc>
          <w:tcPr>
            <w:tcW w:type="dxa" w:w="900"/>
            <w:tcMar>
              <w:top w:type="dxa" w:w="60"/>
              <w:left w:type="dxa" w:w="100"/>
              <w:bottom w:type="dxa" w:w="60"/>
              <w:right w:type="dxa" w:w="100"/>
            </w:tcMar>
          </w:tcPr>
          <w:p>
            <w:pPr>
              <w:spacing w:after="40"/>
            </w:pPr>
            <w:r>
              <w:rPr>
                <w:sz w:val="18"/>
                <w:szCs w:val="18"/>
              </w:rPr>
              <w:t xml:space="preserve">1</w:t>
            </w:r>
          </w:p>
        </w:tc>
        <w:tc>
          <w:tcPr>
            <w:tcW w:type="dxa" w:w="1700"/>
            <w:tcMar>
              <w:top w:type="dxa" w:w="60"/>
              <w:left w:type="dxa" w:w="100"/>
              <w:bottom w:type="dxa" w:w="60"/>
              <w:right w:type="dxa" w:w="100"/>
            </w:tcMar>
          </w:tcPr>
          <w:p>
            <w:pPr>
              <w:spacing w:after="40"/>
            </w:pPr>
            <w:r>
              <w:rPr>
                <w:sz w:val="18"/>
                <w:szCs w:val="18"/>
              </w:rPr>
              <w:t xml:space="preserve">19–25 Oct</w:t>
            </w:r>
          </w:p>
        </w:tc>
        <w:tc>
          <w:tcPr>
            <w:tcW w:type="dxa" w:w="7038"/>
            <w:tcMar>
              <w:top w:type="dxa" w:w="60"/>
              <w:left w:type="dxa" w:w="100"/>
              <w:bottom w:type="dxa" w:w="60"/>
              <w:right w:type="dxa" w:w="100"/>
            </w:tcMar>
          </w:tcPr>
          <w:p>
            <w:pPr>
              <w:spacing w:after="40"/>
            </w:pPr>
            <w:r>
              <w:rPr>
                <w:sz w:val="18"/>
                <w:szCs w:val="18"/>
              </w:rPr>
              <w:t xml:space="preserve">Remove false claims. Check every reference and number against the PDFs. Email VJCS (and JIT, about its fee) to ask current review times.</w:t>
            </w:r>
          </w:p>
        </w:tc>
      </w:tr>
      <w:tr>
        <w:trPr>
          <w:cantSplit/>
        </w:trPr>
        <w:tc>
          <w:tcPr>
            <w:tcW w:type="dxa" w:w="900"/>
            <w:tcMar>
              <w:top w:type="dxa" w:w="60"/>
              <w:left w:type="dxa" w:w="100"/>
              <w:bottom w:type="dxa" w:w="60"/>
              <w:right w:type="dxa" w:w="100"/>
            </w:tcMar>
          </w:tcPr>
          <w:p>
            <w:pPr>
              <w:spacing w:after="40"/>
            </w:pPr>
            <w:r>
              <w:rPr>
                <w:sz w:val="18"/>
                <w:szCs w:val="18"/>
              </w:rPr>
              <w:t xml:space="preserve">2–3</w:t>
            </w:r>
          </w:p>
        </w:tc>
        <w:tc>
          <w:tcPr>
            <w:tcW w:type="dxa" w:w="1700"/>
            <w:tcMar>
              <w:top w:type="dxa" w:w="60"/>
              <w:left w:type="dxa" w:w="100"/>
              <w:bottom w:type="dxa" w:w="60"/>
              <w:right w:type="dxa" w:w="100"/>
            </w:tcMar>
          </w:tcPr>
          <w:p>
            <w:pPr>
              <w:spacing w:after="40"/>
            </w:pPr>
            <w:r>
              <w:rPr>
                <w:sz w:val="18"/>
                <w:szCs w:val="18"/>
              </w:rPr>
              <w:t xml:space="preserve">26 Oct – 8 Nov</w:t>
            </w:r>
          </w:p>
        </w:tc>
        <w:tc>
          <w:tcPr>
            <w:tcW w:type="dxa" w:w="7038"/>
            <w:tcMar>
              <w:top w:type="dxa" w:w="60"/>
              <w:left w:type="dxa" w:w="100"/>
              <w:bottom w:type="dxa" w:w="60"/>
              <w:right w:type="dxa" w:w="100"/>
            </w:tcMar>
          </w:tcPr>
          <w:p>
            <w:pPr>
              <w:spacing w:after="40"/>
            </w:pPr>
            <w:r>
              <w:rPr>
                <w:sz w:val="18"/>
                <w:szCs w:val="18"/>
              </w:rPr>
              <w:t xml:space="preserve">Collect 150–300 real citizen questions. Write a one-page labelling guide.</w:t>
            </w:r>
          </w:p>
        </w:tc>
      </w:tr>
      <w:tr>
        <w:trPr>
          <w:cantSplit/>
        </w:trPr>
        <w:tc>
          <w:tcPr>
            <w:tcW w:type="dxa" w:w="900"/>
            <w:tcMar>
              <w:top w:type="dxa" w:w="60"/>
              <w:left w:type="dxa" w:w="100"/>
              <w:bottom w:type="dxa" w:w="60"/>
              <w:right w:type="dxa" w:w="100"/>
            </w:tcMar>
          </w:tcPr>
          <w:p>
            <w:pPr>
              <w:spacing w:after="40"/>
            </w:pPr>
            <w:r>
              <w:rPr>
                <w:sz w:val="18"/>
                <w:szCs w:val="18"/>
              </w:rPr>
              <w:t xml:space="preserve">3–4</w:t>
            </w:r>
          </w:p>
        </w:tc>
        <w:tc>
          <w:tcPr>
            <w:tcW w:type="dxa" w:w="1700"/>
            <w:tcMar>
              <w:top w:type="dxa" w:w="60"/>
              <w:left w:type="dxa" w:w="100"/>
              <w:bottom w:type="dxa" w:w="60"/>
              <w:right w:type="dxa" w:w="100"/>
            </w:tcMar>
          </w:tcPr>
          <w:p>
            <w:pPr>
              <w:spacing w:after="40"/>
            </w:pPr>
            <w:r>
              <w:rPr>
                <w:sz w:val="18"/>
                <w:szCs w:val="18"/>
              </w:rPr>
              <w:t xml:space="preserve">2–15 Nov</w:t>
            </w:r>
          </w:p>
        </w:tc>
        <w:tc>
          <w:tcPr>
            <w:tcW w:type="dxa" w:w="7038"/>
            <w:tcMar>
              <w:top w:type="dxa" w:w="60"/>
              <w:left w:type="dxa" w:w="100"/>
              <w:bottom w:type="dxa" w:w="60"/>
              <w:right w:type="dxa" w:w="100"/>
            </w:tcMar>
          </w:tcPr>
          <w:p>
            <w:pPr>
              <w:spacing w:after="40"/>
            </w:pPr>
            <w:r>
              <w:rPr>
                <w:sz w:val="18"/>
                <w:szCs w:val="18"/>
              </w:rPr>
              <w:t xml:space="preserve">Two people label independently; compute κ and resolve disagreements.</w:t>
            </w:r>
          </w:p>
        </w:tc>
      </w:tr>
      <w:tr>
        <w:trPr>
          <w:cantSplit/>
        </w:trPr>
        <w:tc>
          <w:tcPr>
            <w:tcW w:type="dxa" w:w="900"/>
            <w:tcMar>
              <w:top w:type="dxa" w:w="60"/>
              <w:left w:type="dxa" w:w="100"/>
              <w:bottom w:type="dxa" w:w="60"/>
              <w:right w:type="dxa" w:w="100"/>
            </w:tcMar>
          </w:tcPr>
          <w:p>
            <w:pPr>
              <w:spacing w:after="40"/>
            </w:pPr>
            <w:r>
              <w:rPr>
                <w:sz w:val="18"/>
                <w:szCs w:val="18"/>
              </w:rPr>
              <w:t xml:space="preserve">5–6</w:t>
            </w:r>
          </w:p>
        </w:tc>
        <w:tc>
          <w:tcPr>
            <w:tcW w:type="dxa" w:w="1700"/>
            <w:tcMar>
              <w:top w:type="dxa" w:w="60"/>
              <w:left w:type="dxa" w:w="100"/>
              <w:bottom w:type="dxa" w:w="60"/>
              <w:right w:type="dxa" w:w="100"/>
            </w:tcMar>
          </w:tcPr>
          <w:p>
            <w:pPr>
              <w:spacing w:after="40"/>
            </w:pPr>
            <w:r>
              <w:rPr>
                <w:sz w:val="18"/>
                <w:szCs w:val="18"/>
              </w:rPr>
              <w:t xml:space="preserve">16–29 Nov</w:t>
            </w:r>
          </w:p>
        </w:tc>
        <w:tc>
          <w:tcPr>
            <w:tcW w:type="dxa" w:w="7038"/>
            <w:tcMar>
              <w:top w:type="dxa" w:w="60"/>
              <w:left w:type="dxa" w:w="100"/>
              <w:bottom w:type="dxa" w:w="60"/>
              <w:right w:type="dxa" w:w="100"/>
            </w:tcMar>
          </w:tcPr>
          <w:p>
            <w:pPr>
              <w:spacing w:after="40"/>
            </w:pPr>
            <w:r>
              <w:rPr>
                <w:sz w:val="18"/>
                <w:szCs w:val="18"/>
              </w:rPr>
              <w:t xml:space="preserve">Run the system and the three baselines on the new set; compute intervals and latency under load.</w:t>
            </w:r>
          </w:p>
        </w:tc>
      </w:tr>
      <w:tr>
        <w:trPr>
          <w:cantSplit/>
        </w:trPr>
        <w:tc>
          <w:tcPr>
            <w:tcW w:type="dxa" w:w="900"/>
            <w:tcMar>
              <w:top w:type="dxa" w:w="60"/>
              <w:left w:type="dxa" w:w="100"/>
              <w:bottom w:type="dxa" w:w="60"/>
              <w:right w:type="dxa" w:w="100"/>
            </w:tcMar>
          </w:tcPr>
          <w:p>
            <w:pPr>
              <w:spacing w:after="40"/>
            </w:pPr>
            <w:r>
              <w:rPr>
                <w:sz w:val="18"/>
                <w:szCs w:val="18"/>
              </w:rPr>
              <w:t xml:space="preserve">7</w:t>
            </w:r>
          </w:p>
        </w:tc>
        <w:tc>
          <w:tcPr>
            <w:tcW w:type="dxa" w:w="1700"/>
            <w:tcMar>
              <w:top w:type="dxa" w:w="60"/>
              <w:left w:type="dxa" w:w="100"/>
              <w:bottom w:type="dxa" w:w="60"/>
              <w:right w:type="dxa" w:w="100"/>
            </w:tcMar>
          </w:tcPr>
          <w:p>
            <w:pPr>
              <w:spacing w:after="40"/>
            </w:pPr>
            <w:r>
              <w:rPr>
                <w:sz w:val="18"/>
                <w:szCs w:val="18"/>
              </w:rPr>
              <w:t xml:space="preserve">30 Nov – 6 Dec</w:t>
            </w:r>
          </w:p>
        </w:tc>
        <w:tc>
          <w:tcPr>
            <w:tcW w:type="dxa" w:w="7038"/>
            <w:tcMar>
              <w:top w:type="dxa" w:w="60"/>
              <w:left w:type="dxa" w:w="100"/>
              <w:bottom w:type="dxa" w:w="60"/>
              <w:right w:type="dxa" w:w="100"/>
            </w:tcMar>
          </w:tcPr>
          <w:p>
            <w:pPr>
              <w:spacing w:after="40"/>
            </w:pPr>
            <w:r>
              <w:rPr>
                <w:sz w:val="18"/>
                <w:szCs w:val="18"/>
              </w:rPr>
              <w:t xml:space="preserve">Rewrite as a journal paper around the single story in 5.2. Decide: AI &amp; Law first, or straight to VJCS.</w:t>
            </w:r>
          </w:p>
        </w:tc>
      </w:tr>
      <w:tr>
        <w:trPr>
          <w:cantSplit/>
        </w:trPr>
        <w:tc>
          <w:tcPr>
            <w:tcW w:type="dxa" w:w="900"/>
            <w:tcMar>
              <w:top w:type="dxa" w:w="60"/>
              <w:left w:type="dxa" w:w="100"/>
              <w:bottom w:type="dxa" w:w="60"/>
              <w:right w:type="dxa" w:w="100"/>
            </w:tcMar>
          </w:tcPr>
          <w:p>
            <w:pPr>
              <w:spacing w:after="40"/>
            </w:pPr>
            <w:r>
              <w:rPr>
                <w:sz w:val="18"/>
                <w:szCs w:val="18"/>
              </w:rPr>
              <w:t xml:space="preserve">8</w:t>
            </w:r>
          </w:p>
        </w:tc>
        <w:tc>
          <w:tcPr>
            <w:tcW w:type="dxa" w:w="1700"/>
            <w:tcMar>
              <w:top w:type="dxa" w:w="60"/>
              <w:left w:type="dxa" w:w="100"/>
              <w:bottom w:type="dxa" w:w="60"/>
              <w:right w:type="dxa" w:w="100"/>
            </w:tcMar>
          </w:tcPr>
          <w:p>
            <w:pPr>
              <w:spacing w:after="40"/>
            </w:pPr>
            <w:r>
              <w:rPr>
                <w:sz w:val="18"/>
                <w:szCs w:val="18"/>
              </w:rPr>
              <w:t xml:space="preserve">7–18 Dec</w:t>
            </w:r>
          </w:p>
        </w:tc>
        <w:tc>
          <w:tcPr>
            <w:tcW w:type="dxa" w:w="7038"/>
            <w:tcMar>
              <w:top w:type="dxa" w:w="60"/>
              <w:left w:type="dxa" w:w="100"/>
              <w:bottom w:type="dxa" w:w="60"/>
              <w:right w:type="dxa" w:w="100"/>
            </w:tcMar>
          </w:tcPr>
          <w:p>
            <w:pPr>
              <w:spacing w:after="40"/>
            </w:pPr>
            <w:r>
              <w:rPr>
                <w:sz w:val="18"/>
                <w:szCs w:val="18"/>
              </w:rPr>
              <w:t xml:space="preserve">Internal review, mentor read, reference check, AI disclosure. </w:t>
            </w:r>
            <w:r>
              <w:rPr>
                <w:b/>
                <w:bCs/>
                <w:sz w:val="18"/>
                <w:szCs w:val="18"/>
              </w:rPr>
              <w:t xml:space="preserve">Submit.</w:t>
            </w:r>
          </w:p>
        </w:tc>
      </w:tr>
      <w:tr>
        <w:trPr>
          <w:cantSplit/>
        </w:trPr>
        <w:tc>
          <w:tcPr>
            <w:tcW w:type="dxa" w:w="900"/>
            <w:tcMar>
              <w:top w:type="dxa" w:w="60"/>
              <w:left w:type="dxa" w:w="100"/>
              <w:bottom w:type="dxa" w:w="60"/>
              <w:right w:type="dxa" w:w="100"/>
            </w:tcMar>
          </w:tcPr>
          <w:p>
            <w:pPr>
              <w:spacing w:after="40"/>
            </w:pPr>
            <w:r>
              <w:rPr>
                <w:sz w:val="18"/>
                <w:szCs w:val="18"/>
              </w:rPr>
              <w:t xml:space="preserve">—</w:t>
            </w:r>
          </w:p>
        </w:tc>
        <w:tc>
          <w:tcPr>
            <w:tcW w:type="dxa" w:w="1700"/>
            <w:tcMar>
              <w:top w:type="dxa" w:w="60"/>
              <w:left w:type="dxa" w:w="100"/>
              <w:bottom w:type="dxa" w:w="60"/>
              <w:right w:type="dxa" w:w="100"/>
            </w:tcMar>
          </w:tcPr>
          <w:p>
            <w:pPr>
              <w:spacing w:after="40"/>
            </w:pPr>
            <w:r>
              <w:rPr>
                <w:sz w:val="18"/>
                <w:szCs w:val="18"/>
              </w:rPr>
              <w:t xml:space="preserve">Dec – Apr</w:t>
            </w:r>
          </w:p>
        </w:tc>
        <w:tc>
          <w:tcPr>
            <w:tcW w:type="dxa" w:w="7038"/>
            <w:tcMar>
              <w:top w:type="dxa" w:w="60"/>
              <w:left w:type="dxa" w:w="100"/>
              <w:bottom w:type="dxa" w:w="60"/>
              <w:right w:type="dxa" w:w="100"/>
            </w:tcMar>
          </w:tcPr>
          <w:p>
            <w:pPr>
              <w:spacing w:after="40"/>
            </w:pPr>
            <w:r>
              <w:rPr>
                <w:sz w:val="18"/>
                <w:szCs w:val="18"/>
              </w:rPr>
              <w:t xml:space="preserve">Wait for the decision (typically 1–4 months), then revise and reply to reviewers.</w:t>
            </w:r>
          </w:p>
        </w:tc>
      </w:tr>
    </w:tbl>
    <w:p>
      <w:pPr>
        <w:spacing w:after="120"/>
      </w:pPr>
    </w:p>
    <w:p>
      <w:pPr>
        <w:pStyle w:val="Heading1"/>
      </w:pPr>
      <w:r>
        <w:t xml:space="preserve">8. Still to confirm</w:t>
      </w:r>
    </w:p>
    <w:p>
      <w:pPr>
        <w:pStyle w:val="ListParagraph"/>
        <w:numPr>
          <w:ilvl w:val="0"/>
          <w:numId w:val="4"/>
        </w:numPr>
        <w:spacing w:after="60"/>
      </w:pPr>
      <w:r>
        <w:t xml:space="preserve">VJCS current review time and World Scientific’s AI policy wording (from its own site).</w:t>
      </w:r>
    </w:p>
    <w:p>
      <w:pPr>
        <w:pStyle w:val="ListParagraph"/>
        <w:numPr>
          <w:ilvl w:val="0"/>
          <w:numId w:val="4"/>
        </w:numPr>
        <w:spacing w:after="60"/>
      </w:pPr>
      <w:r>
        <w:t xml:space="preserve">Whether JIT is really free for us: TDTU says it covers the fee, but DOAJ lists up to £925.</w:t>
      </w:r>
    </w:p>
    <w:p>
      <w:pPr>
        <w:pStyle w:val="ListParagraph"/>
        <w:numPr>
          <w:ilvl w:val="0"/>
          <w:numId w:val="4"/>
        </w:numPr>
        <w:spacing w:after="60"/>
      </w:pPr>
      <w:r>
        <w:t xml:space="preserve">Scopus status of the Journal of Computer Science and Cybernetics and VNU JCSCE.</w:t>
      </w:r>
    </w:p>
    <w:p>
      <w:pPr>
        <w:pStyle w:val="ListParagraph"/>
        <w:numPr>
          <w:ilvl w:val="0"/>
          <w:numId w:val="4"/>
        </w:numPr>
        <w:spacing w:after="60"/>
      </w:pPr>
      <w:r>
        <w:t xml:space="preserve">ACM’s open-access fee and discount for Vietnam, if we consider TALLIP or DGOV.</w:t>
      </w:r>
    </w:p>
    <w:p>
      <w:pPr>
        <w:pStyle w:val="ListParagraph"/>
        <w:numPr>
          <w:ilvl w:val="0"/>
          <w:numId w:val="4"/>
        </w:numPr>
        <w:spacing w:after="60"/>
      </w:pPr>
      <w:r>
        <w:t xml:space="preserve">Whether FPT University pays publication fees for students (matters only for IEEE Access or ACM).</w:t>
      </w:r>
    </w:p>
    <w:p>
      <w:pPr>
        <w:pStyle w:val="Heading1"/>
      </w:pPr>
      <w:r>
        <w:t xml:space="preserve">Sources</w:t>
      </w:r>
    </w:p>
    <w:p>
      <w:pPr>
        <w:pStyle w:val="ListParagraph"/>
        <w:numPr>
          <w:ilvl w:val="0"/>
          <w:numId w:val="4"/>
        </w:numPr>
        <w:spacing w:after="40"/>
      </w:pPr>
      <w:hyperlink w:history="1" r:id="rIdsljrj5-4fybzc6tmtr5ph">
        <w:r>
          <w:rPr>
            <w:rStyle w:val="Hyperlink"/>
          </w:rPr>
          <w:t xml:space="preserve">VJCS on DOAJ (no fee, open access)</w:t>
        </w:r>
      </w:hyperlink>
    </w:p>
    <w:p>
      <w:pPr>
        <w:pStyle w:val="ListParagraph"/>
        <w:numPr>
          <w:ilvl w:val="0"/>
          <w:numId w:val="4"/>
        </w:numPr>
        <w:spacing w:after="40"/>
      </w:pPr>
      <w:hyperlink w:history="1" r:id="rIdk5vhgdini3hlm7ovdrayx">
        <w:r>
          <w:rPr>
            <w:rStyle w:val="Hyperlink"/>
          </w:rPr>
          <w:t xml:space="preserve">VJCS Scopus CiteScore 2024 (NTTU announcement)</w:t>
        </w:r>
      </w:hyperlink>
    </w:p>
    <w:p>
      <w:pPr>
        <w:pStyle w:val="ListParagraph"/>
        <w:numPr>
          <w:ilvl w:val="0"/>
          <w:numId w:val="4"/>
        </w:numPr>
        <w:spacing w:after="40"/>
      </w:pPr>
      <w:hyperlink w:history="1" r:id="rIdoxre7cwjbrqy95dhlakwu">
        <w:r>
          <w:rPr>
            <w:rStyle w:val="Hyperlink"/>
          </w:rPr>
          <w:t xml:space="preserve">VJCS special issue and NTTU publication options</w:t>
        </w:r>
      </w:hyperlink>
    </w:p>
    <w:p>
      <w:pPr>
        <w:pStyle w:val="ListParagraph"/>
        <w:numPr>
          <w:ilvl w:val="0"/>
          <w:numId w:val="4"/>
        </w:numPr>
        <w:spacing w:after="40"/>
      </w:pPr>
      <w:hyperlink w:history="1" r:id="rIdj-wmh3ad1tujyr1w-dkai">
        <w:r>
          <w:rPr>
            <w:rStyle w:val="Hyperlink"/>
          </w:rPr>
          <w:t xml:space="preserve">World Scientific AI guidelines (summary)</w:t>
        </w:r>
      </w:hyperlink>
    </w:p>
    <w:p>
      <w:pPr>
        <w:pStyle w:val="ListParagraph"/>
        <w:numPr>
          <w:ilvl w:val="0"/>
          <w:numId w:val="4"/>
        </w:numPr>
        <w:spacing w:after="40"/>
      </w:pPr>
      <w:hyperlink w:history="1" r:id="rIdgb7ukehpqhieclnp18hfg">
        <w:r>
          <w:rPr>
            <w:rStyle w:val="Hyperlink"/>
          </w:rPr>
          <w:t xml:space="preserve">Artificial Intelligence and Law (Springer)</w:t>
        </w:r>
      </w:hyperlink>
    </w:p>
    <w:p>
      <w:pPr>
        <w:pStyle w:val="ListParagraph"/>
        <w:numPr>
          <w:ilvl w:val="0"/>
          <w:numId w:val="4"/>
        </w:numPr>
        <w:spacing w:after="40"/>
      </w:pPr>
      <w:hyperlink w:history="1" r:id="rIdf1d018ch1eqsfn8egbky2">
        <w:r>
          <w:rPr>
            <w:rStyle w:val="Hyperlink"/>
          </w:rPr>
          <w:t xml:space="preserve">Artificial Intelligence and Law — OA model and fee (MPDL)</w:t>
        </w:r>
      </w:hyperlink>
    </w:p>
    <w:p>
      <w:pPr>
        <w:pStyle w:val="ListParagraph"/>
        <w:numPr>
          <w:ilvl w:val="0"/>
          <w:numId w:val="4"/>
        </w:numPr>
        <w:spacing w:after="40"/>
      </w:pPr>
      <w:hyperlink w:history="1" r:id="rIdk_vbmekrk88lsdt9wp3fo">
        <w:r>
          <w:rPr>
            <w:rStyle w:val="Hyperlink"/>
          </w:rPr>
          <w:t xml:space="preserve">JIT — instructions for authors</w:t>
        </w:r>
      </w:hyperlink>
    </w:p>
    <w:p>
      <w:pPr>
        <w:pStyle w:val="ListParagraph"/>
        <w:numPr>
          <w:ilvl w:val="0"/>
          <w:numId w:val="4"/>
        </w:numPr>
        <w:spacing w:after="40"/>
      </w:pPr>
      <w:hyperlink w:history="1" r:id="rIdwm6ccgp-fdkemhxf1ezy5">
        <w:r>
          <w:rPr>
            <w:rStyle w:val="Hyperlink"/>
          </w:rPr>
          <w:t xml:space="preserve">JIT — journal information and metrics</w:t>
        </w:r>
      </w:hyperlink>
    </w:p>
    <w:p>
      <w:pPr>
        <w:pStyle w:val="ListParagraph"/>
        <w:numPr>
          <w:ilvl w:val="0"/>
          <w:numId w:val="4"/>
        </w:numPr>
        <w:spacing w:after="40"/>
      </w:pPr>
      <w:hyperlink w:history="1" r:id="rIdvacgpxlwbl3tqf6mpfx8k">
        <w:r>
          <w:rPr>
            <w:rStyle w:val="Hyperlink"/>
          </w:rPr>
          <w:t xml:space="preserve">JIT — society information (TDTU covers APC)</w:t>
        </w:r>
      </w:hyperlink>
    </w:p>
    <w:p>
      <w:pPr>
        <w:pStyle w:val="ListParagraph"/>
        <w:numPr>
          <w:ilvl w:val="0"/>
          <w:numId w:val="4"/>
        </w:numPr>
        <w:spacing w:after="40"/>
      </w:pPr>
      <w:hyperlink w:history="1" r:id="rIdscfbg9_v40iosq8kpunnt">
        <w:r>
          <w:rPr>
            <w:rStyle w:val="Hyperlink"/>
          </w:rPr>
          <w:t xml:space="preserve">JIT on DOAJ</w:t>
        </w:r>
      </w:hyperlink>
    </w:p>
    <w:p>
      <w:pPr>
        <w:pStyle w:val="ListParagraph"/>
        <w:numPr>
          <w:ilvl w:val="0"/>
          <w:numId w:val="4"/>
        </w:numPr>
        <w:spacing w:after="40"/>
      </w:pPr>
      <w:hyperlink w:history="1" r:id="rIdum4crse568rronndjs1bt">
        <w:r>
          <w:rPr>
            <w:rStyle w:val="Hyperlink"/>
          </w:rPr>
          <w:t xml:space="preserve">TMLR acceptance criteria</w:t>
        </w:r>
      </w:hyperlink>
    </w:p>
    <w:p>
      <w:pPr>
        <w:pStyle w:val="ListParagraph"/>
        <w:numPr>
          <w:ilvl w:val="0"/>
          <w:numId w:val="4"/>
        </w:numPr>
        <w:spacing w:after="40"/>
      </w:pPr>
      <w:hyperlink w:history="1" r:id="rIdpy6rqgutzuw7vd3wm_wf9">
        <w:r>
          <w:rPr>
            <w:rStyle w:val="Hyperlink"/>
          </w:rPr>
          <w:t xml:space="preserve">TMLR FAQ</w:t>
        </w:r>
      </w:hyperlink>
    </w:p>
    <w:p>
      <w:pPr>
        <w:pStyle w:val="ListParagraph"/>
        <w:numPr>
          <w:ilvl w:val="0"/>
          <w:numId w:val="4"/>
        </w:numPr>
        <w:spacing w:after="40"/>
      </w:pPr>
      <w:hyperlink w:history="1" r:id="rIdbabrnlxofxiekutaehqvr">
        <w:r>
          <w:rPr>
            <w:rStyle w:val="Hyperlink"/>
          </w:rPr>
          <w:t xml:space="preserve">Journal of Computer Science and Cybernetics (VAST)</w:t>
        </w:r>
      </w:hyperlink>
    </w:p>
    <w:p>
      <w:pPr>
        <w:pStyle w:val="ListParagraph"/>
        <w:numPr>
          <w:ilvl w:val="0"/>
          <w:numId w:val="4"/>
        </w:numPr>
        <w:spacing w:after="40"/>
      </w:pPr>
      <w:hyperlink w:history="1" r:id="rIdulsblfbr_vhix3qeepna7">
        <w:r>
          <w:rPr>
            <w:rStyle w:val="Hyperlink"/>
          </w:rPr>
          <w:t xml:space="preserve">VNU Journal of Science: CS and Communication Engineering</w:t>
        </w:r>
      </w:hyperlink>
    </w:p>
    <w:p>
      <w:pPr>
        <w:pStyle w:val="ListParagraph"/>
        <w:numPr>
          <w:ilvl w:val="0"/>
          <w:numId w:val="4"/>
        </w:numPr>
        <w:spacing w:after="40"/>
      </w:pPr>
      <w:hyperlink w:history="1" r:id="rIdzwymkstsbi3ba5uu0c7ku">
        <w:r>
          <w:rPr>
            <w:rStyle w:val="Hyperlink"/>
          </w:rPr>
          <w:t xml:space="preserve">Language Resources and Evaluation (Springer)</w:t>
        </w:r>
      </w:hyperlink>
    </w:p>
    <w:p>
      <w:pPr>
        <w:pStyle w:val="ListParagraph"/>
        <w:numPr>
          <w:ilvl w:val="0"/>
          <w:numId w:val="4"/>
        </w:numPr>
        <w:spacing w:after="40"/>
      </w:pPr>
      <w:hyperlink w:history="1" r:id="rId60h7t5fhgtmbaa7sgvu0v">
        <w:r>
          <w:rPr>
            <w:rStyle w:val="Hyperlink"/>
          </w:rPr>
          <w:t xml:space="preserve">IEEE article processing charges</w:t>
        </w:r>
      </w:hyperlink>
    </w:p>
    <w:p>
      <w:pPr>
        <w:pStyle w:val="ListParagraph"/>
        <w:numPr>
          <w:ilvl w:val="0"/>
          <w:numId w:val="4"/>
        </w:numPr>
        <w:spacing w:after="40"/>
      </w:pPr>
      <w:hyperlink w:history="1" r:id="rId-bbyowjq63di7ukq1_sbx">
        <w:r>
          <w:rPr>
            <w:rStyle w:val="Hyperlink"/>
          </w:rPr>
          <w:t xml:space="preserve">ACM APC waiver countries</w:t>
        </w:r>
      </w:hyperlink>
    </w:p>
    <w:p>
      <w:pPr>
        <w:pStyle w:val="ListParagraph"/>
        <w:numPr>
          <w:ilvl w:val="0"/>
          <w:numId w:val="4"/>
        </w:numPr>
        <w:spacing w:after="40"/>
      </w:pPr>
      <w:hyperlink w:history="1" r:id="rIdznao3mgn47vs1qmwpse0i">
        <w:r>
          <w:rPr>
            <w:rStyle w:val="Hyperlink"/>
          </w:rPr>
          <w:t xml:space="preserve">ICAIL 2027 call (why conferences are out: in-person rule)</w:t>
        </w:r>
      </w:hyperlink>
    </w:p>
    <w:p>
      <w:pPr>
        <w:pStyle w:val="ListParagraph"/>
        <w:numPr>
          <w:ilvl w:val="0"/>
          <w:numId w:val="4"/>
        </w:numPr>
        <w:spacing w:after="40"/>
      </w:pPr>
      <w:hyperlink w:history="1" r:id="rId3i066dcwcxrctsz17rmxy">
        <w:r>
          <w:rPr>
            <w:rStyle w:val="Hyperlink"/>
          </w:rPr>
          <w:t xml:space="preserve">Springer Nature AI policy</w:t>
        </w:r>
      </w:hyperlink>
    </w:p>
    <w:p>
      <w:pPr>
        <w:pStyle w:val="ListParagraph"/>
        <w:numPr>
          <w:ilvl w:val="0"/>
          <w:numId w:val="4"/>
        </w:numPr>
        <w:spacing w:after="40"/>
      </w:pPr>
      <w:hyperlink w:history="1" r:id="rId2uh_omescvxiemcjjgz7f">
        <w:r>
          <w:rPr>
            <w:rStyle w:val="Hyperlink"/>
          </w:rPr>
          <w:t xml:space="preserve">IEEE guidelines for AI-generated text</w:t>
        </w:r>
      </w:hyperlink>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Page </w:t>
    </w:r>
    <w:r>
      <w:rPr>
        <w:color w:val="808080"/>
        <w:sz w:val="16"/>
        <w:szCs w:val="16"/>
      </w:rPr>
      <w:fldChar w:fldCharType="begin"/>
    </w:r>
    <w:r>
      <w:rPr>
        <w:color w:val="808080"/>
        <w:sz w:val="16"/>
        <w:szCs w:val="16"/>
      </w:rPr>
      <w:instrText xml:space="preserve">PAGE</w:instrText>
    </w:r>
    <w:r>
      <w:rPr>
        <w:color w:val="808080"/>
        <w:sz w:val="16"/>
        <w:szCs w:val="16"/>
      </w:rPr>
      <w:fldChar w:fldCharType="separate"/>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 xml:space="preserve">NUMPAGES</w:instrText>
    </w:r>
    <w:r>
      <w:rPr>
        <w:color w:val="808080"/>
        <w:sz w:val="16"/>
        <w:szCs w:val="16"/>
      </w:rPr>
      <w:fldChar w:fldCharType="separate"/>
    </w:r>
    <w:r>
      <w:rPr>
        <w:color w:val="80808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2"/>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40" w:before="320"/>
      <w:outlineLvl w:val="0"/>
    </w:pPr>
    <w:rPr>
      <w:rFonts w:ascii="Arial" w:cs="Arial" w:eastAsia="Arial" w:hAnsi="Arial"/>
      <w:b/>
      <w:bCs/>
      <w:color w:val="1F4E79"/>
      <w:sz w:val="28"/>
      <w:szCs w:val="28"/>
    </w:rPr>
  </w:style>
  <w:style w:type="paragraph" w:styleId="Heading2">
    <w:name w:val="Heading 2"/>
    <w:basedOn w:val="Normal"/>
    <w:next w:val="Normal"/>
    <w:qFormat/>
    <w:pPr>
      <w:keepNext/>
      <w:keepLines/>
      <w:spacing w:after="100" w:before="220"/>
      <w:outlineLvl w:val="1"/>
    </w:pPr>
    <w:rPr>
      <w:rFonts w:ascii="Arial" w:cs="Arial" w:eastAsia="Arial" w:hAnsi="Arial"/>
      <w:b/>
      <w:bCs/>
      <w:color w:val="2E2E2E"/>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sljrj5-4fybzc6tmtr5ph" Type="http://schemas.openxmlformats.org/officeDocument/2006/relationships/hyperlink" Target="https://www.doaj.org/toc/2196-8896" TargetMode="External"/><Relationship Id="rIdk5vhgdini3hlm7ovdrayx" Type="http://schemas.openxmlformats.org/officeDocument/2006/relationships/hyperlink" Target="https://aiia.ntt.edu.vn/en/?p=1360" TargetMode="External"/><Relationship Id="rIdoxre7cwjbrqy95dhlakwu" Type="http://schemas.openxmlformats.org/officeDocument/2006/relationships/hyperlink" Target="https://aiia.ntt.edu.vn/en/an-pham-khoa-hoc/" TargetMode="External"/><Relationship Id="rIdj-wmh3ad1tujyr1w-dkai" Type="http://schemas.openxmlformats.org/officeDocument/2006/relationships/hyperlink" Target="https://www.enago.com/responsible-ai-movement/publisher-ai-guidelines/wsp-ai-guidelines/" TargetMode="External"/><Relationship Id="rIdgb7ukehpqhieclnp18hfg" Type="http://schemas.openxmlformats.org/officeDocument/2006/relationships/hyperlink" Target="https://link.springer.com/journal/10506" TargetMode="External"/><Relationship Id="rIdf1d018ch1eqsfn8egbky2" Type="http://schemas.openxmlformats.org/officeDocument/2006/relationships/hyperlink" Target="https://oapublishing.mpdl.mpg.de/journals/Record/Springer-10506" TargetMode="External"/><Relationship Id="rIdk_vbmekrk88lsdt9wp3fo" Type="http://schemas.openxmlformats.org/officeDocument/2006/relationships/hyperlink" Target="https://jit.tdtu.edu.vn/instructions-for-authors" TargetMode="External"/><Relationship Id="rIdwm6ccgp-fdkemhxf1ezy5" Type="http://schemas.openxmlformats.org/officeDocument/2006/relationships/hyperlink" Target="https://jit.tdtu.edu.vn/node/4" TargetMode="External"/><Relationship Id="rIdvacgpxlwbl3tqf6mpfx8k" Type="http://schemas.openxmlformats.org/officeDocument/2006/relationships/hyperlink" Target="https://jit.tdtu.edu.vn/node/7" TargetMode="External"/><Relationship Id="rIdscfbg9_v40iosq8kpunnt" Type="http://schemas.openxmlformats.org/officeDocument/2006/relationships/hyperlink" Target="https://doaj.org/toc/2475-1839" TargetMode="External"/><Relationship Id="rIdum4crse568rronndjs1bt" Type="http://schemas.openxmlformats.org/officeDocument/2006/relationships/hyperlink" Target="https://jmlr.org/tmlr/acceptance-criteria.html" TargetMode="External"/><Relationship Id="rIdpy6rqgutzuw7vd3wm_wf9" Type="http://schemas.openxmlformats.org/officeDocument/2006/relationships/hyperlink" Target="https://jmlr.org/tmlr/faq.html" TargetMode="External"/><Relationship Id="rIdbabrnlxofxiekutaehqvr" Type="http://schemas.openxmlformats.org/officeDocument/2006/relationships/hyperlink" Target="https://vjs.ac.vn/jcc/about" TargetMode="External"/><Relationship Id="rIdulsblfbr_vhix3qeepna7" Type="http://schemas.openxmlformats.org/officeDocument/2006/relationships/hyperlink" Target="https://jcsce.vnu.edu.vn/index.php/jcsce/about" TargetMode="External"/><Relationship Id="rIdzwymkstsbi3ba5uu0c7ku" Type="http://schemas.openxmlformats.org/officeDocument/2006/relationships/hyperlink" Target="https://link.springer.com/journal/10579" TargetMode="External"/><Relationship Id="rId60h7t5fhgtmbaa7sgvu0v" Type="http://schemas.openxmlformats.org/officeDocument/2006/relationships/hyperlink" Target="https://open.ieee.org/for-authors/article-processing-charges/" TargetMode="External"/><Relationship Id="rId-bbyowjq63di7ukq1_sbx" Type="http://schemas.openxmlformats.org/officeDocument/2006/relationships/hyperlink" Target="https://www.acm.org/publications/policies/waiver-countries" TargetMode="External"/><Relationship Id="rIdznao3mgn47vs1qmwpse0i" Type="http://schemas.openxmlformats.org/officeDocument/2006/relationships/hyperlink" Target="https://icail-vienna-2027.org/call-for-papers/" TargetMode="External"/><Relationship Id="rId3i066dcwcxrctsz17rmxy" Type="http://schemas.openxmlformats.org/officeDocument/2006/relationships/hyperlink" Target="https://www.springer.com/de/editorial-policies/artificial-intelligence--ai-/25428500" TargetMode="External"/><Relationship Id="rId2uh_omescvxiemcjjgz7f" Type="http://schemas.openxmlformats.org/officeDocument/2006/relationships/hyperlink" Target="https://open.ieee.org/author-guidelines-for-artificial-intelligence-ai-generated-text/" TargetMode="External"/><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Which journal to submit our paper to, and what to fix first</dc:title>
  <dc:creator>Group 7</dc:creator>
  <cp:lastModifiedBy>Un-named</cp:lastModifiedBy>
  <cp:revision>1</cp:revision>
  <dcterms:created xsi:type="dcterms:W3CDTF">2026-10-18T13:21:15.720Z</dcterms:created>
  <dcterms:modified xsi:type="dcterms:W3CDTF">2026-10-18T13:21:15.720Z</dcterms:modified>
</cp:coreProperties>
</file>

<file path=docProps/custom.xml><?xml version="1.0" encoding="utf-8"?>
<Properties xmlns="http://schemas.openxmlformats.org/officeDocument/2006/custom-properties" xmlns:vt="http://schemas.openxmlformats.org/officeDocument/2006/docPropsVTypes"/>
</file>