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C3C2" w14:textId="6A6BAE63" w:rsidR="008D15FA" w:rsidRPr="00B629BD" w:rsidRDefault="00E1732B" w:rsidP="008D15FA">
      <w:pPr>
        <w:jc w:val="center"/>
        <w:rPr>
          <w:b/>
          <w:bCs/>
          <w:sz w:val="28"/>
          <w:szCs w:val="28"/>
        </w:rPr>
      </w:pPr>
      <w:r w:rsidRPr="00E1732B">
        <w:rPr>
          <w:b/>
          <w:bCs/>
          <w:sz w:val="28"/>
          <w:szCs w:val="28"/>
        </w:rPr>
        <w:t xml:space="preserve">Global </w:t>
      </w:r>
      <w:r w:rsidR="008D15FA" w:rsidRPr="00E1732B">
        <w:rPr>
          <w:b/>
          <w:bCs/>
          <w:sz w:val="28"/>
          <w:szCs w:val="28"/>
        </w:rPr>
        <w:t>Relative R</w:t>
      </w:r>
      <w:r w:rsidR="008D15FA" w:rsidRPr="00E1732B">
        <w:rPr>
          <w:b/>
          <w:bCs/>
          <w:sz w:val="28"/>
          <w:szCs w:val="28"/>
          <w:vertAlign w:val="subscript"/>
        </w:rPr>
        <w:t xml:space="preserve">0 </w:t>
      </w:r>
      <w:r w:rsidR="008D15FA" w:rsidRPr="00E1732B">
        <w:rPr>
          <w:b/>
          <w:bCs/>
          <w:sz w:val="28"/>
          <w:szCs w:val="28"/>
        </w:rPr>
        <w:t>Model for Dengue</w:t>
      </w:r>
      <w:r w:rsidR="00B629BD">
        <w:rPr>
          <w:b/>
          <w:bCs/>
          <w:sz w:val="28"/>
          <w:szCs w:val="28"/>
        </w:rPr>
        <w:t xml:space="preserve"> based on </w:t>
      </w:r>
      <w:r w:rsidR="00B629BD" w:rsidRPr="00B629BD">
        <w:rPr>
          <w:b/>
          <w:bCs/>
          <w:i/>
          <w:iCs/>
          <w:sz w:val="28"/>
          <w:szCs w:val="28"/>
        </w:rPr>
        <w:t>Aedes aegypti</w:t>
      </w:r>
      <w:r w:rsidR="00B629BD">
        <w:rPr>
          <w:b/>
          <w:bCs/>
          <w:i/>
          <w:iCs/>
          <w:sz w:val="28"/>
          <w:szCs w:val="28"/>
        </w:rPr>
        <w:t xml:space="preserve"> </w:t>
      </w:r>
      <w:r w:rsidR="00B629BD">
        <w:rPr>
          <w:b/>
          <w:bCs/>
          <w:sz w:val="28"/>
          <w:szCs w:val="28"/>
        </w:rPr>
        <w:t>vector</w:t>
      </w:r>
    </w:p>
    <w:p w14:paraId="7F8B9CD3" w14:textId="7554CF4D" w:rsidR="000D1690" w:rsidRDefault="000D1690" w:rsidP="00364E1F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6CCC0408" w14:textId="0BB960F9" w:rsidR="006C3797" w:rsidRDefault="000D1690" w:rsidP="00364E1F">
      <w:r>
        <w:t>Construct a</w:t>
      </w:r>
      <w:r w:rsidR="00DC268A">
        <w:t xml:space="preserve"> Worldwide</w:t>
      </w:r>
      <w:r>
        <w:t xml:space="preserve"> Relative Basic Reproductive Number (R</w:t>
      </w:r>
      <w:r w:rsidRPr="000D1690">
        <w:rPr>
          <w:vertAlign w:val="subscript"/>
        </w:rPr>
        <w:t>0</w:t>
      </w:r>
      <w:r>
        <w:t xml:space="preserve">) model for Dengue </w:t>
      </w:r>
      <w:r w:rsidR="003E299C">
        <w:t>at 5 x 5 km grid resolution based on work of Ndeffo &amp; Pandey (20</w:t>
      </w:r>
      <w:r w:rsidR="00E621DF">
        <w:t>20)</w:t>
      </w:r>
      <w:r w:rsidR="006C3797">
        <w:t xml:space="preserve"> which accounts for:</w:t>
      </w:r>
    </w:p>
    <w:p w14:paraId="18E6BD40" w14:textId="472488CF" w:rsidR="006C3797" w:rsidRDefault="00416482" w:rsidP="006C3797">
      <w:pPr>
        <w:pStyle w:val="ListParagraph"/>
        <w:numPr>
          <w:ilvl w:val="0"/>
          <w:numId w:val="2"/>
        </w:numPr>
      </w:pPr>
      <w:r>
        <w:t xml:space="preserve">Distribution of </w:t>
      </w:r>
      <w:r w:rsidRPr="00CD6D7D">
        <w:rPr>
          <w:i/>
          <w:iCs/>
        </w:rPr>
        <w:t>Aedes ae</w:t>
      </w:r>
      <w:r w:rsidR="00CD6D7D" w:rsidRPr="00CD6D7D">
        <w:rPr>
          <w:i/>
          <w:iCs/>
        </w:rPr>
        <w:t>g</w:t>
      </w:r>
      <w:r w:rsidRPr="00CD6D7D">
        <w:rPr>
          <w:i/>
          <w:iCs/>
        </w:rPr>
        <w:t>ypti</w:t>
      </w:r>
      <w:r>
        <w:t xml:space="preserve"> mosquito vecto</w:t>
      </w:r>
      <w:r w:rsidR="00CD6D7D">
        <w:t>r</w:t>
      </w:r>
      <w:r>
        <w:t>s</w:t>
      </w:r>
    </w:p>
    <w:p w14:paraId="053A9B99" w14:textId="6F299801" w:rsidR="00416482" w:rsidRDefault="00CD6D7D" w:rsidP="006C3797">
      <w:pPr>
        <w:pStyle w:val="ListParagraph"/>
        <w:numPr>
          <w:ilvl w:val="0"/>
          <w:numId w:val="2"/>
        </w:numPr>
      </w:pPr>
      <w:r>
        <w:t xml:space="preserve">Interaction between </w:t>
      </w:r>
      <w:r w:rsidR="00783011">
        <w:t>socio-</w:t>
      </w:r>
      <w:r>
        <w:t>economic</w:t>
      </w:r>
      <w:r w:rsidR="00783011">
        <w:t xml:space="preserve"> factors (including</w:t>
      </w:r>
      <w:r>
        <w:t xml:space="preserve"> pros</w:t>
      </w:r>
      <w:r w:rsidR="008D237E">
        <w:t>perity</w:t>
      </w:r>
      <w:r w:rsidR="00783011">
        <w:t xml:space="preserve">, housing conditions, </w:t>
      </w:r>
      <w:r w:rsidR="008511EC">
        <w:t>etc.)</w:t>
      </w:r>
      <w:r w:rsidR="008D237E">
        <w:t xml:space="preserve"> and human-mosquito contact</w:t>
      </w:r>
      <w:r w:rsidR="00C55CF8">
        <w:t xml:space="preserve"> = Risk of Exposure</w:t>
      </w:r>
    </w:p>
    <w:p w14:paraId="3A8A6A77" w14:textId="1996DEE5" w:rsidR="008D237E" w:rsidRDefault="008D237E" w:rsidP="006C3797">
      <w:pPr>
        <w:pStyle w:val="ListParagraph"/>
        <w:numPr>
          <w:ilvl w:val="0"/>
          <w:numId w:val="2"/>
        </w:numPr>
      </w:pPr>
      <w:r>
        <w:t xml:space="preserve">Rainfall &amp; temperature effects </w:t>
      </w:r>
      <w:r w:rsidR="002D33BF">
        <w:t>on transmission dynamics</w:t>
      </w:r>
    </w:p>
    <w:p w14:paraId="19B60662" w14:textId="73419DDE" w:rsidR="0090161E" w:rsidRDefault="0090161E" w:rsidP="006C3797">
      <w:pPr>
        <w:pStyle w:val="ListParagraph"/>
        <w:numPr>
          <w:ilvl w:val="0"/>
          <w:numId w:val="2"/>
        </w:numPr>
      </w:pPr>
      <w:r>
        <w:t>Carrying capacity informed by empirical data</w:t>
      </w:r>
    </w:p>
    <w:p w14:paraId="43CFB0EC" w14:textId="5553CF46" w:rsidR="008B295F" w:rsidRDefault="008B295F" w:rsidP="006C3797">
      <w:pPr>
        <w:pStyle w:val="ListParagraph"/>
        <w:numPr>
          <w:ilvl w:val="0"/>
          <w:numId w:val="2"/>
        </w:numPr>
      </w:pPr>
      <w:r>
        <w:t>Human density informed by empirical data</w:t>
      </w:r>
    </w:p>
    <w:p w14:paraId="328638F2" w14:textId="77777777" w:rsidR="00B629BD" w:rsidRDefault="00B629BD" w:rsidP="00B629BD">
      <w:pPr>
        <w:pStyle w:val="ListParagraph"/>
      </w:pPr>
    </w:p>
    <w:p w14:paraId="19A4403B" w14:textId="0166F8C3" w:rsidR="00BF469D" w:rsidRDefault="00BF469D" w:rsidP="00364E1F">
      <w:pPr>
        <w:rPr>
          <w:b/>
          <w:bCs/>
          <w:u w:val="single"/>
        </w:rPr>
      </w:pPr>
      <w:r>
        <w:rPr>
          <w:b/>
          <w:bCs/>
          <w:u w:val="single"/>
        </w:rPr>
        <w:t>Construct</w:t>
      </w:r>
      <w:r w:rsidR="00B629BD">
        <w:rPr>
          <w:b/>
          <w:bCs/>
          <w:u w:val="single"/>
        </w:rPr>
        <w:t>ing the</w:t>
      </w:r>
      <w:r>
        <w:rPr>
          <w:b/>
          <w:bCs/>
          <w:u w:val="single"/>
        </w:rPr>
        <w:t xml:space="preserve"> R</w:t>
      </w:r>
      <w:r w:rsidRPr="0072262D">
        <w:rPr>
          <w:b/>
          <w:bCs/>
          <w:u w:val="single"/>
          <w:vertAlign w:val="subscript"/>
        </w:rPr>
        <w:t>0</w:t>
      </w:r>
      <w:r>
        <w:rPr>
          <w:b/>
          <w:bCs/>
          <w:u w:val="single"/>
        </w:rPr>
        <w:t xml:space="preserve"> model</w:t>
      </w:r>
    </w:p>
    <w:p w14:paraId="7BB4D6B3" w14:textId="4559FA65" w:rsidR="00767CBB" w:rsidRDefault="00767CBB" w:rsidP="00364E1F">
      <w:r>
        <w:t xml:space="preserve">Basic </w:t>
      </w:r>
      <w:r w:rsidR="009B2AD1">
        <w:t>Reproductive Number</w:t>
      </w:r>
      <w:r w:rsidR="00B629BD">
        <w:t xml:space="preserve"> (R</w:t>
      </w:r>
      <w:r w:rsidR="00B629BD" w:rsidRPr="00B629BD">
        <w:rPr>
          <w:vertAlign w:val="subscript"/>
        </w:rPr>
        <w:t>0</w:t>
      </w:r>
      <w:r w:rsidR="00B629BD">
        <w:t>)</w:t>
      </w:r>
      <w:r w:rsidR="00AB3686">
        <w:t xml:space="preserve"> Model for </w:t>
      </w:r>
      <w:r w:rsidR="00AB3686" w:rsidRPr="00AB3686">
        <w:rPr>
          <w:i/>
          <w:iCs/>
        </w:rPr>
        <w:t>Aedes aegypt</w:t>
      </w:r>
      <w:r w:rsidR="00BF469D">
        <w:rPr>
          <w:i/>
          <w:iCs/>
        </w:rPr>
        <w:t>i</w:t>
      </w:r>
      <w:r w:rsidR="00D62559">
        <w:rPr>
          <w:i/>
          <w:iCs/>
        </w:rPr>
        <w:t xml:space="preserve"> </w:t>
      </w:r>
      <w:r w:rsidR="00D62559">
        <w:t xml:space="preserve">derived from </w:t>
      </w:r>
      <w:proofErr w:type="spellStart"/>
      <w:r w:rsidR="00D62559">
        <w:t>Ngonghala</w:t>
      </w:r>
      <w:proofErr w:type="spellEnd"/>
      <w:r w:rsidR="00D62559">
        <w:t xml:space="preserve"> et al., 2021</w:t>
      </w:r>
      <w:r w:rsidR="003F7671">
        <w:t xml:space="preserve">.  </w:t>
      </w:r>
      <w:r w:rsidR="00BC371E">
        <w:t>This is an extended version of the Ross-Macdonald formulation</w:t>
      </w:r>
      <w:r w:rsidR="00DD44FF">
        <w:t xml:space="preserve"> with a function of Temperature T (</w:t>
      </w:r>
      <w:r w:rsidR="00DD44FF">
        <w:rPr>
          <w:rFonts w:cstheme="minorHAnsi"/>
        </w:rPr>
        <w:t>°</w:t>
      </w:r>
      <w:r w:rsidR="00DD44FF">
        <w:t>C)</w:t>
      </w:r>
      <w:r w:rsidR="00CA4E1F">
        <w:t>:</w:t>
      </w:r>
    </w:p>
    <w:p w14:paraId="609F51EB" w14:textId="3B69F4F6" w:rsidR="00A7394D" w:rsidRPr="004C6570" w:rsidRDefault="005E4A50" w:rsidP="00364E1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v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*κ*f(R)*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1B303A57" w14:textId="7E5275CF" w:rsidR="004C6570" w:rsidRPr="00FE3BFB" w:rsidRDefault="004C6570" w:rsidP="00364E1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4F86BD5" w14:textId="1C1539B4" w:rsidR="00FE3BFB" w:rsidRPr="00A30872" w:rsidRDefault="005E4A50" w:rsidP="00364E1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 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14:paraId="1E11793F" w14:textId="74D71D49" w:rsidR="00A30872" w:rsidRPr="00901402" w:rsidRDefault="005E4A50" w:rsidP="00364E1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0F698101" w14:textId="34036D9C" w:rsidR="00DD675B" w:rsidRDefault="005E4A50" w:rsidP="00DD67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 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den>
            </m:f>
          </m:e>
        </m:d>
      </m:oMath>
      <w:r w:rsidR="00B472B5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den>
            </m:f>
          </m:e>
        </m:d>
      </m:oMath>
    </w:p>
    <w:p w14:paraId="1C66DA53" w14:textId="5805E4FB" w:rsidR="00901402" w:rsidRDefault="00A17D4C" w:rsidP="00DD675B">
      <w:pPr>
        <w:jc w:val="center"/>
      </w:pPr>
      <w:r>
        <w:rPr>
          <w:rFonts w:eastAsiaTheme="minorEastAsia"/>
        </w:rPr>
        <w:t xml:space="preserve">* </w:t>
      </w:r>
      <w:r w:rsidR="00125D11">
        <w:rPr>
          <w:rFonts w:eastAsiaTheme="minorEastAsia"/>
        </w:rPr>
        <w:t xml:space="preserve">Parameter </w:t>
      </w:r>
      <w:r w:rsidR="002C5051">
        <w:rPr>
          <w:rFonts w:eastAsiaTheme="minorEastAsia"/>
        </w:rPr>
        <w:t xml:space="preserve">Condition: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C5051">
        <w:rPr>
          <w:rFonts w:eastAsiaTheme="minorEastAsia" w:cstheme="minorHAnsi"/>
          <w:vertAlign w:val="subscript"/>
        </w:rPr>
        <w:t xml:space="preserve"> </w:t>
      </w:r>
      <w:r w:rsidR="002C5051" w:rsidRPr="002C5051">
        <w:rPr>
          <w:rFonts w:eastAsiaTheme="minorEastAsia" w:cstheme="minorHAnsi"/>
        </w:rPr>
        <w:t>&gt;</w:t>
      </w:r>
      <w:r w:rsidR="002C5051">
        <w:rPr>
          <w:rFonts w:eastAsiaTheme="minorEastAsia" w:cstheme="minorHAnsi"/>
          <w:vertAlign w:val="subscript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vertAlign w:val="subscript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vertAlign w:val="subscript"/>
              </w:rPr>
              <m:t>v</m:t>
            </m:r>
          </m:sub>
          <m:sup>
            <m:r>
              <w:rPr>
                <w:rFonts w:ascii="Cambria Math" w:eastAsiaTheme="minorEastAsia" w:hAnsi="Cambria Math" w:cstheme="minorHAnsi"/>
                <w:vertAlign w:val="subscript"/>
              </w:rPr>
              <m:t>2</m:t>
            </m:r>
          </m:sup>
        </m:sSubSup>
      </m:oMath>
    </w:p>
    <w:p w14:paraId="5ADA0FCA" w14:textId="77777777" w:rsidR="008D15FA" w:rsidRDefault="008D15F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7BD4DC5" w14:textId="30AF9453" w:rsidR="00465B10" w:rsidRPr="005814EA" w:rsidRDefault="00465B10" w:rsidP="00465B10">
      <w:pPr>
        <w:rPr>
          <w:rFonts w:cstheme="minorHAnsi"/>
        </w:rPr>
      </w:pPr>
      <w:r w:rsidRPr="00A12047">
        <w:rPr>
          <w:rFonts w:cstheme="minorHAnsi"/>
          <w:b/>
          <w:bCs/>
        </w:rPr>
        <w:lastRenderedPageBreak/>
        <w:t>Tabl</w:t>
      </w:r>
      <w:r w:rsidR="00826595" w:rsidRPr="00A12047">
        <w:rPr>
          <w:rFonts w:cstheme="minorHAnsi"/>
          <w:b/>
          <w:bCs/>
        </w:rPr>
        <w:t>e 1</w:t>
      </w:r>
      <w:r w:rsidRPr="00A12047">
        <w:rPr>
          <w:rFonts w:cstheme="minorHAnsi"/>
          <w:b/>
          <w:bCs/>
        </w:rPr>
        <w:t>. Dengue R</w:t>
      </w:r>
      <w:r w:rsidRPr="00A12047">
        <w:rPr>
          <w:rFonts w:cstheme="minorHAnsi"/>
          <w:b/>
          <w:bCs/>
          <w:vertAlign w:val="subscript"/>
        </w:rPr>
        <w:t>0</w:t>
      </w:r>
      <w:r w:rsidRPr="00A12047">
        <w:rPr>
          <w:rFonts w:cstheme="minorHAnsi"/>
          <w:b/>
          <w:bCs/>
        </w:rPr>
        <w:t xml:space="preserve"> model parameter settings using </w:t>
      </w:r>
      <w:proofErr w:type="spellStart"/>
      <w:r w:rsidRPr="00A12047">
        <w:rPr>
          <w:rFonts w:cstheme="minorHAnsi"/>
          <w:b/>
          <w:bCs/>
        </w:rPr>
        <w:t>Ngonghala</w:t>
      </w:r>
      <w:proofErr w:type="spellEnd"/>
      <w:r w:rsidRPr="00A12047">
        <w:rPr>
          <w:rFonts w:cstheme="minorHAnsi"/>
          <w:b/>
          <w:bCs/>
        </w:rPr>
        <w:t xml:space="preserve"> et al. (2021) and </w:t>
      </w:r>
      <w:r w:rsidRPr="00A12047">
        <w:rPr>
          <w:rFonts w:cstheme="minorHAnsi"/>
          <w:b/>
          <w:bCs/>
          <w:i/>
          <w:iCs/>
        </w:rPr>
        <w:t>Aedes aegypti</w:t>
      </w:r>
      <w:r w:rsidRPr="00A12047">
        <w:rPr>
          <w:rFonts w:cstheme="minorHAnsi"/>
          <w:b/>
          <w:bCs/>
        </w:rPr>
        <w:t xml:space="preserve"> mosquitoes</w:t>
      </w:r>
      <w:r>
        <w:rPr>
          <w:rFonts w:cstheme="minorHAnsi"/>
        </w:rPr>
        <w:t>.</w:t>
      </w:r>
      <w:r w:rsidR="005814EA">
        <w:rPr>
          <w:rFonts w:cstheme="minorHAnsi"/>
        </w:rPr>
        <w:t xml:space="preserve">  </w:t>
      </w:r>
      <w:r w:rsidR="005814EA" w:rsidRPr="005C57EA">
        <w:rPr>
          <w:rFonts w:cstheme="minorHAnsi"/>
        </w:rPr>
        <w:t>R</w:t>
      </w:r>
      <w:r w:rsidR="005814EA" w:rsidRPr="005C57EA">
        <w:rPr>
          <w:rFonts w:cstheme="minorHAnsi"/>
          <w:vertAlign w:val="subscript"/>
        </w:rPr>
        <w:t>0</w:t>
      </w:r>
      <w:r w:rsidR="005814EA">
        <w:rPr>
          <w:rFonts w:cstheme="minorHAnsi"/>
          <w:vertAlign w:val="subscript"/>
        </w:rPr>
        <w:t xml:space="preserve"> </w:t>
      </w:r>
      <w:r w:rsidR="005814EA">
        <w:rPr>
          <w:rFonts w:cstheme="minorHAnsi"/>
        </w:rPr>
        <w:t xml:space="preserve">is the average number of </w:t>
      </w:r>
      <w:r w:rsidR="00875F17">
        <w:rPr>
          <w:rFonts w:cstheme="minorHAnsi"/>
        </w:rPr>
        <w:t>secondary cases arising from a typical primary infection in an otherwise fully susceptible population.</w:t>
      </w:r>
    </w:p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1184"/>
        <w:gridCol w:w="2668"/>
        <w:gridCol w:w="1099"/>
        <w:gridCol w:w="4859"/>
      </w:tblGrid>
      <w:tr w:rsidR="00465B10" w:rsidRPr="005C57EA" w14:paraId="0A47A25C" w14:textId="77777777" w:rsidTr="007937B5">
        <w:tc>
          <w:tcPr>
            <w:tcW w:w="1184" w:type="dxa"/>
            <w:shd w:val="clear" w:color="auto" w:fill="A6A6A6" w:themeFill="background1" w:themeFillShade="A6"/>
          </w:tcPr>
          <w:p w14:paraId="145D7601" w14:textId="77777777" w:rsidR="00465B10" w:rsidRPr="001407C0" w:rsidRDefault="00465B10" w:rsidP="00687FD3">
            <w:pPr>
              <w:jc w:val="center"/>
              <w:rPr>
                <w:rFonts w:cstheme="minorHAnsi"/>
                <w:b/>
                <w:bCs/>
              </w:rPr>
            </w:pPr>
            <w:r w:rsidRPr="001407C0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2725" w:type="dxa"/>
            <w:shd w:val="clear" w:color="auto" w:fill="A6A6A6" w:themeFill="background1" w:themeFillShade="A6"/>
          </w:tcPr>
          <w:p w14:paraId="6084CC5E" w14:textId="77777777" w:rsidR="00465B10" w:rsidRPr="001407C0" w:rsidRDefault="00465B10" w:rsidP="00687FD3">
            <w:pPr>
              <w:jc w:val="center"/>
              <w:rPr>
                <w:rFonts w:cstheme="minorHAnsi"/>
                <w:b/>
                <w:bCs/>
              </w:rPr>
            </w:pPr>
            <w:r w:rsidRPr="001407C0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042" w:type="dxa"/>
            <w:shd w:val="clear" w:color="auto" w:fill="A6A6A6" w:themeFill="background1" w:themeFillShade="A6"/>
          </w:tcPr>
          <w:p w14:paraId="61A12157" w14:textId="77777777" w:rsidR="00465B10" w:rsidRPr="001407C0" w:rsidRDefault="00465B10" w:rsidP="00687FD3">
            <w:pPr>
              <w:jc w:val="center"/>
              <w:rPr>
                <w:rFonts w:cstheme="minorHAnsi"/>
                <w:b/>
                <w:bCs/>
              </w:rPr>
            </w:pPr>
            <w:r w:rsidRPr="001407C0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4859" w:type="dxa"/>
            <w:shd w:val="clear" w:color="auto" w:fill="A6A6A6" w:themeFill="background1" w:themeFillShade="A6"/>
          </w:tcPr>
          <w:p w14:paraId="7D88F5B8" w14:textId="77777777" w:rsidR="00465B10" w:rsidRPr="001407C0" w:rsidRDefault="00465B10" w:rsidP="00687FD3">
            <w:pPr>
              <w:jc w:val="center"/>
              <w:rPr>
                <w:rFonts w:cstheme="minorHAnsi"/>
                <w:b/>
                <w:bCs/>
              </w:rPr>
            </w:pPr>
            <w:r w:rsidRPr="001407C0">
              <w:rPr>
                <w:rFonts w:cstheme="minorHAnsi"/>
                <w:b/>
                <w:bCs/>
              </w:rPr>
              <w:t>Constant/Formula</w:t>
            </w:r>
          </w:p>
        </w:tc>
      </w:tr>
      <w:tr w:rsidR="00911C57" w:rsidRPr="005C57EA" w14:paraId="69A1D6FE" w14:textId="77777777" w:rsidTr="007937B5">
        <w:tc>
          <w:tcPr>
            <w:tcW w:w="1184" w:type="dxa"/>
          </w:tcPr>
          <w:p w14:paraId="410BC977" w14:textId="00C1AC76" w:rsidR="00911C57" w:rsidRPr="000F14A8" w:rsidRDefault="00911C57" w:rsidP="00687F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725" w:type="dxa"/>
          </w:tcPr>
          <w:p w14:paraId="7C3CB6C3" w14:textId="08590747" w:rsidR="00911C57" w:rsidRPr="000F14A8" w:rsidRDefault="00911C57" w:rsidP="00687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Temperature </w:t>
            </w:r>
            <w:r w:rsidR="008D15FA">
              <w:rPr>
                <w:rFonts w:cstheme="minorHAnsi"/>
              </w:rPr>
              <w:t>°C</w:t>
            </w:r>
          </w:p>
        </w:tc>
        <w:tc>
          <w:tcPr>
            <w:tcW w:w="1042" w:type="dxa"/>
          </w:tcPr>
          <w:p w14:paraId="403C638E" w14:textId="79B32260" w:rsidR="00911C57" w:rsidRPr="000F14A8" w:rsidRDefault="008D15FA" w:rsidP="00687F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859" w:type="dxa"/>
          </w:tcPr>
          <w:p w14:paraId="429CFA22" w14:textId="77777777" w:rsidR="008D15FA" w:rsidRDefault="008D15FA" w:rsidP="008D15FA">
            <w:r>
              <w:t>Monthly min, max, and average temperature (</w:t>
            </w:r>
            <w:r>
              <w:rPr>
                <w:rFonts w:cstheme="minorHAnsi"/>
              </w:rPr>
              <w:t>°</w:t>
            </w:r>
            <w:proofErr w:type="gramStart"/>
            <w:r>
              <w:t>C)and</w:t>
            </w:r>
            <w:proofErr w:type="gramEnd"/>
            <w:r>
              <w:t xml:space="preserve"> rainfall (mm) at various resolutions from 1970-2000</w:t>
            </w:r>
          </w:p>
          <w:p w14:paraId="1B34B6B5" w14:textId="77777777" w:rsidR="008D15FA" w:rsidRDefault="008D15FA" w:rsidP="008D15FA">
            <w:r>
              <w:t>(use 2.5 min spatial resolution data for 5 km)</w:t>
            </w:r>
          </w:p>
          <w:p w14:paraId="67C41D38" w14:textId="0F7FB0D5" w:rsidR="00911C57" w:rsidRPr="008D15FA" w:rsidRDefault="005E4A50" w:rsidP="008D15FA">
            <w:hyperlink r:id="rId7" w:history="1">
              <w:r w:rsidR="008D15FA" w:rsidRPr="00ED0091">
                <w:rPr>
                  <w:rStyle w:val="Hyperlink"/>
                </w:rPr>
                <w:t>https://www.worldclim.org/</w:t>
              </w:r>
            </w:hyperlink>
          </w:p>
        </w:tc>
      </w:tr>
      <w:tr w:rsidR="00465B10" w:rsidRPr="005C57EA" w14:paraId="0C9B41C4" w14:textId="77777777" w:rsidTr="007937B5">
        <w:tc>
          <w:tcPr>
            <w:tcW w:w="1184" w:type="dxa"/>
          </w:tcPr>
          <w:p w14:paraId="792C697A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b</w:t>
            </w:r>
          </w:p>
        </w:tc>
        <w:tc>
          <w:tcPr>
            <w:tcW w:w="2725" w:type="dxa"/>
          </w:tcPr>
          <w:p w14:paraId="37D76728" w14:textId="77777777" w:rsidR="00465B10" w:rsidRPr="000F14A8" w:rsidRDefault="00465B10" w:rsidP="00687FD3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Mosquito biting rate</w:t>
            </w:r>
          </w:p>
        </w:tc>
        <w:tc>
          <w:tcPr>
            <w:tcW w:w="1042" w:type="dxa"/>
          </w:tcPr>
          <w:p w14:paraId="5D9D2A7E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Brière</w:t>
            </w:r>
            <w:proofErr w:type="spellEnd"/>
          </w:p>
        </w:tc>
        <w:tc>
          <w:tcPr>
            <w:tcW w:w="4859" w:type="dxa"/>
          </w:tcPr>
          <w:p w14:paraId="7174101E" w14:textId="78F239A6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2.02E-04</w:t>
            </w:r>
            <w:r w:rsidR="00805CD1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T</w:t>
            </w:r>
            <w:r w:rsidR="00805CD1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(T-13.</w:t>
            </w:r>
            <w:proofErr w:type="gramStart"/>
            <w:r w:rsidRPr="000F14A8">
              <w:rPr>
                <w:rFonts w:cstheme="minorHAnsi"/>
              </w:rPr>
              <w:t>35)*</w:t>
            </w:r>
            <w:proofErr w:type="gramEnd"/>
            <w:r w:rsidRPr="000F14A8">
              <w:rPr>
                <w:rFonts w:cstheme="minorHAnsi"/>
              </w:rPr>
              <w:t>(40.08-T)</w:t>
            </w:r>
            <w:r w:rsidR="00805CD1">
              <w:rPr>
                <w:rFonts w:cstheme="minorHAnsi"/>
              </w:rPr>
              <w:t>^0.5</w:t>
            </w:r>
          </w:p>
        </w:tc>
      </w:tr>
      <w:tr w:rsidR="00465B10" w:rsidRPr="005C57EA" w14:paraId="280EE199" w14:textId="77777777" w:rsidTr="007937B5">
        <w:tc>
          <w:tcPr>
            <w:tcW w:w="1184" w:type="dxa"/>
          </w:tcPr>
          <w:p w14:paraId="3B36C136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Beta_vh</w:t>
            </w:r>
            <w:proofErr w:type="spellEnd"/>
          </w:p>
          <w:p w14:paraId="3E9F199F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β</w:t>
            </w:r>
            <w:proofErr w:type="spellStart"/>
            <w:r w:rsidRPr="000F14A8">
              <w:rPr>
                <w:rFonts w:cstheme="minorHAnsi"/>
                <w:vertAlign w:val="subscript"/>
              </w:rPr>
              <w:t>vh</w:t>
            </w:r>
            <w:proofErr w:type="spellEnd"/>
          </w:p>
        </w:tc>
        <w:tc>
          <w:tcPr>
            <w:tcW w:w="2725" w:type="dxa"/>
          </w:tcPr>
          <w:p w14:paraId="78A6BCE7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Probability that an infectious mosquito successfully transmits the virus while taking a blood meal from a susceptible human (i.e., transmission rate)</w:t>
            </w:r>
          </w:p>
        </w:tc>
        <w:tc>
          <w:tcPr>
            <w:tcW w:w="1042" w:type="dxa"/>
          </w:tcPr>
          <w:p w14:paraId="2FA9E972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246D9A40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1BC348F1" w14:textId="77777777" w:rsidR="00465B10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Brière</w:t>
            </w:r>
            <w:proofErr w:type="spellEnd"/>
          </w:p>
          <w:p w14:paraId="2DD2082A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4859" w:type="dxa"/>
          </w:tcPr>
          <w:p w14:paraId="6D8FF917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753CC49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C74DAD5" w14:textId="57F3F535" w:rsidR="00294350" w:rsidRPr="00FD1643" w:rsidRDefault="00294350" w:rsidP="0029435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643">
              <w:rPr>
                <w:rFonts w:cstheme="minorHAnsi"/>
              </w:rPr>
              <w:t>8.49E-04</w:t>
            </w:r>
            <w:r w:rsidR="00805CD1">
              <w:rPr>
                <w:rFonts w:cstheme="minorHAnsi"/>
              </w:rPr>
              <w:t>*</w:t>
            </w:r>
            <w:r w:rsidRPr="00FD1643">
              <w:rPr>
                <w:rFonts w:cstheme="minorHAnsi"/>
              </w:rPr>
              <w:t>T</w:t>
            </w:r>
            <w:r w:rsidR="00805CD1">
              <w:rPr>
                <w:rFonts w:cstheme="minorHAnsi"/>
              </w:rPr>
              <w:t>*</w:t>
            </w:r>
            <w:r w:rsidRPr="00FD1643">
              <w:rPr>
                <w:rFonts w:cstheme="minorHAnsi"/>
              </w:rPr>
              <w:t>(T-17.</w:t>
            </w:r>
            <w:proofErr w:type="gramStart"/>
            <w:r w:rsidRPr="00FD1643">
              <w:rPr>
                <w:rFonts w:cstheme="minorHAnsi"/>
              </w:rPr>
              <w:t>05)*</w:t>
            </w:r>
            <w:proofErr w:type="gramEnd"/>
            <w:r w:rsidRPr="00FD1643">
              <w:rPr>
                <w:rFonts w:cstheme="minorHAnsi"/>
              </w:rPr>
              <w:t>(35.83-T)</w:t>
            </w:r>
            <w:r w:rsidR="00805CD1">
              <w:rPr>
                <w:rFonts w:cstheme="minorHAnsi"/>
              </w:rPr>
              <w:t>^0.5</w:t>
            </w:r>
            <w:r w:rsidR="002C665C">
              <w:rPr>
                <w:rFonts w:cstheme="minorHAnsi"/>
              </w:rPr>
              <w:t xml:space="preserve"> </w:t>
            </w:r>
            <w:r w:rsidRPr="00FD1643">
              <w:rPr>
                <w:rFonts w:cstheme="minorHAnsi"/>
              </w:rPr>
              <w:t>Ϯ</w:t>
            </w:r>
          </w:p>
          <w:p w14:paraId="0B3F3ED3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459D9A1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5FEB913" w14:textId="603125A1" w:rsidR="00465B10" w:rsidRPr="0068600C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8600C">
              <w:rPr>
                <w:rFonts w:cstheme="minorHAnsi"/>
                <w:vertAlign w:val="superscript"/>
              </w:rPr>
              <w:t>Ϯ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>Value is taken from Mordecai</w:t>
            </w:r>
            <w:r w:rsidR="00CB7D14">
              <w:rPr>
                <w:rFonts w:cstheme="minorHAnsi"/>
              </w:rPr>
              <w:t xml:space="preserve"> et al</w:t>
            </w:r>
            <w:r w:rsidR="009E56BE">
              <w:rPr>
                <w:rFonts w:cstheme="minorHAnsi"/>
              </w:rPr>
              <w:t>.,</w:t>
            </w:r>
            <w:r w:rsidR="00CB7D14">
              <w:rPr>
                <w:rFonts w:cstheme="minorHAnsi"/>
              </w:rPr>
              <w:t xml:space="preserve"> 2017</w:t>
            </w:r>
          </w:p>
        </w:tc>
      </w:tr>
      <w:tr w:rsidR="00465B10" w:rsidRPr="005C57EA" w14:paraId="50693F48" w14:textId="77777777" w:rsidTr="007937B5">
        <w:tc>
          <w:tcPr>
            <w:tcW w:w="1184" w:type="dxa"/>
          </w:tcPr>
          <w:p w14:paraId="5DF1804C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Beta_hv</w:t>
            </w:r>
            <w:proofErr w:type="spellEnd"/>
          </w:p>
          <w:p w14:paraId="14D3DC06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β</w:t>
            </w:r>
            <w:proofErr w:type="spellStart"/>
            <w:r w:rsidRPr="000F14A8">
              <w:rPr>
                <w:rFonts w:cstheme="minorHAnsi"/>
                <w:vertAlign w:val="subscript"/>
              </w:rPr>
              <w:t>hv</w:t>
            </w:r>
            <w:proofErr w:type="spellEnd"/>
          </w:p>
        </w:tc>
        <w:tc>
          <w:tcPr>
            <w:tcW w:w="2725" w:type="dxa"/>
          </w:tcPr>
          <w:p w14:paraId="1EAC81B0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Probability that an infectious human successfully transmits the virus to a biting susceptible mosquito (i.e., infection rate)</w:t>
            </w:r>
          </w:p>
        </w:tc>
        <w:tc>
          <w:tcPr>
            <w:tcW w:w="1042" w:type="dxa"/>
          </w:tcPr>
          <w:p w14:paraId="5AF7F68E" w14:textId="77777777" w:rsidR="00465B10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75BA9992" w14:textId="77777777" w:rsidR="00465B10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12A27D23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Quad</w:t>
            </w:r>
          </w:p>
        </w:tc>
        <w:tc>
          <w:tcPr>
            <w:tcW w:w="4859" w:type="dxa"/>
          </w:tcPr>
          <w:p w14:paraId="7EA76E5E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842175D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A873782" w14:textId="4512EA4A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-3.54E-03</w:t>
            </w:r>
            <w:r w:rsidR="00805CD1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(T-38.</w:t>
            </w:r>
            <w:proofErr w:type="gramStart"/>
            <w:r w:rsidRPr="000F14A8">
              <w:rPr>
                <w:rFonts w:cstheme="minorHAnsi"/>
              </w:rPr>
              <w:t>38)*</w:t>
            </w:r>
            <w:proofErr w:type="gramEnd"/>
            <w:r w:rsidRPr="000F14A8">
              <w:rPr>
                <w:rFonts w:cstheme="minorHAnsi"/>
              </w:rPr>
              <w:t>(T-22.72)</w:t>
            </w:r>
          </w:p>
        </w:tc>
      </w:tr>
      <w:tr w:rsidR="00465B10" w:rsidRPr="005C57EA" w14:paraId="4BE414BB" w14:textId="77777777" w:rsidTr="007937B5">
        <w:tc>
          <w:tcPr>
            <w:tcW w:w="1184" w:type="dxa"/>
          </w:tcPr>
          <w:p w14:paraId="70AD8AD0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Sigma_v</w:t>
            </w:r>
            <w:proofErr w:type="spellEnd"/>
          </w:p>
          <w:p w14:paraId="4CB34FB6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σ</w:t>
            </w:r>
            <w:r w:rsidRPr="000F14A8">
              <w:rPr>
                <w:rFonts w:cstheme="minorHAnsi"/>
                <w:vertAlign w:val="subscript"/>
              </w:rPr>
              <w:t>v</w:t>
            </w:r>
            <w:proofErr w:type="spellEnd"/>
          </w:p>
        </w:tc>
        <w:tc>
          <w:tcPr>
            <w:tcW w:w="2725" w:type="dxa"/>
          </w:tcPr>
          <w:p w14:paraId="1605E697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 xml:space="preserve">Rate at which </w:t>
            </w:r>
            <w:proofErr w:type="gramStart"/>
            <w:r w:rsidRPr="000F14A8">
              <w:rPr>
                <w:rFonts w:cstheme="minorHAnsi"/>
              </w:rPr>
              <w:t>vectors  become</w:t>
            </w:r>
            <w:proofErr w:type="gramEnd"/>
            <w:r w:rsidRPr="000F14A8">
              <w:rPr>
                <w:rFonts w:cstheme="minorHAnsi"/>
              </w:rPr>
              <w:t xml:space="preserve"> infectious (extrinsic incubation period)</w:t>
            </w:r>
          </w:p>
        </w:tc>
        <w:tc>
          <w:tcPr>
            <w:tcW w:w="1042" w:type="dxa"/>
          </w:tcPr>
          <w:p w14:paraId="7B6BF0CA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77016F96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Brière</w:t>
            </w:r>
            <w:proofErr w:type="spellEnd"/>
          </w:p>
        </w:tc>
        <w:tc>
          <w:tcPr>
            <w:tcW w:w="4859" w:type="dxa"/>
          </w:tcPr>
          <w:p w14:paraId="0D22D797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CB56658" w14:textId="60DEBD12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1.74E-04</w:t>
            </w:r>
            <w:r w:rsidR="00805CD1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T</w:t>
            </w:r>
            <w:r w:rsidR="00805CD1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(T-18.</w:t>
            </w:r>
            <w:proofErr w:type="gramStart"/>
            <w:r w:rsidRPr="000F14A8">
              <w:rPr>
                <w:rFonts w:cstheme="minorHAnsi"/>
              </w:rPr>
              <w:t>27)*</w:t>
            </w:r>
            <w:proofErr w:type="gramEnd"/>
            <w:r w:rsidRPr="000F14A8">
              <w:rPr>
                <w:rFonts w:cstheme="minorHAnsi"/>
              </w:rPr>
              <w:t>(42.31-T)</w:t>
            </w:r>
            <w:r w:rsidR="00805CD1">
              <w:rPr>
                <w:rFonts w:cstheme="minorHAnsi"/>
              </w:rPr>
              <w:t>^0.5</w:t>
            </w:r>
          </w:p>
          <w:p w14:paraId="2623F112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65B10" w:rsidRPr="005C57EA" w14:paraId="566679A5" w14:textId="77777777" w:rsidTr="007937B5">
        <w:tc>
          <w:tcPr>
            <w:tcW w:w="1184" w:type="dxa"/>
          </w:tcPr>
          <w:p w14:paraId="07FC37EF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Sigma_h</w:t>
            </w:r>
            <w:proofErr w:type="spellEnd"/>
          </w:p>
          <w:p w14:paraId="71FA71CF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σ</w:t>
            </w:r>
            <w:r w:rsidRPr="000F14A8">
              <w:rPr>
                <w:rFonts w:cstheme="minorHAnsi"/>
                <w:vertAlign w:val="subscript"/>
              </w:rPr>
              <w:t>h</w:t>
            </w:r>
            <w:proofErr w:type="spellEnd"/>
          </w:p>
        </w:tc>
        <w:tc>
          <w:tcPr>
            <w:tcW w:w="2725" w:type="dxa"/>
          </w:tcPr>
          <w:p w14:paraId="2FED15ED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Rate at which humans become infectious (intrinsic incubation period)</w:t>
            </w:r>
          </w:p>
        </w:tc>
        <w:tc>
          <w:tcPr>
            <w:tcW w:w="1042" w:type="dxa"/>
          </w:tcPr>
          <w:p w14:paraId="356EE52A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7A5A3B58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Constant</w:t>
            </w:r>
          </w:p>
        </w:tc>
        <w:tc>
          <w:tcPr>
            <w:tcW w:w="4859" w:type="dxa"/>
          </w:tcPr>
          <w:p w14:paraId="72A39CEC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9C7F09D" w14:textId="77777777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1/5.9 (days)</w:t>
            </w:r>
          </w:p>
        </w:tc>
      </w:tr>
      <w:tr w:rsidR="00465B10" w:rsidRPr="005C57EA" w14:paraId="4699A614" w14:textId="77777777" w:rsidTr="007937B5">
        <w:tc>
          <w:tcPr>
            <w:tcW w:w="1184" w:type="dxa"/>
          </w:tcPr>
          <w:p w14:paraId="0213C99F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Gamma_h</w:t>
            </w:r>
            <w:proofErr w:type="spellEnd"/>
          </w:p>
          <w:p w14:paraId="4C2A9BF9" w14:textId="77777777" w:rsidR="00465B10" w:rsidRPr="000F14A8" w:rsidRDefault="00465B10" w:rsidP="00687FD3">
            <w:pPr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ϒ</w:t>
            </w:r>
            <w:r w:rsidRPr="000F14A8">
              <w:rPr>
                <w:rFonts w:cstheme="minorHAnsi"/>
                <w:vertAlign w:val="subscript"/>
              </w:rPr>
              <w:t>v</w:t>
            </w:r>
            <w:proofErr w:type="spellEnd"/>
          </w:p>
        </w:tc>
        <w:tc>
          <w:tcPr>
            <w:tcW w:w="2725" w:type="dxa"/>
          </w:tcPr>
          <w:p w14:paraId="19AE76AE" w14:textId="77777777" w:rsidR="00465B10" w:rsidRPr="000F14A8" w:rsidRDefault="00465B10" w:rsidP="00687FD3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Per capita human recovery rate</w:t>
            </w:r>
          </w:p>
        </w:tc>
        <w:tc>
          <w:tcPr>
            <w:tcW w:w="1042" w:type="dxa"/>
          </w:tcPr>
          <w:p w14:paraId="550BA5CF" w14:textId="77777777" w:rsidR="00465B10" w:rsidRPr="000F14A8" w:rsidRDefault="00465B10" w:rsidP="00687FD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Constant</w:t>
            </w:r>
          </w:p>
        </w:tc>
        <w:tc>
          <w:tcPr>
            <w:tcW w:w="4859" w:type="dxa"/>
          </w:tcPr>
          <w:p w14:paraId="3AE4E3AC" w14:textId="77777777" w:rsidR="00465B10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1/</w:t>
            </w:r>
            <w:r>
              <w:rPr>
                <w:rFonts w:cstheme="minorHAnsi"/>
              </w:rPr>
              <w:t>5</w:t>
            </w:r>
            <w:r w:rsidRPr="000F14A8">
              <w:rPr>
                <w:rFonts w:cstheme="minorHAnsi"/>
              </w:rPr>
              <w:t xml:space="preserve"> (days)</w:t>
            </w:r>
            <w:r>
              <w:rPr>
                <w:rFonts w:cstheme="minorHAnsi"/>
              </w:rPr>
              <w:t xml:space="preserve"> </w:t>
            </w:r>
          </w:p>
          <w:p w14:paraId="79FEFF6B" w14:textId="4BA095D9" w:rsidR="00465B10" w:rsidRPr="000F14A8" w:rsidRDefault="00465B10" w:rsidP="00687F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8600C">
              <w:rPr>
                <w:rFonts w:cstheme="minorHAnsi"/>
                <w:vertAlign w:val="superscript"/>
              </w:rPr>
              <w:t>Ϯ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>Value is taken from Mordecai</w:t>
            </w:r>
            <w:r w:rsidR="009E56BE">
              <w:rPr>
                <w:rFonts w:cstheme="minorHAnsi"/>
              </w:rPr>
              <w:t xml:space="preserve"> et al., </w:t>
            </w:r>
            <w:r>
              <w:rPr>
                <w:rFonts w:cstheme="minorHAnsi"/>
              </w:rPr>
              <w:t xml:space="preserve">paper </w:t>
            </w:r>
          </w:p>
        </w:tc>
      </w:tr>
      <w:tr w:rsidR="00944F59" w:rsidRPr="005C57EA" w14:paraId="581CF5CA" w14:textId="77777777" w:rsidTr="007937B5">
        <w:tc>
          <w:tcPr>
            <w:tcW w:w="1184" w:type="dxa"/>
          </w:tcPr>
          <w:p w14:paraId="71D542F2" w14:textId="77777777" w:rsidR="00944F59" w:rsidRPr="000F14A8" w:rsidRDefault="00944F59" w:rsidP="00944F59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Theta</w:t>
            </w:r>
          </w:p>
          <w:p w14:paraId="0455B637" w14:textId="1D763D25" w:rsidR="00944F59" w:rsidRPr="000F14A8" w:rsidRDefault="00944F59" w:rsidP="00944F59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ϴ</w:t>
            </w:r>
          </w:p>
        </w:tc>
        <w:tc>
          <w:tcPr>
            <w:tcW w:w="2725" w:type="dxa"/>
          </w:tcPr>
          <w:p w14:paraId="673C1D17" w14:textId="5C147866" w:rsidR="00944F59" w:rsidRPr="000F14A8" w:rsidRDefault="00944F59" w:rsidP="00944F59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# of eggs a female mosquito produces per day</w:t>
            </w:r>
          </w:p>
        </w:tc>
        <w:tc>
          <w:tcPr>
            <w:tcW w:w="1042" w:type="dxa"/>
          </w:tcPr>
          <w:p w14:paraId="0834F5A4" w14:textId="185BD798" w:rsidR="00944F59" w:rsidRPr="000F14A8" w:rsidRDefault="00944F59" w:rsidP="00944F5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Brière</w:t>
            </w:r>
            <w:proofErr w:type="spellEnd"/>
          </w:p>
        </w:tc>
        <w:tc>
          <w:tcPr>
            <w:tcW w:w="4859" w:type="dxa"/>
          </w:tcPr>
          <w:p w14:paraId="166AA356" w14:textId="5C58CA91" w:rsidR="00944F59" w:rsidRPr="000F14A8" w:rsidRDefault="00944F59" w:rsidP="00944F5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8.56E-03</w:t>
            </w:r>
            <w:r w:rsidR="00870982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T</w:t>
            </w:r>
            <w:r w:rsidR="00870982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(T-14.</w:t>
            </w:r>
            <w:proofErr w:type="gramStart"/>
            <w:r w:rsidRPr="000F14A8">
              <w:rPr>
                <w:rFonts w:cstheme="minorHAnsi"/>
              </w:rPr>
              <w:t>58)*</w:t>
            </w:r>
            <w:proofErr w:type="gramEnd"/>
            <w:r w:rsidRPr="000F14A8">
              <w:rPr>
                <w:rFonts w:cstheme="minorHAnsi"/>
              </w:rPr>
              <w:t>(34.61-T)</w:t>
            </w:r>
            <w:r w:rsidR="00870982">
              <w:rPr>
                <w:rFonts w:cstheme="minorHAnsi"/>
              </w:rPr>
              <w:t>^0.5</w:t>
            </w:r>
          </w:p>
          <w:p w14:paraId="72C058D6" w14:textId="77777777" w:rsidR="00944F59" w:rsidRPr="000F14A8" w:rsidRDefault="00944F59" w:rsidP="00944F5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727900" w:rsidRPr="005C57EA" w14:paraId="08241CC8" w14:textId="77777777" w:rsidTr="007937B5">
        <w:tc>
          <w:tcPr>
            <w:tcW w:w="1184" w:type="dxa"/>
          </w:tcPr>
          <w:p w14:paraId="1AE9D2BE" w14:textId="77777777" w:rsidR="00727900" w:rsidRPr="000F14A8" w:rsidRDefault="00727900" w:rsidP="00727900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Nu</w:t>
            </w:r>
          </w:p>
          <w:p w14:paraId="56658209" w14:textId="174689AF" w:rsidR="00727900" w:rsidRPr="000F14A8" w:rsidRDefault="00727900" w:rsidP="00727900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ν</w:t>
            </w:r>
          </w:p>
        </w:tc>
        <w:tc>
          <w:tcPr>
            <w:tcW w:w="2725" w:type="dxa"/>
          </w:tcPr>
          <w:p w14:paraId="0F3A78CD" w14:textId="081CBD11" w:rsidR="00727900" w:rsidRPr="000F14A8" w:rsidRDefault="00727900" w:rsidP="00727900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Probability of surviving from egg to adult</w:t>
            </w:r>
          </w:p>
        </w:tc>
        <w:tc>
          <w:tcPr>
            <w:tcW w:w="1042" w:type="dxa"/>
          </w:tcPr>
          <w:p w14:paraId="513908AB" w14:textId="518DFB62" w:rsidR="00727900" w:rsidRPr="000F14A8" w:rsidRDefault="00727900" w:rsidP="0072790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Quad</w:t>
            </w:r>
          </w:p>
        </w:tc>
        <w:tc>
          <w:tcPr>
            <w:tcW w:w="4859" w:type="dxa"/>
          </w:tcPr>
          <w:p w14:paraId="4EF1C002" w14:textId="5F164563" w:rsidR="00727900" w:rsidRPr="000F14A8" w:rsidRDefault="00727900" w:rsidP="0072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-5.99E-03</w:t>
            </w:r>
            <w:r w:rsidR="00870982">
              <w:rPr>
                <w:rFonts w:cstheme="minorHAnsi"/>
              </w:rPr>
              <w:t>*</w:t>
            </w:r>
            <w:r w:rsidRPr="000F14A8">
              <w:rPr>
                <w:rFonts w:cstheme="minorHAnsi"/>
              </w:rPr>
              <w:t>(T-38.</w:t>
            </w:r>
            <w:proofErr w:type="gramStart"/>
            <w:r w:rsidRPr="000F14A8">
              <w:rPr>
                <w:rFonts w:cstheme="minorHAnsi"/>
              </w:rPr>
              <w:t>29)*</w:t>
            </w:r>
            <w:proofErr w:type="gramEnd"/>
            <w:r w:rsidRPr="000F14A8">
              <w:rPr>
                <w:rFonts w:cstheme="minorHAnsi"/>
              </w:rPr>
              <w:t>(T-13.56)</w:t>
            </w:r>
          </w:p>
          <w:p w14:paraId="140E6ACE" w14:textId="77777777" w:rsidR="00727900" w:rsidRPr="000F14A8" w:rsidRDefault="00727900" w:rsidP="0072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F78B3" w:rsidRPr="005C57EA" w14:paraId="496D61A4" w14:textId="77777777" w:rsidTr="007937B5">
        <w:tc>
          <w:tcPr>
            <w:tcW w:w="1184" w:type="dxa"/>
          </w:tcPr>
          <w:p w14:paraId="5283735E" w14:textId="77777777" w:rsidR="00DF78B3" w:rsidRPr="000F14A8" w:rsidRDefault="00DF78B3" w:rsidP="00DF78B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Phi</w:t>
            </w:r>
          </w:p>
          <w:p w14:paraId="55BDDF46" w14:textId="17EDC334" w:rsidR="00DF78B3" w:rsidRPr="000F14A8" w:rsidRDefault="00DF78B3" w:rsidP="00DF78B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φ</w:t>
            </w:r>
          </w:p>
        </w:tc>
        <w:tc>
          <w:tcPr>
            <w:tcW w:w="2725" w:type="dxa"/>
          </w:tcPr>
          <w:p w14:paraId="702B75EA" w14:textId="17666481" w:rsidR="00DF78B3" w:rsidRPr="000F14A8" w:rsidRDefault="00DF78B3" w:rsidP="00DF78B3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Rate at which an egg develops into an adult mosquito</w:t>
            </w:r>
          </w:p>
        </w:tc>
        <w:tc>
          <w:tcPr>
            <w:tcW w:w="1042" w:type="dxa"/>
          </w:tcPr>
          <w:p w14:paraId="4E578B04" w14:textId="4E2A6EB2" w:rsidR="00DF78B3" w:rsidRPr="000F14A8" w:rsidRDefault="00DF78B3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0F14A8">
              <w:rPr>
                <w:rFonts w:cstheme="minorHAnsi"/>
              </w:rPr>
              <w:t>Brière</w:t>
            </w:r>
            <w:proofErr w:type="spellEnd"/>
          </w:p>
        </w:tc>
        <w:tc>
          <w:tcPr>
            <w:tcW w:w="4859" w:type="dxa"/>
          </w:tcPr>
          <w:p w14:paraId="4CE58798" w14:textId="4A775CD8" w:rsidR="00DF78B3" w:rsidRPr="000F14A8" w:rsidRDefault="00DF78B3" w:rsidP="00DF78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7.86E-05*</w:t>
            </w:r>
            <w:r w:rsidR="004204D6">
              <w:rPr>
                <w:rFonts w:cstheme="minorHAnsi"/>
              </w:rPr>
              <w:t>T*</w:t>
            </w:r>
            <w:r w:rsidRPr="000F14A8">
              <w:rPr>
                <w:rFonts w:cstheme="minorHAnsi"/>
              </w:rPr>
              <w:t>(T-11.</w:t>
            </w:r>
            <w:proofErr w:type="gramStart"/>
            <w:r w:rsidRPr="000F14A8">
              <w:rPr>
                <w:rFonts w:cstheme="minorHAnsi"/>
              </w:rPr>
              <w:t>36)*</w:t>
            </w:r>
            <w:proofErr w:type="gramEnd"/>
            <w:r w:rsidRPr="000F14A8">
              <w:rPr>
                <w:rFonts w:cstheme="minorHAnsi"/>
              </w:rPr>
              <w:t>(39.17-T)</w:t>
            </w:r>
            <w:r w:rsidR="00870982">
              <w:rPr>
                <w:rFonts w:cstheme="minorHAnsi"/>
              </w:rPr>
              <w:t>^0.5</w:t>
            </w:r>
          </w:p>
          <w:p w14:paraId="0F7CFFC8" w14:textId="77777777" w:rsidR="00DF78B3" w:rsidRPr="000F14A8" w:rsidRDefault="00DF78B3" w:rsidP="00DF78B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F78B3" w:rsidRPr="005C57EA" w14:paraId="2B53DE46" w14:textId="77777777" w:rsidTr="007937B5">
        <w:tc>
          <w:tcPr>
            <w:tcW w:w="1184" w:type="dxa"/>
          </w:tcPr>
          <w:p w14:paraId="0F853100" w14:textId="77777777" w:rsidR="00DF78B3" w:rsidRPr="000F14A8" w:rsidRDefault="00DF78B3" w:rsidP="00DF78B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Mu</w:t>
            </w:r>
          </w:p>
          <w:p w14:paraId="03B5776A" w14:textId="77777777" w:rsidR="00DF78B3" w:rsidRPr="000F14A8" w:rsidRDefault="00DF78B3" w:rsidP="00DF78B3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μ</w:t>
            </w:r>
          </w:p>
        </w:tc>
        <w:tc>
          <w:tcPr>
            <w:tcW w:w="2725" w:type="dxa"/>
          </w:tcPr>
          <w:p w14:paraId="63B2C9A4" w14:textId="77777777" w:rsidR="00DF78B3" w:rsidRPr="000F14A8" w:rsidRDefault="00DF78B3" w:rsidP="00DF78B3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Natural Mosquito Death Rate</w:t>
            </w:r>
          </w:p>
        </w:tc>
        <w:tc>
          <w:tcPr>
            <w:tcW w:w="1042" w:type="dxa"/>
          </w:tcPr>
          <w:p w14:paraId="5CEE71E4" w14:textId="77777777" w:rsidR="00DF78B3" w:rsidRPr="000F14A8" w:rsidRDefault="00DF78B3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Quad </w:t>
            </w:r>
          </w:p>
        </w:tc>
        <w:tc>
          <w:tcPr>
            <w:tcW w:w="4859" w:type="dxa"/>
          </w:tcPr>
          <w:p w14:paraId="42942573" w14:textId="55600114" w:rsidR="00DF78B3" w:rsidRPr="000F14A8" w:rsidRDefault="00DF78B3" w:rsidP="00DF78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F14A8">
              <w:rPr>
                <w:rFonts w:cstheme="minorHAnsi"/>
              </w:rPr>
              <w:t>1/(-3.02E-01*(T-11.</w:t>
            </w:r>
            <w:proofErr w:type="gramStart"/>
            <w:r w:rsidRPr="000F14A8">
              <w:rPr>
                <w:rFonts w:cstheme="minorHAnsi"/>
              </w:rPr>
              <w:t>25)*</w:t>
            </w:r>
            <w:proofErr w:type="gramEnd"/>
            <w:r w:rsidRPr="000F14A8">
              <w:rPr>
                <w:rFonts w:cstheme="minorHAnsi"/>
              </w:rPr>
              <w:t>(T-37.22)</w:t>
            </w:r>
            <w:r w:rsidR="00870982">
              <w:rPr>
                <w:rFonts w:cstheme="minorHAnsi"/>
              </w:rPr>
              <w:t>)</w:t>
            </w:r>
          </w:p>
          <w:p w14:paraId="486D7CA7" w14:textId="77777777" w:rsidR="00DF78B3" w:rsidRPr="000F14A8" w:rsidRDefault="00DF78B3" w:rsidP="00DF78B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F78B3" w:rsidRPr="005C57EA" w14:paraId="6CE15355" w14:textId="77777777" w:rsidTr="007937B5">
        <w:tc>
          <w:tcPr>
            <w:tcW w:w="1184" w:type="dxa"/>
          </w:tcPr>
          <w:p w14:paraId="7710A1B7" w14:textId="6155C5A5" w:rsidR="00DF78B3" w:rsidRPr="000F14A8" w:rsidRDefault="005A3BDC" w:rsidP="00DF78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ƒ</w:t>
            </w:r>
            <w:r w:rsidR="000A6D10">
              <w:rPr>
                <w:rFonts w:cstheme="minorHAnsi"/>
              </w:rPr>
              <w:t>(R)</w:t>
            </w:r>
          </w:p>
        </w:tc>
        <w:tc>
          <w:tcPr>
            <w:tcW w:w="2725" w:type="dxa"/>
          </w:tcPr>
          <w:p w14:paraId="5418E39D" w14:textId="2877712A" w:rsidR="00DF78B3" w:rsidRPr="000F14A8" w:rsidRDefault="00676E89" w:rsidP="00DF78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Modeling </w:t>
            </w:r>
            <w:r w:rsidR="005C3602">
              <w:rPr>
                <w:rFonts w:cstheme="minorHAnsi"/>
              </w:rPr>
              <w:t>Precipitation</w:t>
            </w:r>
          </w:p>
        </w:tc>
        <w:tc>
          <w:tcPr>
            <w:tcW w:w="1042" w:type="dxa"/>
          </w:tcPr>
          <w:p w14:paraId="59E0DADF" w14:textId="77777777" w:rsidR="00DF78B3" w:rsidRPr="000F14A8" w:rsidRDefault="00DF78B3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  <w:p w14:paraId="1BDB01AA" w14:textId="77777777" w:rsidR="00DF78B3" w:rsidRDefault="00DF78B3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ƒ</w:t>
            </w:r>
            <w:r>
              <w:t>(</w:t>
            </w:r>
            <w:proofErr w:type="spellStart"/>
            <w:r>
              <w:t>R</w:t>
            </w:r>
            <w:r w:rsidRPr="00FF7712">
              <w:rPr>
                <w:rFonts w:cstheme="minorHAnsi"/>
                <w:vertAlign w:val="subscript"/>
              </w:rPr>
              <w:t>Brière</w:t>
            </w:r>
            <w:proofErr w:type="spellEnd"/>
            <w:r w:rsidRPr="004712DF">
              <w:rPr>
                <w:rFonts w:cstheme="minorHAnsi"/>
              </w:rPr>
              <w:t>)</w:t>
            </w:r>
          </w:p>
          <w:p w14:paraId="40FD0431" w14:textId="03ABA039" w:rsidR="00DF78B3" w:rsidRDefault="00DF78B3" w:rsidP="00DF78B3">
            <w:pPr>
              <w:autoSpaceDE w:val="0"/>
              <w:autoSpaceDN w:val="0"/>
              <w:adjustRightInd w:val="0"/>
              <w:jc w:val="center"/>
            </w:pPr>
            <w:r>
              <w:rPr>
                <w:rFonts w:cstheme="minorHAnsi"/>
              </w:rPr>
              <w:t>ƒ</w:t>
            </w:r>
            <w:r>
              <w:t>(</w:t>
            </w:r>
            <w:proofErr w:type="spellStart"/>
            <w:r w:rsidR="007937B5">
              <w:t>R</w:t>
            </w:r>
            <w:r w:rsidRPr="002B2A1F">
              <w:rPr>
                <w:vertAlign w:val="subscript"/>
              </w:rPr>
              <w:t>Q</w:t>
            </w:r>
            <w:r w:rsidRPr="001B66CA">
              <w:rPr>
                <w:vertAlign w:val="subscript"/>
              </w:rPr>
              <w:t>uadratic</w:t>
            </w:r>
            <w:proofErr w:type="spellEnd"/>
            <w:r w:rsidRPr="00BC6956">
              <w:t>)</w:t>
            </w:r>
          </w:p>
          <w:p w14:paraId="223978E0" w14:textId="08AFCC1B" w:rsidR="00DF78B3" w:rsidRPr="000F14A8" w:rsidRDefault="007937B5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ƒ</w:t>
            </w:r>
            <w:r>
              <w:t xml:space="preserve"> </w:t>
            </w:r>
            <w:r w:rsidR="00DF78B3">
              <w:t>(</w:t>
            </w:r>
            <w:proofErr w:type="spellStart"/>
            <w:r w:rsidR="00DF78B3">
              <w:t>R</w:t>
            </w:r>
            <w:r w:rsidR="00DF78B3" w:rsidRPr="00696890">
              <w:rPr>
                <w:vertAlign w:val="subscript"/>
              </w:rPr>
              <w:t>Inverse</w:t>
            </w:r>
            <w:proofErr w:type="spellEnd"/>
            <w:r w:rsidR="00DF78B3">
              <w:rPr>
                <w:rFonts w:cstheme="minorHAnsi"/>
              </w:rPr>
              <w:t>)</w:t>
            </w:r>
          </w:p>
        </w:tc>
        <w:tc>
          <w:tcPr>
            <w:tcW w:w="4859" w:type="dxa"/>
          </w:tcPr>
          <w:p w14:paraId="10987D09" w14:textId="77777777" w:rsidR="00DF78B3" w:rsidRDefault="00AB460B" w:rsidP="00AB460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1DBF">
              <w:rPr>
                <w:noProof/>
              </w:rPr>
              <w:drawing>
                <wp:inline distT="0" distB="0" distL="0" distR="0" wp14:anchorId="703A45D5" wp14:editId="4596DFD6">
                  <wp:extent cx="2907034" cy="1040235"/>
                  <wp:effectExtent l="0" t="0" r="7620" b="7620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, let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047" cy="105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FB16" w14:textId="45017C1D" w:rsidR="009F6068" w:rsidRPr="000F14A8" w:rsidRDefault="009F6068" w:rsidP="00AB460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eastAsiaTheme="minorEastAsia"/>
              </w:rPr>
              <w:t>**See values in Table 2 below</w:t>
            </w:r>
          </w:p>
        </w:tc>
      </w:tr>
      <w:tr w:rsidR="000A6D10" w:rsidRPr="005C57EA" w14:paraId="5C930F79" w14:textId="77777777" w:rsidTr="007937B5">
        <w:tc>
          <w:tcPr>
            <w:tcW w:w="1184" w:type="dxa"/>
          </w:tcPr>
          <w:p w14:paraId="21912203" w14:textId="77777777" w:rsidR="000A6D10" w:rsidRPr="000F14A8" w:rsidRDefault="000A6D10" w:rsidP="000A6D10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Kappa</w:t>
            </w:r>
          </w:p>
          <w:p w14:paraId="09649F88" w14:textId="57D28B34" w:rsidR="000A6D10" w:rsidRPr="000F14A8" w:rsidRDefault="000A6D10" w:rsidP="000A6D10">
            <w:pPr>
              <w:jc w:val="center"/>
              <w:rPr>
                <w:rFonts w:cstheme="minorHAnsi"/>
              </w:rPr>
            </w:pPr>
            <w:r w:rsidRPr="000F14A8">
              <w:rPr>
                <w:rFonts w:cstheme="minorHAnsi"/>
              </w:rPr>
              <w:t>κ</w:t>
            </w:r>
          </w:p>
        </w:tc>
        <w:tc>
          <w:tcPr>
            <w:tcW w:w="2725" w:type="dxa"/>
          </w:tcPr>
          <w:p w14:paraId="7448E272" w14:textId="64AEFC56" w:rsidR="000A6D10" w:rsidRPr="000F14A8" w:rsidRDefault="000A6D10" w:rsidP="00DF78B3">
            <w:pPr>
              <w:rPr>
                <w:rFonts w:cstheme="minorHAnsi"/>
              </w:rPr>
            </w:pPr>
            <w:r w:rsidRPr="000F14A8">
              <w:rPr>
                <w:rFonts w:cstheme="minorHAnsi"/>
              </w:rPr>
              <w:t>Carrying Capacity (Maximum # of mosquitos a site can support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42" w:type="dxa"/>
          </w:tcPr>
          <w:p w14:paraId="2B24188A" w14:textId="70B13F10" w:rsidR="000A6D10" w:rsidRPr="000F14A8" w:rsidRDefault="00B61DBD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859" w:type="dxa"/>
          </w:tcPr>
          <w:p w14:paraId="0AB59039" w14:textId="77777777" w:rsidR="00FE2446" w:rsidRPr="00FE2446" w:rsidRDefault="00FE2446" w:rsidP="00FE2446">
            <w:pPr>
              <w:rPr>
                <w:rFonts w:eastAsiaTheme="minorEastAsia"/>
              </w:rPr>
            </w:pPr>
            <w:r w:rsidRPr="00FE2446">
              <w:rPr>
                <w:rFonts w:eastAsiaTheme="minorEastAsia"/>
              </w:rPr>
              <w:t>Constant Habitat per Unit Area</w:t>
            </w:r>
          </w:p>
          <w:p w14:paraId="726A942D" w14:textId="77777777" w:rsidR="00FE2446" w:rsidRPr="00FE2446" w:rsidRDefault="00FE2446" w:rsidP="00FE2446">
            <w:pPr>
              <w:rPr>
                <w:rFonts w:eastAsiaTheme="minorEastAsia"/>
              </w:rPr>
            </w:pPr>
            <w:r w:rsidRPr="00FE2446">
              <w:rPr>
                <w:rFonts w:eastAsiaTheme="minorEastAsia"/>
              </w:rPr>
              <w:t>9.34x10^8/492.84 = 1.985x10^6</w:t>
            </w:r>
          </w:p>
          <w:p w14:paraId="7DC36866" w14:textId="77777777" w:rsidR="00FE2446" w:rsidRPr="00FE2446" w:rsidRDefault="00FE2446" w:rsidP="00FE2446">
            <w:pPr>
              <w:rPr>
                <w:rFonts w:eastAsiaTheme="minorEastAsia"/>
              </w:rPr>
            </w:pPr>
          </w:p>
          <w:p w14:paraId="4C88FA2E" w14:textId="77777777" w:rsidR="00FE2446" w:rsidRPr="00FE2446" w:rsidRDefault="00FE2446" w:rsidP="00FE2446">
            <w:pPr>
              <w:rPr>
                <w:rFonts w:eastAsiaTheme="minorEastAsia"/>
              </w:rPr>
            </w:pPr>
            <w:r w:rsidRPr="00FE2446">
              <w:rPr>
                <w:rFonts w:eastAsiaTheme="minorEastAsia"/>
              </w:rPr>
              <w:t>Rain Filled Habitat per Unit Area</w:t>
            </w:r>
          </w:p>
          <w:p w14:paraId="08379F8A" w14:textId="77777777" w:rsidR="000A6D10" w:rsidRDefault="00FE2446" w:rsidP="00FE2446">
            <w:pPr>
              <w:rPr>
                <w:rFonts w:eastAsiaTheme="minorEastAsia"/>
              </w:rPr>
            </w:pPr>
            <w:r w:rsidRPr="00FE2446">
              <w:rPr>
                <w:rFonts w:eastAsiaTheme="minorEastAsia"/>
              </w:rPr>
              <w:t>3.72x10^8/492.84 - 7.548x10^5</w:t>
            </w:r>
          </w:p>
          <w:p w14:paraId="0F9F6783" w14:textId="77777777" w:rsidR="00FE2446" w:rsidRDefault="00FE2446" w:rsidP="00FE2446">
            <w:pPr>
              <w:rPr>
                <w:rFonts w:eastAsiaTheme="minorEastAsia"/>
              </w:rPr>
            </w:pPr>
          </w:p>
          <w:p w14:paraId="22CE39FB" w14:textId="726F00BB" w:rsidR="00FE2446" w:rsidRPr="00FE2446" w:rsidRDefault="00FE2446" w:rsidP="00FE24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Adjusted from 1</w:t>
            </w:r>
            <w:r>
              <w:rPr>
                <w:rFonts w:eastAsiaTheme="minorEastAsia" w:cstheme="minorHAnsi"/>
              </w:rPr>
              <w:t>°</w:t>
            </w:r>
            <w:r w:rsidR="008F6A99">
              <w:rPr>
                <w:rFonts w:eastAsiaTheme="minorEastAsia"/>
              </w:rPr>
              <w:t>x 1</w:t>
            </w:r>
            <w:r w:rsidR="008F6A99">
              <w:rPr>
                <w:rFonts w:eastAsiaTheme="minorEastAsia" w:cstheme="minorHAnsi"/>
              </w:rPr>
              <w:t>°</w:t>
            </w:r>
            <w:r w:rsidR="008F6A99">
              <w:rPr>
                <w:rFonts w:eastAsiaTheme="minorEastAsia"/>
              </w:rPr>
              <w:t xml:space="preserve"> to 5 km x 5 km units at </w:t>
            </w:r>
            <w:r w:rsidR="00203DE5">
              <w:rPr>
                <w:rFonts w:eastAsiaTheme="minorEastAsia"/>
              </w:rPr>
              <w:t>latitude</w:t>
            </w:r>
            <w:r w:rsidR="008F6A99">
              <w:rPr>
                <w:rFonts w:eastAsiaTheme="minorEastAsia"/>
              </w:rPr>
              <w:t xml:space="preserve"> of San Juan, Puerto Rico </w:t>
            </w:r>
            <w:r w:rsidR="008D42A1">
              <w:rPr>
                <w:rFonts w:eastAsiaTheme="minorEastAsia"/>
              </w:rPr>
              <w:t>(Soda et al.,</w:t>
            </w:r>
            <w:r w:rsidR="0025589C">
              <w:rPr>
                <w:rFonts w:eastAsiaTheme="minorEastAsia"/>
              </w:rPr>
              <w:t xml:space="preserve"> 2018; Perkins</w:t>
            </w:r>
            <w:r w:rsidR="00C12FE0">
              <w:rPr>
                <w:rFonts w:eastAsiaTheme="minorEastAsia"/>
              </w:rPr>
              <w:t xml:space="preserve"> et al</w:t>
            </w:r>
            <w:r w:rsidR="0025589C">
              <w:rPr>
                <w:rFonts w:eastAsiaTheme="minorEastAsia"/>
              </w:rPr>
              <w:t>,</w:t>
            </w:r>
            <w:r w:rsidR="00C12FE0">
              <w:rPr>
                <w:rFonts w:eastAsiaTheme="minorEastAsia"/>
              </w:rPr>
              <w:t xml:space="preserve"> 2018)</w:t>
            </w:r>
            <w:r w:rsidR="0025589C">
              <w:rPr>
                <w:rFonts w:eastAsiaTheme="minorEastAsia"/>
              </w:rPr>
              <w:t xml:space="preserve"> </w:t>
            </w:r>
            <w:r w:rsidR="008D42A1">
              <w:rPr>
                <w:rFonts w:eastAsiaTheme="minorEastAsia"/>
              </w:rPr>
              <w:t xml:space="preserve"> </w:t>
            </w:r>
          </w:p>
        </w:tc>
      </w:tr>
      <w:tr w:rsidR="00DF78B3" w:rsidRPr="005C57EA" w14:paraId="512325EC" w14:textId="77777777" w:rsidTr="007937B5">
        <w:tc>
          <w:tcPr>
            <w:tcW w:w="1184" w:type="dxa"/>
          </w:tcPr>
          <w:p w14:paraId="2423A816" w14:textId="4594E014" w:rsidR="00DF78B3" w:rsidRPr="000F14A8" w:rsidRDefault="00F42101" w:rsidP="00DF78B3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</w:t>
            </w:r>
            <w:r w:rsidRPr="00F42101">
              <w:rPr>
                <w:rFonts w:cstheme="minorHAnsi"/>
                <w:vertAlign w:val="subscript"/>
              </w:rPr>
              <w:t>se</w:t>
            </w:r>
            <w:proofErr w:type="spellEnd"/>
          </w:p>
        </w:tc>
        <w:tc>
          <w:tcPr>
            <w:tcW w:w="2725" w:type="dxa"/>
          </w:tcPr>
          <w:p w14:paraId="06F42CC9" w14:textId="69967E63" w:rsidR="00DF78B3" w:rsidRPr="000F14A8" w:rsidRDefault="00F42101" w:rsidP="00DF78B3">
            <w:pPr>
              <w:rPr>
                <w:rFonts w:cstheme="minorHAnsi"/>
              </w:rPr>
            </w:pPr>
            <w:r>
              <w:rPr>
                <w:rFonts w:cstheme="minorHAnsi"/>
              </w:rPr>
              <w:t>Risk of exposure</w:t>
            </w:r>
          </w:p>
        </w:tc>
        <w:tc>
          <w:tcPr>
            <w:tcW w:w="1042" w:type="dxa"/>
          </w:tcPr>
          <w:p w14:paraId="6066D7DC" w14:textId="2D022D21" w:rsidR="00DF78B3" w:rsidRPr="000F14A8" w:rsidRDefault="00DF78B3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859" w:type="dxa"/>
          </w:tcPr>
          <w:p w14:paraId="5F39C9DE" w14:textId="56D9E10D" w:rsidR="00DF78B3" w:rsidRDefault="00DF78B3" w:rsidP="00DF7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Risk of exposure (factor of socioeconomic variables)</w:t>
            </w:r>
          </w:p>
          <w:p w14:paraId="60703082" w14:textId="77777777" w:rsidR="005B4DA9" w:rsidRDefault="00B61DBD" w:rsidP="006C03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Estimated using </w:t>
            </w:r>
            <w:proofErr w:type="spellStart"/>
            <w:r>
              <w:rPr>
                <w:rFonts w:eastAsiaTheme="minorEastAsia"/>
              </w:rPr>
              <w:t>Geolocalized</w:t>
            </w:r>
            <w:proofErr w:type="spellEnd"/>
            <w:r>
              <w:rPr>
                <w:rFonts w:eastAsiaTheme="minorEastAsia"/>
              </w:rPr>
              <w:t xml:space="preserve"> economic data from </w:t>
            </w:r>
            <w:proofErr w:type="spellStart"/>
            <w:r>
              <w:rPr>
                <w:rFonts w:eastAsiaTheme="minorEastAsia"/>
              </w:rPr>
              <w:t>Nordhuas</w:t>
            </w:r>
            <w:proofErr w:type="spellEnd"/>
            <w:r w:rsidR="000F78C7">
              <w:rPr>
                <w:rFonts w:eastAsiaTheme="minorEastAsia"/>
              </w:rPr>
              <w:t>, 2006 as cited in the Zhang</w:t>
            </w:r>
            <w:r w:rsidR="005B538E">
              <w:rPr>
                <w:rFonts w:eastAsiaTheme="minorEastAsia"/>
              </w:rPr>
              <w:t xml:space="preserve"> et al.</w:t>
            </w:r>
            <w:r w:rsidR="000F78C7">
              <w:rPr>
                <w:rFonts w:eastAsiaTheme="minorEastAsia"/>
              </w:rPr>
              <w:t>,</w:t>
            </w:r>
            <w:r w:rsidR="005B538E">
              <w:rPr>
                <w:rFonts w:eastAsiaTheme="minorEastAsia"/>
              </w:rPr>
              <w:t xml:space="preserve"> 2017</w:t>
            </w:r>
            <w:r w:rsidR="000F78C7">
              <w:rPr>
                <w:rFonts w:eastAsiaTheme="minorEastAsia"/>
              </w:rPr>
              <w:t xml:space="preserve"> </w:t>
            </w:r>
          </w:p>
          <w:p w14:paraId="6473FFA4" w14:textId="02035CF7" w:rsidR="009F6068" w:rsidRPr="006C0348" w:rsidRDefault="009F6068" w:rsidP="006C03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**See values in Table 3 below</w:t>
            </w:r>
          </w:p>
        </w:tc>
      </w:tr>
      <w:tr w:rsidR="005B538E" w:rsidRPr="005C57EA" w14:paraId="5D5A616C" w14:textId="77777777" w:rsidTr="007937B5">
        <w:tc>
          <w:tcPr>
            <w:tcW w:w="1184" w:type="dxa"/>
          </w:tcPr>
          <w:p w14:paraId="61D629A6" w14:textId="049E5537" w:rsidR="005B538E" w:rsidRDefault="005B538E" w:rsidP="00DF78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B538E">
              <w:rPr>
                <w:rFonts w:cstheme="minorHAnsi"/>
                <w:vertAlign w:val="subscript"/>
              </w:rPr>
              <w:t>ae</w:t>
            </w:r>
          </w:p>
        </w:tc>
        <w:tc>
          <w:tcPr>
            <w:tcW w:w="2725" w:type="dxa"/>
          </w:tcPr>
          <w:p w14:paraId="7008B791" w14:textId="7396EF0F" w:rsidR="005B538E" w:rsidRDefault="005B538E" w:rsidP="00DF78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Probability of aegypti occurrence </w:t>
            </w:r>
          </w:p>
        </w:tc>
        <w:tc>
          <w:tcPr>
            <w:tcW w:w="1042" w:type="dxa"/>
          </w:tcPr>
          <w:p w14:paraId="197735F5" w14:textId="592F3E9C" w:rsidR="005B538E" w:rsidRDefault="00FA0F70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859" w:type="dxa"/>
          </w:tcPr>
          <w:p w14:paraId="68C7EE72" w14:textId="77777777" w:rsidR="005B538E" w:rsidRDefault="00FA0F70" w:rsidP="00DF7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Probability of Aedes aegypti occurrence derived from Kraemer et al., 2005 </w:t>
            </w:r>
            <w:r w:rsidR="006C0348">
              <w:rPr>
                <w:rFonts w:eastAsiaTheme="minorEastAsia"/>
              </w:rPr>
              <w:t>study (R data file)</w:t>
            </w:r>
          </w:p>
          <w:p w14:paraId="0D5DAA49" w14:textId="59137549" w:rsidR="008D7B5E" w:rsidRDefault="008D7B5E" w:rsidP="00DF7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**See values in Table 3 below</w:t>
            </w:r>
          </w:p>
        </w:tc>
      </w:tr>
      <w:tr w:rsidR="000833AF" w:rsidRPr="005C57EA" w14:paraId="197AED71" w14:textId="77777777" w:rsidTr="007937B5">
        <w:tc>
          <w:tcPr>
            <w:tcW w:w="1184" w:type="dxa"/>
          </w:tcPr>
          <w:p w14:paraId="3D56FB64" w14:textId="33486B84" w:rsidR="000833AF" w:rsidRDefault="000E3980" w:rsidP="00DF78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0E3980">
              <w:rPr>
                <w:rFonts w:cstheme="minorHAnsi"/>
                <w:vertAlign w:val="subscript"/>
              </w:rPr>
              <w:t>h</w:t>
            </w:r>
          </w:p>
        </w:tc>
        <w:tc>
          <w:tcPr>
            <w:tcW w:w="2725" w:type="dxa"/>
          </w:tcPr>
          <w:p w14:paraId="4CF7052B" w14:textId="7AE12F1F" w:rsidR="000833AF" w:rsidRDefault="000E3980" w:rsidP="00DF78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Human </w:t>
            </w:r>
            <w:r w:rsidR="00D432AD">
              <w:rPr>
                <w:rFonts w:cstheme="minorHAnsi"/>
              </w:rPr>
              <w:t>P</w:t>
            </w:r>
            <w:r>
              <w:rPr>
                <w:rFonts w:cstheme="minorHAnsi"/>
              </w:rPr>
              <w:t>opulation Density</w:t>
            </w:r>
          </w:p>
        </w:tc>
        <w:tc>
          <w:tcPr>
            <w:tcW w:w="1042" w:type="dxa"/>
          </w:tcPr>
          <w:p w14:paraId="3B8E144B" w14:textId="34BE76D1" w:rsidR="000833AF" w:rsidRDefault="00B61DBD" w:rsidP="00DF78B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859" w:type="dxa"/>
          </w:tcPr>
          <w:p w14:paraId="60DA8662" w14:textId="39F47616" w:rsidR="000833AF" w:rsidRDefault="00F87259" w:rsidP="00DF78B3">
            <w:r>
              <w:t xml:space="preserve">Population density from </w:t>
            </w:r>
            <w:proofErr w:type="spellStart"/>
            <w:r>
              <w:t>World</w:t>
            </w:r>
            <w:r w:rsidR="00EC4B30">
              <w:t>P</w:t>
            </w:r>
            <w:r>
              <w:t>op</w:t>
            </w:r>
            <w:proofErr w:type="spellEnd"/>
            <w:r w:rsidR="00EC4B30">
              <w:t xml:space="preserve"> Hub:</w:t>
            </w:r>
            <w:r>
              <w:t xml:space="preserve"> </w:t>
            </w:r>
          </w:p>
          <w:p w14:paraId="54AD5AA2" w14:textId="237B7EE6" w:rsidR="009B0B5A" w:rsidRDefault="005E4A50" w:rsidP="00DF78B3">
            <w:hyperlink r:id="rId9" w:history="1">
              <w:r w:rsidR="009B0B5A" w:rsidRPr="00AA4983">
                <w:rPr>
                  <w:rStyle w:val="Hyperlink"/>
                </w:rPr>
                <w:t>https://hub.worldpop.org/project/categories?id=18</w:t>
              </w:r>
            </w:hyperlink>
          </w:p>
        </w:tc>
      </w:tr>
    </w:tbl>
    <w:p w14:paraId="5188E6B5" w14:textId="77777777" w:rsidR="00087F87" w:rsidRDefault="00465B10" w:rsidP="00087F87">
      <w:pPr>
        <w:rPr>
          <w:rFonts w:cstheme="minorHAnsi"/>
        </w:rPr>
      </w:pPr>
      <w:r>
        <w:rPr>
          <w:rFonts w:cstheme="minorHAnsi"/>
        </w:rPr>
        <w:t>The temperature dependent parameters were based on both the quadratic c(T-</w:t>
      </w:r>
      <w:proofErr w:type="gramStart"/>
      <w:r>
        <w:rPr>
          <w:rFonts w:cstheme="minorHAnsi"/>
        </w:rPr>
        <w:t>T</w:t>
      </w:r>
      <w:r w:rsidRPr="006D54BB">
        <w:rPr>
          <w:rFonts w:cstheme="minorHAnsi"/>
          <w:vertAlign w:val="superscript"/>
        </w:rPr>
        <w:t>m</w:t>
      </w:r>
      <w:r>
        <w:rPr>
          <w:rFonts w:cstheme="minorHAnsi"/>
        </w:rPr>
        <w:t>)(</w:t>
      </w:r>
      <w:proofErr w:type="gramEnd"/>
      <w:r>
        <w:rPr>
          <w:rFonts w:cstheme="minorHAnsi"/>
        </w:rPr>
        <w:t>T-T</w:t>
      </w:r>
      <w:r w:rsidRPr="006D54BB">
        <w:rPr>
          <w:rFonts w:cstheme="minorHAnsi"/>
          <w:vertAlign w:val="superscript"/>
        </w:rPr>
        <w:t>0</w:t>
      </w:r>
      <w:r>
        <w:rPr>
          <w:rFonts w:cstheme="minorHAnsi"/>
        </w:rPr>
        <w:t xml:space="preserve">) and </w:t>
      </w:r>
      <w:proofErr w:type="spellStart"/>
      <w:r w:rsidRPr="00607F34">
        <w:rPr>
          <w:rFonts w:cstheme="minorHAnsi"/>
        </w:rPr>
        <w:t>Brière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cT</w:t>
      </w:r>
      <w:proofErr w:type="spellEnd"/>
      <w:r>
        <w:rPr>
          <w:rFonts w:cstheme="minorHAnsi"/>
        </w:rPr>
        <w:t>(T-T</w:t>
      </w:r>
      <w:r w:rsidRPr="00336FF4">
        <w:rPr>
          <w:rFonts w:cstheme="minorHAnsi"/>
          <w:vertAlign w:val="superscript"/>
        </w:rPr>
        <w:t>0</w:t>
      </w:r>
      <w:r>
        <w:rPr>
          <w:rFonts w:cstheme="minorHAnsi"/>
        </w:rPr>
        <w:t>)(T</w:t>
      </w:r>
      <w:r w:rsidRPr="00336FF4">
        <w:rPr>
          <w:rFonts w:cstheme="minorHAnsi"/>
          <w:vertAlign w:val="superscript"/>
        </w:rPr>
        <w:t>m</w:t>
      </w:r>
      <w:r>
        <w:rPr>
          <w:rFonts w:cstheme="minorHAnsi"/>
        </w:rPr>
        <w:t>-T)</w:t>
      </w:r>
      <w:r w:rsidRPr="00336FF4">
        <w:rPr>
          <w:rFonts w:cstheme="minorHAnsi"/>
          <w:vertAlign w:val="superscript"/>
        </w:rPr>
        <w:t>1/2</w:t>
      </w:r>
      <w:r>
        <w:rPr>
          <w:rFonts w:cstheme="minorHAnsi"/>
        </w:rPr>
        <w:t xml:space="preserve"> functional forms.  Here </w:t>
      </w:r>
      <w:proofErr w:type="spellStart"/>
      <w:r w:rsidRPr="007C22C7">
        <w:rPr>
          <w:rFonts w:cstheme="minorHAnsi"/>
          <w:i/>
          <w:iCs/>
        </w:rPr>
        <w:t>T</w:t>
      </w:r>
      <w:proofErr w:type="spellEnd"/>
      <w:r w:rsidRPr="007C22C7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is the temperature (Celsius), </w:t>
      </w:r>
      <w:r w:rsidRPr="007C22C7">
        <w:rPr>
          <w:rFonts w:cstheme="minorHAnsi"/>
          <w:i/>
          <w:iCs/>
        </w:rPr>
        <w:t>c</w:t>
      </w:r>
      <w:r>
        <w:rPr>
          <w:rFonts w:cstheme="minorHAnsi"/>
        </w:rPr>
        <w:t xml:space="preserve"> is the rate (or scaling constant), </w:t>
      </w:r>
      <w:r w:rsidRPr="007C22C7">
        <w:rPr>
          <w:rFonts w:cstheme="minorHAnsi"/>
          <w:i/>
          <w:iCs/>
        </w:rPr>
        <w:t>T</w:t>
      </w:r>
      <w:r w:rsidRPr="007C22C7">
        <w:rPr>
          <w:rFonts w:cstheme="minorHAnsi"/>
          <w:i/>
          <w:iCs/>
          <w:vertAlign w:val="superscript"/>
        </w:rPr>
        <w:t>0</w:t>
      </w:r>
      <w:r w:rsidRPr="007C22C7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is the critical thermal minimum temperature and </w:t>
      </w:r>
      <w:r w:rsidRPr="007C22C7">
        <w:rPr>
          <w:rFonts w:cstheme="minorHAnsi"/>
          <w:i/>
          <w:iCs/>
        </w:rPr>
        <w:t>T</w:t>
      </w:r>
      <w:r w:rsidRPr="007C22C7">
        <w:rPr>
          <w:rFonts w:cstheme="minorHAnsi"/>
          <w:i/>
          <w:iCs/>
          <w:vertAlign w:val="superscript"/>
        </w:rPr>
        <w:t>m</w:t>
      </w:r>
      <w:r w:rsidRPr="007C22C7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is the critical thermal maximum temperature. </w:t>
      </w:r>
    </w:p>
    <w:p w14:paraId="35ED44E6" w14:textId="77777777" w:rsidR="00D23732" w:rsidRDefault="00D23732" w:rsidP="00087F87">
      <w:pPr>
        <w:rPr>
          <w:rFonts w:cstheme="minorHAnsi"/>
        </w:rPr>
      </w:pPr>
    </w:p>
    <w:p w14:paraId="3FD964FA" w14:textId="77777777" w:rsidR="00D23732" w:rsidRDefault="00D23732" w:rsidP="00087F87">
      <w:pPr>
        <w:rPr>
          <w:rFonts w:cstheme="minorHAnsi"/>
        </w:rPr>
      </w:pPr>
    </w:p>
    <w:p w14:paraId="2EE52F2F" w14:textId="77777777" w:rsidR="00D23732" w:rsidRDefault="00D23732" w:rsidP="00087F87">
      <w:pPr>
        <w:rPr>
          <w:rFonts w:cstheme="minorHAnsi"/>
        </w:rPr>
      </w:pPr>
    </w:p>
    <w:p w14:paraId="5A8507EE" w14:textId="4BC6D24A" w:rsidR="002B20DF" w:rsidRPr="00A12047" w:rsidRDefault="00BB72C9" w:rsidP="002B20DF">
      <w:pPr>
        <w:rPr>
          <w:b/>
          <w:bCs/>
        </w:rPr>
      </w:pPr>
      <w:r w:rsidRPr="00A12047">
        <w:rPr>
          <w:rFonts w:cstheme="minorHAnsi"/>
          <w:b/>
          <w:bCs/>
        </w:rPr>
        <w:t xml:space="preserve">Table 2.  Values for carrying capacity as a function of precipitation (Caldwell et al., </w:t>
      </w:r>
      <w:r w:rsidR="00242D1B" w:rsidRPr="00A12047">
        <w:rPr>
          <w:rFonts w:cstheme="minorHAnsi"/>
          <w:b/>
          <w:bCs/>
        </w:rPr>
        <w:t>(2021)</w:t>
      </w:r>
      <w:r w:rsidRPr="00A12047">
        <w:rPr>
          <w:rFonts w:cstheme="minorHAnsi"/>
          <w:b/>
          <w:bCs/>
        </w:rPr>
        <w:t xml:space="preserve"> </w:t>
      </w:r>
    </w:p>
    <w:tbl>
      <w:tblPr>
        <w:tblStyle w:val="TableGrid"/>
        <w:tblW w:w="9869" w:type="dxa"/>
        <w:tblLayout w:type="fixed"/>
        <w:tblLook w:val="04A0" w:firstRow="1" w:lastRow="0" w:firstColumn="1" w:lastColumn="0" w:noHBand="0" w:noVBand="1"/>
      </w:tblPr>
      <w:tblGrid>
        <w:gridCol w:w="4045"/>
        <w:gridCol w:w="1260"/>
        <w:gridCol w:w="1530"/>
        <w:gridCol w:w="1530"/>
        <w:gridCol w:w="1504"/>
      </w:tblGrid>
      <w:tr w:rsidR="002B20DF" w14:paraId="52851305" w14:textId="77777777" w:rsidTr="00A12047">
        <w:tc>
          <w:tcPr>
            <w:tcW w:w="4045" w:type="dxa"/>
            <w:shd w:val="clear" w:color="auto" w:fill="A6A6A6" w:themeFill="background1" w:themeFillShade="A6"/>
          </w:tcPr>
          <w:p w14:paraId="3C8E2421" w14:textId="77777777" w:rsidR="002B20DF" w:rsidRPr="001407C0" w:rsidRDefault="002B20DF" w:rsidP="00687FD3">
            <w:pPr>
              <w:jc w:val="center"/>
              <w:rPr>
                <w:b/>
                <w:bCs/>
              </w:rPr>
            </w:pPr>
            <w:r w:rsidRPr="001407C0">
              <w:rPr>
                <w:b/>
                <w:bCs/>
              </w:rPr>
              <w:t>Function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40CEAB1" w14:textId="77777777" w:rsidR="002B20DF" w:rsidRPr="001407C0" w:rsidRDefault="002B20DF" w:rsidP="00687FD3">
            <w:pPr>
              <w:jc w:val="center"/>
              <w:rPr>
                <w:b/>
                <w:bCs/>
              </w:rPr>
            </w:pPr>
            <w:r w:rsidRPr="001407C0">
              <w:rPr>
                <w:b/>
                <w:bCs/>
              </w:rPr>
              <w:t>Rate Constant (c) value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6E9466EF" w14:textId="77777777" w:rsidR="002B20DF" w:rsidRPr="001407C0" w:rsidRDefault="002B20DF" w:rsidP="00687FD3">
            <w:pPr>
              <w:jc w:val="center"/>
              <w:rPr>
                <w:b/>
                <w:bCs/>
              </w:rPr>
            </w:pPr>
            <w:r w:rsidRPr="001407C0">
              <w:rPr>
                <w:b/>
                <w:bCs/>
              </w:rPr>
              <w:t>Minimum Rainfall (</w:t>
            </w:r>
            <w:proofErr w:type="spellStart"/>
            <w:r w:rsidRPr="001407C0">
              <w:rPr>
                <w:b/>
                <w:bCs/>
              </w:rPr>
              <w:t>R</w:t>
            </w:r>
            <w:r w:rsidRPr="001407C0">
              <w:rPr>
                <w:b/>
                <w:bCs/>
                <w:vertAlign w:val="subscript"/>
              </w:rPr>
              <w:t>min</w:t>
            </w:r>
            <w:proofErr w:type="spellEnd"/>
            <w:r w:rsidRPr="001407C0">
              <w:rPr>
                <w:b/>
                <w:bCs/>
              </w:rPr>
              <w:t>) value (m)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4E3DC879" w14:textId="77777777" w:rsidR="002B20DF" w:rsidRPr="001407C0" w:rsidRDefault="002B20DF" w:rsidP="00687FD3">
            <w:pPr>
              <w:jc w:val="center"/>
              <w:rPr>
                <w:b/>
                <w:bCs/>
              </w:rPr>
            </w:pPr>
            <w:r w:rsidRPr="001407C0">
              <w:rPr>
                <w:b/>
                <w:bCs/>
              </w:rPr>
              <w:t>Maximum Rainfall (</w:t>
            </w:r>
            <w:proofErr w:type="spellStart"/>
            <w:r w:rsidRPr="001407C0">
              <w:rPr>
                <w:b/>
                <w:bCs/>
              </w:rPr>
              <w:t>R</w:t>
            </w:r>
            <w:r w:rsidRPr="001407C0">
              <w:rPr>
                <w:b/>
                <w:bCs/>
                <w:vertAlign w:val="subscript"/>
              </w:rPr>
              <w:t>max</w:t>
            </w:r>
            <w:proofErr w:type="spellEnd"/>
            <w:r w:rsidRPr="001407C0">
              <w:rPr>
                <w:b/>
                <w:bCs/>
              </w:rPr>
              <w:t>) value (m)</w:t>
            </w:r>
          </w:p>
        </w:tc>
        <w:tc>
          <w:tcPr>
            <w:tcW w:w="1504" w:type="dxa"/>
            <w:shd w:val="clear" w:color="auto" w:fill="A6A6A6" w:themeFill="background1" w:themeFillShade="A6"/>
          </w:tcPr>
          <w:p w14:paraId="3340A84B" w14:textId="77777777" w:rsidR="002B20DF" w:rsidRPr="001407C0" w:rsidRDefault="002B20DF" w:rsidP="00687FD3">
            <w:pPr>
              <w:jc w:val="center"/>
              <w:rPr>
                <w:b/>
                <w:bCs/>
              </w:rPr>
            </w:pPr>
            <w:r w:rsidRPr="001407C0">
              <w:rPr>
                <w:b/>
                <w:bCs/>
              </w:rPr>
              <w:t>Scaling Factor (z) value</w:t>
            </w:r>
          </w:p>
        </w:tc>
      </w:tr>
      <w:tr w:rsidR="002B20DF" w14:paraId="596E48D6" w14:textId="77777777" w:rsidTr="00687FD3">
        <w:tc>
          <w:tcPr>
            <w:tcW w:w="4045" w:type="dxa"/>
          </w:tcPr>
          <w:p w14:paraId="5637957C" w14:textId="77777777" w:rsidR="002B20DF" w:rsidRDefault="002B20DF" w:rsidP="00687FD3">
            <w:pPr>
              <w:rPr>
                <w:rFonts w:cstheme="minorHAnsi"/>
              </w:rPr>
            </w:pPr>
          </w:p>
          <w:p w14:paraId="2D6E9AC1" w14:textId="77777777" w:rsidR="002B20DF" w:rsidRDefault="002B20DF" w:rsidP="00687FD3">
            <w:pPr>
              <w:rPr>
                <w:rFonts w:cstheme="minorHAnsi"/>
              </w:rPr>
            </w:pPr>
            <w:r>
              <w:rPr>
                <w:rFonts w:cstheme="minorHAnsi"/>
              </w:rPr>
              <w:t>ƒ</w:t>
            </w:r>
            <w:r>
              <w:t>(</w:t>
            </w:r>
            <w:proofErr w:type="spellStart"/>
            <w:r>
              <w:t>R</w:t>
            </w:r>
            <w:r w:rsidRPr="00FF7712">
              <w:rPr>
                <w:rFonts w:cstheme="minorHAnsi"/>
                <w:vertAlign w:val="subscript"/>
              </w:rPr>
              <w:t>Brière</w:t>
            </w:r>
            <w:proofErr w:type="spellEnd"/>
            <w:r>
              <w:rPr>
                <w:rFonts w:cstheme="minorHAnsi"/>
              </w:rPr>
              <w:t>) = c * R * (R-</w:t>
            </w:r>
            <w:proofErr w:type="spellStart"/>
            <w:proofErr w:type="gramStart"/>
            <w:r>
              <w:rPr>
                <w:rFonts w:cstheme="minorHAnsi"/>
              </w:rPr>
              <w:t>R</w:t>
            </w:r>
            <w:r w:rsidRPr="00F32283">
              <w:rPr>
                <w:rFonts w:cstheme="minorHAnsi"/>
                <w:vertAlign w:val="subscript"/>
              </w:rPr>
              <w:t>min</w:t>
            </w:r>
            <w:proofErr w:type="spellEnd"/>
            <w:r>
              <w:rPr>
                <w:rFonts w:cstheme="minorHAnsi"/>
              </w:rPr>
              <w:t>)*</w:t>
            </w:r>
            <w:proofErr w:type="gramEnd"/>
            <w:r>
              <w:rPr>
                <w:rFonts w:cstheme="minorHAnsi"/>
              </w:rPr>
              <w:t xml:space="preserve"> √(</w:t>
            </w:r>
            <w:proofErr w:type="spellStart"/>
            <w:r>
              <w:rPr>
                <w:rFonts w:cstheme="minorHAnsi"/>
              </w:rPr>
              <w:t>R</w:t>
            </w:r>
            <w:r w:rsidRPr="00F32283">
              <w:rPr>
                <w:rFonts w:cstheme="minorHAnsi"/>
                <w:vertAlign w:val="subscript"/>
              </w:rPr>
              <w:t>max</w:t>
            </w:r>
            <w:proofErr w:type="spellEnd"/>
            <w:r>
              <w:rPr>
                <w:rFonts w:cstheme="minorHAnsi"/>
              </w:rPr>
              <w:t>-R) * z</w:t>
            </w:r>
          </w:p>
          <w:p w14:paraId="07339663" w14:textId="77777777" w:rsidR="002B20DF" w:rsidRDefault="002B20DF" w:rsidP="00687FD3"/>
        </w:tc>
        <w:tc>
          <w:tcPr>
            <w:tcW w:w="1260" w:type="dxa"/>
          </w:tcPr>
          <w:p w14:paraId="611D1740" w14:textId="77777777" w:rsidR="002B20DF" w:rsidRDefault="002B20DF" w:rsidP="00687FD3">
            <w:pPr>
              <w:jc w:val="center"/>
            </w:pPr>
          </w:p>
          <w:p w14:paraId="3411D070" w14:textId="77777777" w:rsidR="002B20DF" w:rsidRDefault="002B20DF" w:rsidP="00687FD3">
            <w:pPr>
              <w:jc w:val="center"/>
            </w:pPr>
            <w:r>
              <w:t>7.86e-5</w:t>
            </w:r>
          </w:p>
        </w:tc>
        <w:tc>
          <w:tcPr>
            <w:tcW w:w="1530" w:type="dxa"/>
          </w:tcPr>
          <w:p w14:paraId="2A761887" w14:textId="77777777" w:rsidR="002B20DF" w:rsidRDefault="002B20DF" w:rsidP="00687FD3">
            <w:pPr>
              <w:jc w:val="center"/>
            </w:pPr>
          </w:p>
          <w:p w14:paraId="0F97C398" w14:textId="77777777" w:rsidR="002B20DF" w:rsidRDefault="002B20DF" w:rsidP="00687FD3">
            <w:pPr>
              <w:jc w:val="center"/>
            </w:pPr>
            <w:r>
              <w:t>0.001</w:t>
            </w:r>
          </w:p>
        </w:tc>
        <w:tc>
          <w:tcPr>
            <w:tcW w:w="1530" w:type="dxa"/>
          </w:tcPr>
          <w:p w14:paraId="4C375BCF" w14:textId="77777777" w:rsidR="002B20DF" w:rsidRDefault="002B20DF" w:rsidP="00687FD3">
            <w:pPr>
              <w:jc w:val="center"/>
            </w:pPr>
          </w:p>
          <w:p w14:paraId="02C9F9E2" w14:textId="77777777" w:rsidR="002B20DF" w:rsidRDefault="002B20DF" w:rsidP="00687FD3">
            <w:pPr>
              <w:jc w:val="center"/>
            </w:pPr>
            <w:r>
              <w:t>0.123</w:t>
            </w:r>
          </w:p>
        </w:tc>
        <w:tc>
          <w:tcPr>
            <w:tcW w:w="1504" w:type="dxa"/>
          </w:tcPr>
          <w:p w14:paraId="1983F2E0" w14:textId="77777777" w:rsidR="002B20DF" w:rsidRDefault="002B20DF" w:rsidP="00687FD3">
            <w:pPr>
              <w:jc w:val="center"/>
            </w:pPr>
          </w:p>
          <w:p w14:paraId="76092F73" w14:textId="77777777" w:rsidR="002B20DF" w:rsidRDefault="002B20DF" w:rsidP="00687FD3">
            <w:pPr>
              <w:jc w:val="center"/>
            </w:pPr>
            <w:r>
              <w:t>0.28</w:t>
            </w:r>
          </w:p>
        </w:tc>
      </w:tr>
      <w:tr w:rsidR="002B20DF" w14:paraId="3F43528D" w14:textId="77777777" w:rsidTr="00687FD3">
        <w:tc>
          <w:tcPr>
            <w:tcW w:w="4045" w:type="dxa"/>
          </w:tcPr>
          <w:p w14:paraId="76ED0F88" w14:textId="77777777" w:rsidR="002B20DF" w:rsidRDefault="002B20DF" w:rsidP="00687FD3">
            <w:pPr>
              <w:rPr>
                <w:rFonts w:cstheme="minorHAnsi"/>
              </w:rPr>
            </w:pPr>
          </w:p>
          <w:p w14:paraId="7F79D3C8" w14:textId="77777777" w:rsidR="002B20DF" w:rsidRDefault="002B20DF" w:rsidP="00687FD3">
            <w:pPr>
              <w:rPr>
                <w:rFonts w:cstheme="minorHAnsi"/>
              </w:rPr>
            </w:pPr>
            <w:r>
              <w:rPr>
                <w:rFonts w:cstheme="minorHAnsi"/>
              </w:rPr>
              <w:t>ƒ</w:t>
            </w:r>
            <w:r>
              <w:t>(</w:t>
            </w:r>
            <w:proofErr w:type="spellStart"/>
            <w:r>
              <w:t>R</w:t>
            </w:r>
            <w:r w:rsidRPr="001B66CA">
              <w:rPr>
                <w:vertAlign w:val="subscript"/>
              </w:rPr>
              <w:t>Quadratic</w:t>
            </w:r>
            <w:proofErr w:type="spellEnd"/>
            <w:r>
              <w:rPr>
                <w:rFonts w:cstheme="minorHAnsi"/>
              </w:rPr>
              <w:t>) = c * (R-</w:t>
            </w:r>
            <w:proofErr w:type="spellStart"/>
            <w:proofErr w:type="gramStart"/>
            <w:r>
              <w:rPr>
                <w:rFonts w:cstheme="minorHAnsi"/>
              </w:rPr>
              <w:t>R</w:t>
            </w:r>
            <w:r w:rsidRPr="00F32283">
              <w:rPr>
                <w:rFonts w:cstheme="minorHAnsi"/>
                <w:vertAlign w:val="subscript"/>
              </w:rPr>
              <w:t>min</w:t>
            </w:r>
            <w:proofErr w:type="spellEnd"/>
            <w:r>
              <w:rPr>
                <w:rFonts w:cstheme="minorHAnsi"/>
              </w:rPr>
              <w:t>)*</w:t>
            </w:r>
            <w:proofErr w:type="gramEnd"/>
            <w:r>
              <w:rPr>
                <w:rFonts w:cstheme="minorHAnsi"/>
              </w:rPr>
              <w:t xml:space="preserve"> (R- </w:t>
            </w:r>
            <w:proofErr w:type="spellStart"/>
            <w:r>
              <w:rPr>
                <w:rFonts w:cstheme="minorHAnsi"/>
              </w:rPr>
              <w:t>R</w:t>
            </w:r>
            <w:r w:rsidRPr="00F32283">
              <w:rPr>
                <w:rFonts w:cstheme="minorHAnsi"/>
                <w:vertAlign w:val="subscript"/>
              </w:rPr>
              <w:t>max</w:t>
            </w:r>
            <w:proofErr w:type="spellEnd"/>
            <w:r>
              <w:rPr>
                <w:rFonts w:cstheme="minorHAnsi"/>
              </w:rPr>
              <w:t>) * z</w:t>
            </w:r>
          </w:p>
          <w:p w14:paraId="7FBE97C3" w14:textId="77777777" w:rsidR="002B20DF" w:rsidRDefault="002B20DF" w:rsidP="00687FD3"/>
        </w:tc>
        <w:tc>
          <w:tcPr>
            <w:tcW w:w="1260" w:type="dxa"/>
          </w:tcPr>
          <w:p w14:paraId="4DD11AA3" w14:textId="77777777" w:rsidR="002B20DF" w:rsidRDefault="002B20DF" w:rsidP="00687FD3">
            <w:pPr>
              <w:jc w:val="center"/>
            </w:pPr>
          </w:p>
          <w:p w14:paraId="69F7B05C" w14:textId="77777777" w:rsidR="002B20DF" w:rsidRDefault="002B20DF" w:rsidP="00687FD3">
            <w:pPr>
              <w:jc w:val="center"/>
            </w:pPr>
            <w:r>
              <w:t>-5.99E-3</w:t>
            </w:r>
          </w:p>
        </w:tc>
        <w:tc>
          <w:tcPr>
            <w:tcW w:w="1530" w:type="dxa"/>
          </w:tcPr>
          <w:p w14:paraId="5E35AEC2" w14:textId="77777777" w:rsidR="002B20DF" w:rsidRDefault="002B20DF" w:rsidP="00687FD3">
            <w:pPr>
              <w:jc w:val="center"/>
            </w:pPr>
          </w:p>
          <w:p w14:paraId="4C7E338C" w14:textId="77777777" w:rsidR="002B20DF" w:rsidRDefault="002B20DF" w:rsidP="00687FD3">
            <w:pPr>
              <w:jc w:val="center"/>
            </w:pPr>
            <w:r>
              <w:t>0.001</w:t>
            </w:r>
          </w:p>
        </w:tc>
        <w:tc>
          <w:tcPr>
            <w:tcW w:w="1530" w:type="dxa"/>
          </w:tcPr>
          <w:p w14:paraId="208C715B" w14:textId="77777777" w:rsidR="002B20DF" w:rsidRDefault="002B20DF" w:rsidP="00687FD3">
            <w:pPr>
              <w:jc w:val="center"/>
            </w:pPr>
          </w:p>
          <w:p w14:paraId="46E56E53" w14:textId="77777777" w:rsidR="002B20DF" w:rsidRDefault="002B20DF" w:rsidP="00687FD3">
            <w:pPr>
              <w:jc w:val="center"/>
            </w:pPr>
            <w:r>
              <w:t>0.123</w:t>
            </w:r>
          </w:p>
        </w:tc>
        <w:tc>
          <w:tcPr>
            <w:tcW w:w="1504" w:type="dxa"/>
          </w:tcPr>
          <w:p w14:paraId="6AC63DD1" w14:textId="77777777" w:rsidR="002B20DF" w:rsidRDefault="002B20DF" w:rsidP="00687FD3">
            <w:pPr>
              <w:jc w:val="center"/>
            </w:pPr>
          </w:p>
          <w:p w14:paraId="523E68B2" w14:textId="77777777" w:rsidR="002B20DF" w:rsidRDefault="002B20DF" w:rsidP="00687FD3">
            <w:pPr>
              <w:jc w:val="center"/>
            </w:pPr>
            <w:r>
              <w:t>0.025</w:t>
            </w:r>
          </w:p>
        </w:tc>
      </w:tr>
      <w:tr w:rsidR="002B20DF" w14:paraId="008F5622" w14:textId="77777777" w:rsidTr="00687FD3">
        <w:tc>
          <w:tcPr>
            <w:tcW w:w="4045" w:type="dxa"/>
          </w:tcPr>
          <w:p w14:paraId="14C2B58E" w14:textId="77777777" w:rsidR="002B20DF" w:rsidRDefault="002B20DF" w:rsidP="00687FD3">
            <w:pPr>
              <w:rPr>
                <w:rFonts w:cstheme="minorHAnsi"/>
              </w:rPr>
            </w:pPr>
          </w:p>
          <w:p w14:paraId="0CBBC342" w14:textId="77777777" w:rsidR="002B20DF" w:rsidRDefault="002B20DF" w:rsidP="00687FD3">
            <w:pPr>
              <w:rPr>
                <w:rFonts w:cstheme="minorHAnsi"/>
              </w:rPr>
            </w:pPr>
            <w:r>
              <w:rPr>
                <w:rFonts w:cstheme="minorHAnsi"/>
              </w:rPr>
              <w:t>ƒ</w:t>
            </w:r>
            <w:r>
              <w:t>(</w:t>
            </w:r>
            <w:proofErr w:type="spellStart"/>
            <w:r>
              <w:t>R</w:t>
            </w:r>
            <w:r w:rsidRPr="00696890">
              <w:rPr>
                <w:vertAlign w:val="subscript"/>
              </w:rPr>
              <w:t>Inverse</w:t>
            </w:r>
            <w:proofErr w:type="spellEnd"/>
            <w:r>
              <w:rPr>
                <w:rFonts w:cstheme="minorHAnsi"/>
              </w:rPr>
              <w:t xml:space="preserve">)= 1/R * z </w:t>
            </w:r>
          </w:p>
          <w:p w14:paraId="1A3E7712" w14:textId="77777777" w:rsidR="002B20DF" w:rsidRDefault="002B20DF" w:rsidP="00687FD3"/>
        </w:tc>
        <w:tc>
          <w:tcPr>
            <w:tcW w:w="1260" w:type="dxa"/>
          </w:tcPr>
          <w:p w14:paraId="696ABAF0" w14:textId="77777777" w:rsidR="002B20DF" w:rsidRDefault="002B20DF" w:rsidP="00687FD3">
            <w:pPr>
              <w:jc w:val="center"/>
            </w:pPr>
          </w:p>
          <w:p w14:paraId="3E927B61" w14:textId="77777777" w:rsidR="002B20DF" w:rsidRDefault="002B20DF" w:rsidP="00687FD3">
            <w:pPr>
              <w:jc w:val="center"/>
            </w:pPr>
            <w:r>
              <w:t>---</w:t>
            </w:r>
          </w:p>
        </w:tc>
        <w:tc>
          <w:tcPr>
            <w:tcW w:w="1530" w:type="dxa"/>
          </w:tcPr>
          <w:p w14:paraId="14940B30" w14:textId="77777777" w:rsidR="002B20DF" w:rsidRDefault="002B20DF" w:rsidP="00687FD3">
            <w:pPr>
              <w:jc w:val="center"/>
            </w:pPr>
          </w:p>
          <w:p w14:paraId="0E7DE6D7" w14:textId="77777777" w:rsidR="002B20DF" w:rsidRDefault="002B20DF" w:rsidP="00687FD3">
            <w:pPr>
              <w:jc w:val="center"/>
            </w:pPr>
            <w:r>
              <w:t>---</w:t>
            </w:r>
          </w:p>
        </w:tc>
        <w:tc>
          <w:tcPr>
            <w:tcW w:w="1530" w:type="dxa"/>
          </w:tcPr>
          <w:p w14:paraId="0F0D74A4" w14:textId="77777777" w:rsidR="002B20DF" w:rsidRDefault="002B20DF" w:rsidP="00687FD3">
            <w:pPr>
              <w:jc w:val="center"/>
            </w:pPr>
          </w:p>
          <w:p w14:paraId="12406357" w14:textId="77777777" w:rsidR="002B20DF" w:rsidRDefault="002B20DF" w:rsidP="00687FD3">
            <w:pPr>
              <w:jc w:val="center"/>
            </w:pPr>
            <w:r>
              <w:t>---</w:t>
            </w:r>
          </w:p>
        </w:tc>
        <w:tc>
          <w:tcPr>
            <w:tcW w:w="1504" w:type="dxa"/>
          </w:tcPr>
          <w:p w14:paraId="4B2FB714" w14:textId="77777777" w:rsidR="002B20DF" w:rsidRDefault="002B20DF" w:rsidP="00687FD3">
            <w:pPr>
              <w:jc w:val="center"/>
            </w:pPr>
            <w:r>
              <w:t>0.60</w:t>
            </w:r>
          </w:p>
        </w:tc>
      </w:tr>
    </w:tbl>
    <w:p w14:paraId="2A4658F1" w14:textId="7624BB71" w:rsidR="002072E1" w:rsidRDefault="002072E1">
      <w:pPr>
        <w:rPr>
          <w:b/>
          <w:bCs/>
        </w:rPr>
      </w:pPr>
      <w:r>
        <w:rPr>
          <w:b/>
          <w:bCs/>
        </w:rPr>
        <w:lastRenderedPageBreak/>
        <w:t>Table 3.  Risk of Exposure Function</w:t>
      </w:r>
      <w:r w:rsidR="0042474A">
        <w:rPr>
          <w:b/>
          <w:bCs/>
        </w:rPr>
        <w:t>.</w:t>
      </w:r>
      <w:r w:rsidR="0042474A" w:rsidRPr="00C37042">
        <w:t xml:space="preserve">  Fraction of the exposed population </w:t>
      </w:r>
      <w:r w:rsidR="00353942" w:rsidRPr="00C37042">
        <w:t>that can be associated with the geographically based version of the per capital Gross Domestic Product based on P</w:t>
      </w:r>
      <w:r w:rsidR="00C37042" w:rsidRPr="00C37042">
        <w:t>urchasing Power Parity (GDP per capita, PPP)</w:t>
      </w:r>
      <w:r w:rsidR="00353942" w:rsidRPr="00C37042">
        <w:t xml:space="preserve"> </w:t>
      </w:r>
      <w:r w:rsidR="00C37042">
        <w:t xml:space="preserve">(Zhang et al., </w:t>
      </w:r>
      <w:r w:rsidR="00B629BD">
        <w:t>2017)</w:t>
      </w:r>
      <w:r w:rsidR="009C15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3BE" w14:paraId="572B3E29" w14:textId="77777777" w:rsidTr="00CC63BE">
        <w:tc>
          <w:tcPr>
            <w:tcW w:w="4675" w:type="dxa"/>
            <w:shd w:val="clear" w:color="auto" w:fill="BFBFBF" w:themeFill="background1" w:themeFillShade="BF"/>
          </w:tcPr>
          <w:p w14:paraId="455FE980" w14:textId="35E30A71" w:rsidR="00CC63BE" w:rsidRDefault="00CC63BE" w:rsidP="00CC63BE">
            <w:pPr>
              <w:jc w:val="center"/>
            </w:pPr>
            <w:r>
              <w:t>Risk of Exposure Function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B8DBA28" w14:textId="39A76761" w:rsidR="00CC63BE" w:rsidRDefault="00CC63BE" w:rsidP="00CC63BE">
            <w:pPr>
              <w:jc w:val="center"/>
            </w:pPr>
            <w:r>
              <w:t>Range of Values</w:t>
            </w:r>
          </w:p>
        </w:tc>
      </w:tr>
      <w:tr w:rsidR="00CC63BE" w14:paraId="7B8CAFD2" w14:textId="77777777" w:rsidTr="00CC63BE">
        <w:tc>
          <w:tcPr>
            <w:tcW w:w="4675" w:type="dxa"/>
          </w:tcPr>
          <w:p w14:paraId="30FC9C7D" w14:textId="13523685" w:rsidR="00CC63BE" w:rsidRDefault="00CC63BE" w:rsidP="00CC63BE">
            <w:pPr>
              <w:jc w:val="center"/>
            </w:pPr>
            <w:r>
              <w:t>1.67 -0.34*</w:t>
            </w:r>
            <w:proofErr w:type="gramStart"/>
            <w:r>
              <w:t>log(</w:t>
            </w:r>
            <w:proofErr w:type="gramEnd"/>
            <w:r>
              <w:t>PPP*exp(0.47))</w:t>
            </w:r>
          </w:p>
        </w:tc>
        <w:tc>
          <w:tcPr>
            <w:tcW w:w="4675" w:type="dxa"/>
          </w:tcPr>
          <w:p w14:paraId="660C28F8" w14:textId="2CBEFC55" w:rsidR="00CC63BE" w:rsidRDefault="00CC63BE" w:rsidP="00CC63BE">
            <w:pPr>
              <w:jc w:val="center"/>
            </w:pPr>
            <w:r>
              <w:t>1.97&gt;</w:t>
            </w:r>
            <w:proofErr w:type="gramStart"/>
            <w:r>
              <w:t>log(</w:t>
            </w:r>
            <w:proofErr w:type="gramEnd"/>
            <w:r>
              <w:t>PPP*exp(0.47))&lt;4.911</w:t>
            </w:r>
          </w:p>
        </w:tc>
      </w:tr>
      <w:tr w:rsidR="00CC63BE" w14:paraId="4308A044" w14:textId="77777777" w:rsidTr="00CC63BE">
        <w:tc>
          <w:tcPr>
            <w:tcW w:w="4675" w:type="dxa"/>
          </w:tcPr>
          <w:p w14:paraId="5F42038C" w14:textId="785CBE7C" w:rsidR="00CC63BE" w:rsidRDefault="00CC63BE" w:rsidP="00CC63BE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028F003C" w14:textId="7836EA7C" w:rsidR="00CC63BE" w:rsidRDefault="00CC63BE" w:rsidP="00CC63BE">
            <w:pPr>
              <w:jc w:val="center"/>
            </w:pPr>
            <w:proofErr w:type="gramStart"/>
            <w:r>
              <w:t>log(</w:t>
            </w:r>
            <w:proofErr w:type="gramEnd"/>
            <w:r>
              <w:t>PPP*exp(0.47))&lt;1.97</w:t>
            </w:r>
          </w:p>
        </w:tc>
      </w:tr>
      <w:tr w:rsidR="00CC63BE" w14:paraId="6B50BC3C" w14:textId="77777777" w:rsidTr="00CC63BE">
        <w:tc>
          <w:tcPr>
            <w:tcW w:w="4675" w:type="dxa"/>
          </w:tcPr>
          <w:p w14:paraId="3CF91976" w14:textId="6DCE8052" w:rsidR="00CC63BE" w:rsidRDefault="00CC63BE" w:rsidP="00CC63BE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B529CA8" w14:textId="08319B92" w:rsidR="00CC63BE" w:rsidRDefault="00CC63BE" w:rsidP="00CC63BE">
            <w:pPr>
              <w:jc w:val="center"/>
            </w:pPr>
            <w:proofErr w:type="gramStart"/>
            <w:r>
              <w:t>log(</w:t>
            </w:r>
            <w:proofErr w:type="gramEnd"/>
            <w:r>
              <w:t>PPP*exp(0.47))&gt;4.911</w:t>
            </w:r>
          </w:p>
        </w:tc>
      </w:tr>
    </w:tbl>
    <w:p w14:paraId="3D03011A" w14:textId="77777777" w:rsidR="00183DF7" w:rsidRDefault="00183DF7" w:rsidP="002072E1"/>
    <w:p w14:paraId="7E5D2991" w14:textId="20A9A5A9" w:rsidR="002C2F53" w:rsidRPr="00206BF5" w:rsidRDefault="009F6068" w:rsidP="00364E1F">
      <w:pPr>
        <w:rPr>
          <w:b/>
          <w:bCs/>
        </w:rPr>
      </w:pPr>
      <w:r>
        <w:rPr>
          <w:b/>
          <w:bCs/>
        </w:rPr>
        <w:br/>
      </w:r>
      <w:r w:rsidR="00A12047">
        <w:rPr>
          <w:b/>
          <w:bCs/>
        </w:rPr>
        <w:t xml:space="preserve">Table 3. </w:t>
      </w:r>
      <w:r w:rsidR="001C1F1F" w:rsidRPr="00206BF5">
        <w:rPr>
          <w:b/>
          <w:bCs/>
        </w:rPr>
        <w:t>Databases with high spatial resolution</w:t>
      </w:r>
      <w:r>
        <w:rPr>
          <w:b/>
          <w:bCs/>
        </w:rPr>
        <w:t xml:space="preserve"> used to parameterize the model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5035"/>
      </w:tblGrid>
      <w:tr w:rsidR="009A0773" w14:paraId="5FB93F71" w14:textId="77777777" w:rsidTr="009A0773">
        <w:tc>
          <w:tcPr>
            <w:tcW w:w="2780" w:type="dxa"/>
            <w:shd w:val="clear" w:color="auto" w:fill="A6A6A6" w:themeFill="background1" w:themeFillShade="A6"/>
          </w:tcPr>
          <w:p w14:paraId="0A7CA6F2" w14:textId="3965BBF1" w:rsidR="009A0773" w:rsidRPr="001407C0" w:rsidRDefault="009A0773" w:rsidP="00140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Parameter 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14:paraId="6B1D57AC" w14:textId="310EC8D7" w:rsidR="009A0773" w:rsidRPr="001407C0" w:rsidRDefault="009A0773" w:rsidP="00140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&amp; Source</w:t>
            </w:r>
          </w:p>
        </w:tc>
      </w:tr>
      <w:tr w:rsidR="009A0773" w14:paraId="3E55F2A0" w14:textId="77777777" w:rsidTr="009A0773">
        <w:tc>
          <w:tcPr>
            <w:tcW w:w="2780" w:type="dxa"/>
          </w:tcPr>
          <w:p w14:paraId="5620FDB9" w14:textId="0D303DAD" w:rsidR="009A0773" w:rsidRDefault="009A0773" w:rsidP="00364E1F">
            <w:r>
              <w:t>Global Aedes Distribution</w:t>
            </w:r>
            <w:r w:rsidR="00151A16">
              <w:t xml:space="preserve"> (P</w:t>
            </w:r>
            <w:bookmarkStart w:id="0" w:name="_GoBack"/>
            <w:bookmarkEnd w:id="0"/>
            <w:r w:rsidR="00151A16" w:rsidRPr="00151A16">
              <w:rPr>
                <w:vertAlign w:val="subscript"/>
              </w:rPr>
              <w:t>ae</w:t>
            </w:r>
            <w:r w:rsidR="00151A16">
              <w:t>)</w:t>
            </w:r>
          </w:p>
        </w:tc>
        <w:tc>
          <w:tcPr>
            <w:tcW w:w="5035" w:type="dxa"/>
          </w:tcPr>
          <w:p w14:paraId="3F9D60DC" w14:textId="77777777" w:rsidR="009A0773" w:rsidRDefault="009A0773" w:rsidP="00364E1F">
            <w:r>
              <w:t>Uncertainty estimates for mosquito distribution at 5 km x 5 km resolution</w:t>
            </w:r>
          </w:p>
          <w:p w14:paraId="59DA38E7" w14:textId="72F80D10" w:rsidR="00235980" w:rsidRDefault="005E4A50" w:rsidP="00364E1F">
            <w:hyperlink r:id="rId10" w:history="1">
              <w:r w:rsidR="00235980" w:rsidRPr="00A16FEC">
                <w:rPr>
                  <w:rStyle w:val="Hyperlink"/>
                </w:rPr>
                <w:t>https://www.dropbox.com/sh/bpxcmzmmpiiav8u/AAAl3CBKnBYwXb0n1s1C4-K-a?dl=0</w:t>
              </w:r>
            </w:hyperlink>
            <w:r w:rsidR="00235980" w:rsidRPr="00235980">
              <w:t xml:space="preserve"> </w:t>
            </w:r>
          </w:p>
          <w:p w14:paraId="779DFF7D" w14:textId="3E6C3FD9" w:rsidR="009A0773" w:rsidRDefault="009A0773" w:rsidP="00364E1F">
            <w:r>
              <w:t xml:space="preserve">(R datafiles and </w:t>
            </w:r>
            <w:r w:rsidRPr="000E3B20">
              <w:rPr>
                <w:i/>
                <w:iCs/>
              </w:rPr>
              <w:t>Aedes</w:t>
            </w:r>
            <w:r>
              <w:t xml:space="preserve"> maps)</w:t>
            </w:r>
          </w:p>
          <w:p w14:paraId="4AB2899C" w14:textId="1F3BB334" w:rsidR="009A0773" w:rsidRDefault="009A0773" w:rsidP="00364E1F">
            <w:r>
              <w:t>(Kraemer et al., 2015)</w:t>
            </w:r>
          </w:p>
        </w:tc>
      </w:tr>
      <w:tr w:rsidR="009A0773" w14:paraId="2427012F" w14:textId="77777777" w:rsidTr="009A0773">
        <w:tc>
          <w:tcPr>
            <w:tcW w:w="2780" w:type="dxa"/>
          </w:tcPr>
          <w:p w14:paraId="5F6BBC89" w14:textId="5D046D94" w:rsidR="009A0773" w:rsidRDefault="009A0773" w:rsidP="00364E1F">
            <w:r>
              <w:t>Global Climate Database</w:t>
            </w:r>
            <w:r w:rsidR="00151A16">
              <w:t xml:space="preserve"> (R &amp; T)</w:t>
            </w:r>
          </w:p>
        </w:tc>
        <w:tc>
          <w:tcPr>
            <w:tcW w:w="5035" w:type="dxa"/>
          </w:tcPr>
          <w:p w14:paraId="4BD69824" w14:textId="63D54686" w:rsidR="009A0773" w:rsidRDefault="009A0773" w:rsidP="00364E1F">
            <w:r>
              <w:t>Monthly min, max, and average temperature (</w:t>
            </w:r>
            <w:r>
              <w:rPr>
                <w:rFonts w:cstheme="minorHAnsi"/>
              </w:rPr>
              <w:t>°</w:t>
            </w:r>
            <w:proofErr w:type="gramStart"/>
            <w:r>
              <w:t>C)and</w:t>
            </w:r>
            <w:proofErr w:type="gramEnd"/>
            <w:r>
              <w:t xml:space="preserve"> rainfall (mm) at various resolutions from 1970-2000</w:t>
            </w:r>
          </w:p>
          <w:p w14:paraId="7B16F552" w14:textId="172B8E84" w:rsidR="009A0773" w:rsidRDefault="009A0773" w:rsidP="00364E1F">
            <w:r>
              <w:t>(</w:t>
            </w:r>
            <w:r w:rsidR="008D7B5E">
              <w:t>U</w:t>
            </w:r>
            <w:r>
              <w:t>se 2.5 min spatial resolution data for 5 km)</w:t>
            </w:r>
          </w:p>
          <w:p w14:paraId="7AE69B0F" w14:textId="77777777" w:rsidR="009A0773" w:rsidRDefault="005E4A50" w:rsidP="002B20DF">
            <w:hyperlink r:id="rId11" w:history="1">
              <w:r w:rsidR="009A0773" w:rsidRPr="00ED0091">
                <w:rPr>
                  <w:rStyle w:val="Hyperlink"/>
                </w:rPr>
                <w:t>https://www.worldclim.org/</w:t>
              </w:r>
            </w:hyperlink>
          </w:p>
          <w:p w14:paraId="432CAE49" w14:textId="02868D81" w:rsidR="005557D2" w:rsidRDefault="005557D2" w:rsidP="002B20DF">
            <w:r>
              <w:t xml:space="preserve">(Fick &amp; </w:t>
            </w:r>
            <w:proofErr w:type="spellStart"/>
            <w:r>
              <w:t>Hijmans</w:t>
            </w:r>
            <w:proofErr w:type="spellEnd"/>
            <w:r>
              <w:t>, 2017)</w:t>
            </w:r>
          </w:p>
        </w:tc>
      </w:tr>
      <w:tr w:rsidR="009A0773" w14:paraId="77B9DEDD" w14:textId="77777777" w:rsidTr="009A0773">
        <w:tc>
          <w:tcPr>
            <w:tcW w:w="2780" w:type="dxa"/>
          </w:tcPr>
          <w:p w14:paraId="51624DE8" w14:textId="0EC9A676" w:rsidR="009A0773" w:rsidRDefault="009A0773" w:rsidP="00364E1F">
            <w:proofErr w:type="spellStart"/>
            <w:r>
              <w:t>Geolocalized</w:t>
            </w:r>
            <w:proofErr w:type="spellEnd"/>
            <w:r>
              <w:t xml:space="preserve"> </w:t>
            </w:r>
            <w:r w:rsidR="00F87259">
              <w:t>E</w:t>
            </w:r>
            <w:r>
              <w:t xml:space="preserve">conomic </w:t>
            </w:r>
            <w:r w:rsidR="00F87259">
              <w:t>D</w:t>
            </w:r>
            <w:r>
              <w:t>ata (G-econ)</w:t>
            </w:r>
          </w:p>
        </w:tc>
        <w:tc>
          <w:tcPr>
            <w:tcW w:w="5035" w:type="dxa"/>
          </w:tcPr>
          <w:p w14:paraId="7A594E97" w14:textId="77777777" w:rsidR="009A0773" w:rsidRDefault="009A0773" w:rsidP="00364E1F">
            <w:proofErr w:type="spellStart"/>
            <w:r>
              <w:t>Geophysically</w:t>
            </w:r>
            <w:proofErr w:type="spellEnd"/>
            <w:r>
              <w:t xml:space="preserve"> scaled dataset linking per capita gross product (GDP) at purchasing power parity (PPP) rates (recomputed to change 1 km x 1 km to match 5 km x 5 km resolution of other data)</w:t>
            </w:r>
          </w:p>
          <w:p w14:paraId="72076633" w14:textId="2D3599B8" w:rsidR="009A0773" w:rsidRDefault="00D23732" w:rsidP="00364E1F">
            <w:r>
              <w:t xml:space="preserve">Excel File:  </w:t>
            </w:r>
            <w:hyperlink r:id="rId12" w:history="1">
              <w:r w:rsidRPr="001121C4">
                <w:rPr>
                  <w:rStyle w:val="Hyperlink"/>
                </w:rPr>
                <w:t>http://gecon.yale.edu/sites/default/files/files/Gecon40_post_final.xls</w:t>
              </w:r>
            </w:hyperlink>
          </w:p>
          <w:p w14:paraId="43538FA1" w14:textId="3EA2D5CF" w:rsidR="009A0773" w:rsidRDefault="0083562E" w:rsidP="00364E1F">
            <w:r>
              <w:t xml:space="preserve">(Zhang et al., </w:t>
            </w:r>
            <w:r w:rsidR="00A36071">
              <w:t>2017)</w:t>
            </w:r>
          </w:p>
        </w:tc>
      </w:tr>
      <w:tr w:rsidR="00F87259" w14:paraId="66BF7788" w14:textId="77777777" w:rsidTr="009A0773">
        <w:tc>
          <w:tcPr>
            <w:tcW w:w="2780" w:type="dxa"/>
          </w:tcPr>
          <w:p w14:paraId="0DDB9929" w14:textId="27BCD82D" w:rsidR="00F87259" w:rsidRDefault="00F87259" w:rsidP="00364E1F">
            <w:r>
              <w:t xml:space="preserve">Human Population </w:t>
            </w:r>
            <w:r w:rsidR="00D432AD">
              <w:t>Density</w:t>
            </w:r>
          </w:p>
        </w:tc>
        <w:tc>
          <w:tcPr>
            <w:tcW w:w="5035" w:type="dxa"/>
          </w:tcPr>
          <w:p w14:paraId="4A867AC7" w14:textId="77777777" w:rsidR="00EC4B30" w:rsidRDefault="00EC4B30" w:rsidP="00EC4B30">
            <w:r>
              <w:t xml:space="preserve">Population density from </w:t>
            </w:r>
            <w:proofErr w:type="spellStart"/>
            <w:r>
              <w:t>WorldPop</w:t>
            </w:r>
            <w:proofErr w:type="spellEnd"/>
            <w:r>
              <w:t xml:space="preserve"> Hub: </w:t>
            </w:r>
          </w:p>
          <w:p w14:paraId="045A5E86" w14:textId="77777777" w:rsidR="006C6291" w:rsidRDefault="005E4A50" w:rsidP="00EC4B30">
            <w:hyperlink r:id="rId13" w:history="1">
              <w:r w:rsidR="00EC4B30" w:rsidRPr="00AA4983">
                <w:rPr>
                  <w:rStyle w:val="Hyperlink"/>
                </w:rPr>
                <w:t>https://hub.worldpop.org/project/categories?id=18</w:t>
              </w:r>
            </w:hyperlink>
          </w:p>
          <w:p w14:paraId="3C8F7670" w14:textId="5D95C436" w:rsidR="00704AB5" w:rsidRDefault="00704AB5" w:rsidP="00EC4B30">
            <w:r>
              <w:t>We will use the Unconstrained individual countries 2000-2020 UN adjusted (1 km resolution)</w:t>
            </w:r>
            <w:r w:rsidR="00663D91">
              <w:t xml:space="preserve">.  This will need to be changed to match the 5 </w:t>
            </w:r>
            <w:proofErr w:type="gramStart"/>
            <w:r w:rsidR="00663D91">
              <w:t>km  x</w:t>
            </w:r>
            <w:proofErr w:type="gramEnd"/>
            <w:r w:rsidR="00663D91">
              <w:t xml:space="preserve"> 5 km resolution of the other data sets.</w:t>
            </w:r>
          </w:p>
        </w:tc>
      </w:tr>
    </w:tbl>
    <w:p w14:paraId="379E1151" w14:textId="77777777" w:rsidR="009D6284" w:rsidRDefault="009D6284" w:rsidP="00364E1F"/>
    <w:p w14:paraId="34DA2A74" w14:textId="77777777" w:rsidR="009D6284" w:rsidRDefault="009D6284" w:rsidP="00364E1F"/>
    <w:sectPr w:rsidR="009D628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FBB34" w14:textId="77777777" w:rsidR="005E4A50" w:rsidRDefault="005E4A50" w:rsidP="008D15FA">
      <w:pPr>
        <w:spacing w:after="0" w:line="240" w:lineRule="auto"/>
      </w:pPr>
      <w:r>
        <w:separator/>
      </w:r>
    </w:p>
  </w:endnote>
  <w:endnote w:type="continuationSeparator" w:id="0">
    <w:p w14:paraId="3B2266E6" w14:textId="77777777" w:rsidR="005E4A50" w:rsidRDefault="005E4A50" w:rsidP="008D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3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24CD3" w14:textId="1686CB49" w:rsidR="009E56BE" w:rsidRDefault="009E56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9C25B" w14:textId="77777777" w:rsidR="009E56BE" w:rsidRDefault="009E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A2963" w14:textId="77777777" w:rsidR="005E4A50" w:rsidRDefault="005E4A50" w:rsidP="008D15FA">
      <w:pPr>
        <w:spacing w:after="0" w:line="240" w:lineRule="auto"/>
      </w:pPr>
      <w:r>
        <w:separator/>
      </w:r>
    </w:p>
  </w:footnote>
  <w:footnote w:type="continuationSeparator" w:id="0">
    <w:p w14:paraId="491B171C" w14:textId="77777777" w:rsidR="005E4A50" w:rsidRDefault="005E4A50" w:rsidP="008D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35BCD" w14:textId="5F59652F" w:rsidR="00D23732" w:rsidRDefault="00D23732" w:rsidP="00D23732">
    <w:pPr>
      <w:pStyle w:val="Header"/>
      <w:jc w:val="right"/>
    </w:pPr>
    <w:r>
      <w:t>Britt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6A8F"/>
    <w:multiLevelType w:val="hybridMultilevel"/>
    <w:tmpl w:val="65C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E1497"/>
    <w:multiLevelType w:val="hybridMultilevel"/>
    <w:tmpl w:val="42E4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1F"/>
    <w:rsid w:val="00032C96"/>
    <w:rsid w:val="00044D1B"/>
    <w:rsid w:val="00047F1F"/>
    <w:rsid w:val="0006631E"/>
    <w:rsid w:val="0007657D"/>
    <w:rsid w:val="00076FF3"/>
    <w:rsid w:val="000833AF"/>
    <w:rsid w:val="00087F87"/>
    <w:rsid w:val="000925FD"/>
    <w:rsid w:val="00094154"/>
    <w:rsid w:val="000A52BC"/>
    <w:rsid w:val="000A6D10"/>
    <w:rsid w:val="000D1690"/>
    <w:rsid w:val="000D16C2"/>
    <w:rsid w:val="000D5D33"/>
    <w:rsid w:val="000D6B8C"/>
    <w:rsid w:val="000E3980"/>
    <w:rsid w:val="000E3B20"/>
    <w:rsid w:val="000E3B8B"/>
    <w:rsid w:val="000E7DDB"/>
    <w:rsid w:val="000F78C7"/>
    <w:rsid w:val="00105330"/>
    <w:rsid w:val="00113082"/>
    <w:rsid w:val="00125D11"/>
    <w:rsid w:val="00136DE8"/>
    <w:rsid w:val="001407C0"/>
    <w:rsid w:val="00151A16"/>
    <w:rsid w:val="00172C28"/>
    <w:rsid w:val="00183DF7"/>
    <w:rsid w:val="001A10E9"/>
    <w:rsid w:val="001A173F"/>
    <w:rsid w:val="001A7DB5"/>
    <w:rsid w:val="001B4199"/>
    <w:rsid w:val="001C1F1F"/>
    <w:rsid w:val="001F5B81"/>
    <w:rsid w:val="00203DE5"/>
    <w:rsid w:val="00206BF5"/>
    <w:rsid w:val="002072E1"/>
    <w:rsid w:val="002206C5"/>
    <w:rsid w:val="002215E4"/>
    <w:rsid w:val="0023429F"/>
    <w:rsid w:val="00235980"/>
    <w:rsid w:val="00242D1B"/>
    <w:rsid w:val="0025589C"/>
    <w:rsid w:val="00262A4B"/>
    <w:rsid w:val="00264CB6"/>
    <w:rsid w:val="002664DC"/>
    <w:rsid w:val="00286ECA"/>
    <w:rsid w:val="00294350"/>
    <w:rsid w:val="002B20DF"/>
    <w:rsid w:val="002B2A1F"/>
    <w:rsid w:val="002C2F53"/>
    <w:rsid w:val="002C5051"/>
    <w:rsid w:val="002C665C"/>
    <w:rsid w:val="002D33BF"/>
    <w:rsid w:val="00312A8D"/>
    <w:rsid w:val="00353942"/>
    <w:rsid w:val="00364E1F"/>
    <w:rsid w:val="003C47FD"/>
    <w:rsid w:val="003D4893"/>
    <w:rsid w:val="003E299C"/>
    <w:rsid w:val="003F13A7"/>
    <w:rsid w:val="003F25AE"/>
    <w:rsid w:val="003F320F"/>
    <w:rsid w:val="003F7671"/>
    <w:rsid w:val="0040661F"/>
    <w:rsid w:val="00416482"/>
    <w:rsid w:val="004204D6"/>
    <w:rsid w:val="0042474A"/>
    <w:rsid w:val="00445676"/>
    <w:rsid w:val="00453D5D"/>
    <w:rsid w:val="00465B10"/>
    <w:rsid w:val="004712DF"/>
    <w:rsid w:val="00482169"/>
    <w:rsid w:val="004C6570"/>
    <w:rsid w:val="004F6CFC"/>
    <w:rsid w:val="005557D2"/>
    <w:rsid w:val="005814EA"/>
    <w:rsid w:val="005A3BDC"/>
    <w:rsid w:val="005B4DA9"/>
    <w:rsid w:val="005B538E"/>
    <w:rsid w:val="005B762F"/>
    <w:rsid w:val="005C3602"/>
    <w:rsid w:val="005D7E7A"/>
    <w:rsid w:val="005E4A50"/>
    <w:rsid w:val="005E717A"/>
    <w:rsid w:val="00603618"/>
    <w:rsid w:val="006173CB"/>
    <w:rsid w:val="00663D91"/>
    <w:rsid w:val="006667DB"/>
    <w:rsid w:val="00676E89"/>
    <w:rsid w:val="00681D3E"/>
    <w:rsid w:val="00697545"/>
    <w:rsid w:val="006C0348"/>
    <w:rsid w:val="006C3797"/>
    <w:rsid w:val="006C61CA"/>
    <w:rsid w:val="006C6291"/>
    <w:rsid w:val="006E112B"/>
    <w:rsid w:val="006E1793"/>
    <w:rsid w:val="00704AB5"/>
    <w:rsid w:val="00704EB5"/>
    <w:rsid w:val="0072262D"/>
    <w:rsid w:val="00725370"/>
    <w:rsid w:val="00727900"/>
    <w:rsid w:val="00752BC9"/>
    <w:rsid w:val="007554EC"/>
    <w:rsid w:val="007636DF"/>
    <w:rsid w:val="00767CBB"/>
    <w:rsid w:val="00783011"/>
    <w:rsid w:val="00783EC2"/>
    <w:rsid w:val="00790434"/>
    <w:rsid w:val="007937B5"/>
    <w:rsid w:val="007A2BBB"/>
    <w:rsid w:val="007A31CD"/>
    <w:rsid w:val="007B7E2E"/>
    <w:rsid w:val="007E14A3"/>
    <w:rsid w:val="007E79D2"/>
    <w:rsid w:val="00805CD1"/>
    <w:rsid w:val="00816261"/>
    <w:rsid w:val="00826595"/>
    <w:rsid w:val="0083562E"/>
    <w:rsid w:val="008511EC"/>
    <w:rsid w:val="00857D3A"/>
    <w:rsid w:val="00861619"/>
    <w:rsid w:val="00870982"/>
    <w:rsid w:val="00875F17"/>
    <w:rsid w:val="00891DBE"/>
    <w:rsid w:val="008A3423"/>
    <w:rsid w:val="008B0E77"/>
    <w:rsid w:val="008B295F"/>
    <w:rsid w:val="008B6C83"/>
    <w:rsid w:val="008D15FA"/>
    <w:rsid w:val="008D237E"/>
    <w:rsid w:val="008D42A1"/>
    <w:rsid w:val="008D7B5E"/>
    <w:rsid w:val="008F2F52"/>
    <w:rsid w:val="008F6A99"/>
    <w:rsid w:val="00901402"/>
    <w:rsid w:val="0090161E"/>
    <w:rsid w:val="009046D3"/>
    <w:rsid w:val="00911C57"/>
    <w:rsid w:val="00944F59"/>
    <w:rsid w:val="00996B0C"/>
    <w:rsid w:val="009A0773"/>
    <w:rsid w:val="009A5C1A"/>
    <w:rsid w:val="009B0B5A"/>
    <w:rsid w:val="009B2AD1"/>
    <w:rsid w:val="009B79E5"/>
    <w:rsid w:val="009C15DB"/>
    <w:rsid w:val="009D5102"/>
    <w:rsid w:val="009D6284"/>
    <w:rsid w:val="009E56BE"/>
    <w:rsid w:val="009F6068"/>
    <w:rsid w:val="00A052D1"/>
    <w:rsid w:val="00A10620"/>
    <w:rsid w:val="00A12047"/>
    <w:rsid w:val="00A142A1"/>
    <w:rsid w:val="00A17D4C"/>
    <w:rsid w:val="00A30872"/>
    <w:rsid w:val="00A36071"/>
    <w:rsid w:val="00A46507"/>
    <w:rsid w:val="00A560FB"/>
    <w:rsid w:val="00A6421F"/>
    <w:rsid w:val="00A66F66"/>
    <w:rsid w:val="00A7394D"/>
    <w:rsid w:val="00AB3686"/>
    <w:rsid w:val="00AB460B"/>
    <w:rsid w:val="00AE558F"/>
    <w:rsid w:val="00B06E2D"/>
    <w:rsid w:val="00B34B88"/>
    <w:rsid w:val="00B472B5"/>
    <w:rsid w:val="00B61DBD"/>
    <w:rsid w:val="00B629BD"/>
    <w:rsid w:val="00B711B9"/>
    <w:rsid w:val="00B92E6C"/>
    <w:rsid w:val="00BB72C9"/>
    <w:rsid w:val="00BC371E"/>
    <w:rsid w:val="00BC6956"/>
    <w:rsid w:val="00BF05FF"/>
    <w:rsid w:val="00BF469D"/>
    <w:rsid w:val="00C12FE0"/>
    <w:rsid w:val="00C37042"/>
    <w:rsid w:val="00C55CF8"/>
    <w:rsid w:val="00C5681F"/>
    <w:rsid w:val="00CA4E1F"/>
    <w:rsid w:val="00CB3B77"/>
    <w:rsid w:val="00CB41D6"/>
    <w:rsid w:val="00CB7D14"/>
    <w:rsid w:val="00CC63BE"/>
    <w:rsid w:val="00CD6D7D"/>
    <w:rsid w:val="00CE6AF1"/>
    <w:rsid w:val="00D00C7C"/>
    <w:rsid w:val="00D23732"/>
    <w:rsid w:val="00D243CA"/>
    <w:rsid w:val="00D432AD"/>
    <w:rsid w:val="00D45579"/>
    <w:rsid w:val="00D51C97"/>
    <w:rsid w:val="00D54900"/>
    <w:rsid w:val="00D62559"/>
    <w:rsid w:val="00D63227"/>
    <w:rsid w:val="00DA5311"/>
    <w:rsid w:val="00DA76D6"/>
    <w:rsid w:val="00DC268A"/>
    <w:rsid w:val="00DD44FF"/>
    <w:rsid w:val="00DD556B"/>
    <w:rsid w:val="00DD675B"/>
    <w:rsid w:val="00DF78B3"/>
    <w:rsid w:val="00E126BC"/>
    <w:rsid w:val="00E130FC"/>
    <w:rsid w:val="00E1653B"/>
    <w:rsid w:val="00E1732B"/>
    <w:rsid w:val="00E173E2"/>
    <w:rsid w:val="00E32B64"/>
    <w:rsid w:val="00E621DF"/>
    <w:rsid w:val="00E9051F"/>
    <w:rsid w:val="00E95994"/>
    <w:rsid w:val="00E9646A"/>
    <w:rsid w:val="00EA7DF4"/>
    <w:rsid w:val="00EC3400"/>
    <w:rsid w:val="00EC4B30"/>
    <w:rsid w:val="00EF7A9E"/>
    <w:rsid w:val="00F42101"/>
    <w:rsid w:val="00F434ED"/>
    <w:rsid w:val="00F62621"/>
    <w:rsid w:val="00F70C30"/>
    <w:rsid w:val="00F742BB"/>
    <w:rsid w:val="00F774A9"/>
    <w:rsid w:val="00F87259"/>
    <w:rsid w:val="00F9778A"/>
    <w:rsid w:val="00FA0F70"/>
    <w:rsid w:val="00FB57EA"/>
    <w:rsid w:val="00FC734A"/>
    <w:rsid w:val="00FE2446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7C6"/>
  <w15:chartTrackingRefBased/>
  <w15:docId w15:val="{DF5D85C7-54A5-4035-B4A2-5C313139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45"/>
    <w:pPr>
      <w:ind w:left="720"/>
      <w:contextualSpacing/>
    </w:pPr>
  </w:style>
  <w:style w:type="table" w:styleId="TableGrid">
    <w:name w:val="Table Grid"/>
    <w:basedOn w:val="TableNormal"/>
    <w:uiPriority w:val="39"/>
    <w:rsid w:val="0046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B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D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5FA"/>
  </w:style>
  <w:style w:type="paragraph" w:styleId="Footer">
    <w:name w:val="footer"/>
    <w:basedOn w:val="Normal"/>
    <w:link w:val="FooterChar"/>
    <w:uiPriority w:val="99"/>
    <w:unhideWhenUsed/>
    <w:rsid w:val="008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5FA"/>
  </w:style>
  <w:style w:type="character" w:styleId="FollowedHyperlink">
    <w:name w:val="FollowedHyperlink"/>
    <w:basedOn w:val="DefaultParagraphFont"/>
    <w:uiPriority w:val="99"/>
    <w:semiHidden/>
    <w:unhideWhenUsed/>
    <w:rsid w:val="00235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worldpop.org/project/categories?id=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clim.org/" TargetMode="External"/><Relationship Id="rId12" Type="http://schemas.openxmlformats.org/officeDocument/2006/relationships/hyperlink" Target="http://gecon.yale.edu/sites/default/files/files/Gecon40_post_final.x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orldclim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ropbox.com/sh/bpxcmzmmpiiav8u/AAAl3CBKnBYwXb0n1s1C4-K-a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worldpop.org/project/categories?id=1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Britt</dc:creator>
  <cp:keywords/>
  <dc:description/>
  <cp:lastModifiedBy>Ndeffo Mbah, Martial Loth</cp:lastModifiedBy>
  <cp:revision>6</cp:revision>
  <dcterms:created xsi:type="dcterms:W3CDTF">2022-09-22T18:56:00Z</dcterms:created>
  <dcterms:modified xsi:type="dcterms:W3CDTF">2022-09-22T19:13:00Z</dcterms:modified>
</cp:coreProperties>
</file>